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bdr w:val="single" w:sz="16" w:space="1" w:color="000000"/>
        </w:rPr>
      </w:pPr>
      <w:bookmarkStart w:id="0" w:name="d85814ae8vk.htm"/>
      <w:bookmarkStart w:id="1" w:name="ksd85814ae8vk"/>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b/>
          <w:sz w:val="20"/>
        </w:rPr>
      </w:pPr>
      <w:r>
        <w:rPr>
          <w:rFonts w:ascii="Times New Roman;Times;serif" w:hAnsi="Times New Roman;Times;serif"/>
          <w:b/>
          <w:sz w:val="20"/>
        </w:rPr>
        <w:t>CURRENT REPORT</w:t>
        <w:br/>
        <w:t>PURSUANT TO SECTION 13 OR 15(d) OF THE SECURITIES EXCHANGE ACT OF 1934</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February 3, 2012</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0-19424</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74-2540145</w:t>
            </w:r>
            <w:r>
              <w:rPr/>
              <w:br/>
              <w:t>(IRS Employer</w:t>
              <w:br/>
              <w:t>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1901 Capital Parkway, Austin, Texas 78746</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Registrants telephone number, including area code: (</w:t>
      </w:r>
      <w:r>
        <w:rPr>
          <w:rFonts w:ascii="Times New Roman;Times;serif" w:hAnsi="Times New Roman;Times;serif"/>
          <w:b/>
          <w:sz w:val="17"/>
        </w:rPr>
        <w:t>512) 314-3400</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Item 8.01  Other Events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Immediately following the filing of this Report, EZCORP, Inc. (the Company) will file with the Securities and Exchange Commission (the SEC) a shelf registration statement on Form S-3 registering the offer and sale of an indeterminate amount of a variety of securities, including debt securities. As described in the prospectus that will be included as a part of that registration statement (the Prospectus) and unless otherwise indicated in any supplement to the Prospectus, each of the Companys domestic subsidiaries as of the date of the Prospectus (the Subsidiary Guarantors) will fully and unconditionally guarantee on a joint and several basis the Companys payment obligations under any series of debt securities offered by the Prospectus. As a result, the Company is filing this Report to add condensed consolidating financial information to the notes to the Companys audited consolidated financial statements as of September 30, 2011 and 2010 and for the three years ended September 30, 2011, which are included in the Companys Annual Report on Form 10-K for the fiscal year ended September 30, 2011 (the Form 10-K). The Companys audited consolidated financial statements, as so revised, are filed as Exhibit 99.1 to this Report and are incorporated by reference herein.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Except for the addition of the condensed consolidating financial information described above, the Company has not modified or updated the disclosures contained in the consolidated financial statements and notes thereto included in the Form 10-K. Accordingly, this Report, with the exception of the foregoing, does not reflect events occurring after the date of filing of the Form 10-K or modify or update those disclosures affected by subsequent events. Consequently, all other information not affected by the addition described above is unchanged and reflects the disclosures and other information made at the date of the filing of the Form 10-K and should be read in conjunction with our filings with the SEC subsequent to the filing of the Form 10-K, including amendments to those filings, if any.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Item 9.01 Financial Statements, Pro Forma Financial Information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Exhibits.</w:t>
            </w:r>
          </w:p>
        </w:tc>
      </w:tr>
    </w:tbl>
    <w:tbl>
      <w:tblPr>
        <w:tblW w:w="5000" w:type="pct"/>
        <w:jc w:val="left"/>
        <w:tblInd w:w="0" w:type="dxa"/>
        <w:tblCellMar>
          <w:top w:w="0" w:type="dxa"/>
          <w:left w:w="0" w:type="dxa"/>
          <w:bottom w:w="0" w:type="dxa"/>
          <w:right w:w="0" w:type="dxa"/>
        </w:tblCellMar>
      </w:tblPr>
      <w:tblGrid>
        <w:gridCol w:w="376"/>
        <w:gridCol w:w="1012"/>
        <w:gridCol w:w="211"/>
        <w:gridCol w:w="8606"/>
      </w:tblGrid>
      <w:tr>
        <w:trPr/>
        <w:tc>
          <w:tcPr>
            <w:tcW w:w="376" w:type="dxa"/>
            <w:tcBorders/>
            <w:shd w:fill="auto" w:val="clear"/>
          </w:tcPr>
          <w:p>
            <w:pPr>
              <w:pStyle w:val="TableContents"/>
              <w:spacing w:before="0" w:after="283"/>
              <w:rPr/>
            </w:pPr>
            <w:r>
              <w:rPr/>
              <w:t> </w:t>
            </w:r>
          </w:p>
        </w:tc>
        <w:tc>
          <w:tcPr>
            <w:tcW w:w="1012" w:type="dxa"/>
            <w:tcBorders/>
            <w:shd w:fill="auto" w:val="clear"/>
          </w:tcPr>
          <w:p>
            <w:pPr>
              <w:pStyle w:val="TableContents"/>
              <w:spacing w:before="0" w:after="283"/>
              <w:jc w:val="left"/>
              <w:rPr/>
            </w:pPr>
            <w:r>
              <w:rPr/>
              <w:t>23.1</w:t>
            </w:r>
          </w:p>
        </w:tc>
        <w:tc>
          <w:tcPr>
            <w:tcW w:w="211" w:type="dxa"/>
            <w:tcBorders/>
            <w:shd w:fill="auto" w:val="clear"/>
          </w:tcPr>
          <w:p>
            <w:pPr>
              <w:pStyle w:val="TableContents"/>
              <w:spacing w:before="0" w:after="283"/>
              <w:rPr/>
            </w:pPr>
            <w:r>
              <w:rPr/>
              <w:t> </w:t>
            </w:r>
          </w:p>
        </w:tc>
        <w:tc>
          <w:tcPr>
            <w:tcW w:w="8606" w:type="dxa"/>
            <w:tcBorders/>
            <w:shd w:fill="auto" w:val="clear"/>
          </w:tcPr>
          <w:p>
            <w:pPr>
              <w:pStyle w:val="TableContents"/>
              <w:spacing w:before="0" w:after="283"/>
              <w:rPr/>
            </w:pPr>
            <w:r>
              <w:rPr/>
              <w:t>Consent of BDO USA, LLP</w:t>
            </w:r>
          </w:p>
        </w:tc>
      </w:tr>
      <w:tr>
        <w:trPr/>
        <w:tc>
          <w:tcPr>
            <w:tcW w:w="376" w:type="dxa"/>
            <w:tcBorders/>
            <w:shd w:fill="auto" w:val="clear"/>
            <w:vAlign w:val="center"/>
          </w:tcPr>
          <w:p>
            <w:pPr>
              <w:pStyle w:val="TableContents"/>
              <w:spacing w:before="0" w:after="283"/>
              <w:rPr/>
            </w:pPr>
            <w:r>
              <w:rPr/>
              <w:t> </w:t>
            </w:r>
          </w:p>
        </w:tc>
        <w:tc>
          <w:tcPr>
            <w:tcW w:w="9829" w:type="dxa"/>
            <w:gridSpan w:val="3"/>
            <w:tcBorders/>
            <w:shd w:fill="auto" w:val="clear"/>
          </w:tcPr>
          <w:p>
            <w:pPr>
              <w:pStyle w:val="TableContents"/>
              <w:spacing w:before="0" w:after="283"/>
              <w:rPr>
                <w:sz w:val="4"/>
                <w:szCs w:val="4"/>
              </w:rPr>
            </w:pPr>
            <w:r>
              <w:rPr>
                <w:sz w:val="4"/>
                <w:szCs w:val="4"/>
              </w:rPr>
            </w:r>
          </w:p>
        </w:tc>
      </w:tr>
      <w:tr>
        <w:trPr/>
        <w:tc>
          <w:tcPr>
            <w:tcW w:w="376" w:type="dxa"/>
            <w:tcBorders/>
            <w:shd w:fill="auto" w:val="clear"/>
          </w:tcPr>
          <w:p>
            <w:pPr>
              <w:pStyle w:val="TableContents"/>
              <w:spacing w:before="0" w:after="283"/>
              <w:rPr/>
            </w:pPr>
            <w:r>
              <w:rPr/>
              <w:t> </w:t>
            </w:r>
          </w:p>
        </w:tc>
        <w:tc>
          <w:tcPr>
            <w:tcW w:w="1012" w:type="dxa"/>
            <w:tcBorders/>
            <w:shd w:fill="auto" w:val="clear"/>
          </w:tcPr>
          <w:p>
            <w:pPr>
              <w:pStyle w:val="TableContents"/>
              <w:spacing w:before="0" w:after="283"/>
              <w:jc w:val="left"/>
              <w:rPr/>
            </w:pPr>
            <w:r>
              <w:rPr/>
              <w:t>99.1</w:t>
            </w:r>
          </w:p>
        </w:tc>
        <w:tc>
          <w:tcPr>
            <w:tcW w:w="211" w:type="dxa"/>
            <w:tcBorders/>
            <w:shd w:fill="auto" w:val="clear"/>
          </w:tcPr>
          <w:p>
            <w:pPr>
              <w:pStyle w:val="TableContents"/>
              <w:spacing w:before="0" w:after="283"/>
              <w:rPr/>
            </w:pPr>
            <w:r>
              <w:rPr/>
              <w:t> </w:t>
            </w:r>
          </w:p>
        </w:tc>
        <w:tc>
          <w:tcPr>
            <w:tcW w:w="8606" w:type="dxa"/>
            <w:tcBorders/>
            <w:shd w:fill="auto" w:val="clear"/>
          </w:tcPr>
          <w:p>
            <w:pPr>
              <w:pStyle w:val="TableContents"/>
              <w:spacing w:before="0" w:after="283"/>
              <w:rPr/>
            </w:pPr>
            <w:r>
              <w:rPr/>
              <w:t>Historical audited financial statements and revised related disclosure as of September 30, 2011 and 2010 and for the three years ended September 30, 2011.</w:t>
            </w:r>
          </w:p>
        </w:tc>
      </w:tr>
      <w:tr>
        <w:trPr/>
        <w:tc>
          <w:tcPr>
            <w:tcW w:w="376" w:type="dxa"/>
            <w:tcBorders/>
            <w:shd w:fill="auto" w:val="clear"/>
            <w:vAlign w:val="center"/>
          </w:tcPr>
          <w:p>
            <w:pPr>
              <w:pStyle w:val="TableContents"/>
              <w:spacing w:before="0" w:after="283"/>
              <w:rPr/>
            </w:pPr>
            <w:r>
              <w:rPr/>
              <w:t> </w:t>
            </w:r>
          </w:p>
        </w:tc>
        <w:tc>
          <w:tcPr>
            <w:tcW w:w="9829" w:type="dxa"/>
            <w:gridSpan w:val="3"/>
            <w:tcBorders/>
            <w:shd w:fill="auto" w:val="clear"/>
          </w:tcPr>
          <w:p>
            <w:pPr>
              <w:pStyle w:val="TableContents"/>
              <w:spacing w:before="0" w:after="283"/>
              <w:rPr>
                <w:sz w:val="4"/>
                <w:szCs w:val="4"/>
              </w:rPr>
            </w:pPr>
            <w:r>
              <w:rPr>
                <w:sz w:val="4"/>
                <w:szCs w:val="4"/>
              </w:rPr>
            </w:r>
          </w:p>
        </w:tc>
      </w:tr>
      <w:tr>
        <w:trPr/>
        <w:tc>
          <w:tcPr>
            <w:tcW w:w="376" w:type="dxa"/>
            <w:tcBorders/>
            <w:shd w:fill="auto" w:val="clear"/>
          </w:tcPr>
          <w:p>
            <w:pPr>
              <w:pStyle w:val="TableContents"/>
              <w:spacing w:before="0" w:after="283"/>
              <w:rPr/>
            </w:pPr>
            <w:r>
              <w:rPr/>
              <w:t> </w:t>
            </w:r>
          </w:p>
        </w:tc>
        <w:tc>
          <w:tcPr>
            <w:tcW w:w="1012" w:type="dxa"/>
            <w:tcBorders/>
            <w:shd w:fill="auto" w:val="clear"/>
          </w:tcPr>
          <w:p>
            <w:pPr>
              <w:pStyle w:val="TableContents"/>
              <w:spacing w:before="0" w:after="283"/>
              <w:jc w:val="left"/>
              <w:rPr/>
            </w:pPr>
            <w:r>
              <w:rPr/>
              <w:t xml:space="preserve">101.INS </w:t>
            </w:r>
          </w:p>
        </w:tc>
        <w:tc>
          <w:tcPr>
            <w:tcW w:w="211" w:type="dxa"/>
            <w:tcBorders/>
            <w:shd w:fill="auto" w:val="clear"/>
          </w:tcPr>
          <w:p>
            <w:pPr>
              <w:pStyle w:val="TableContents"/>
              <w:spacing w:before="0" w:after="283"/>
              <w:rPr/>
            </w:pPr>
            <w:r>
              <w:rPr/>
              <w:t> </w:t>
            </w:r>
          </w:p>
        </w:tc>
        <w:tc>
          <w:tcPr>
            <w:tcW w:w="8606" w:type="dxa"/>
            <w:tcBorders/>
            <w:shd w:fill="auto" w:val="clear"/>
          </w:tcPr>
          <w:p>
            <w:pPr>
              <w:pStyle w:val="TableContents"/>
              <w:spacing w:before="0" w:after="283"/>
              <w:rPr/>
            </w:pPr>
            <w:r>
              <w:rPr/>
              <w:t>XBRL Instance Document</w:t>
            </w:r>
          </w:p>
        </w:tc>
      </w:tr>
      <w:tr>
        <w:trPr/>
        <w:tc>
          <w:tcPr>
            <w:tcW w:w="376" w:type="dxa"/>
            <w:tcBorders/>
            <w:shd w:fill="auto" w:val="clear"/>
            <w:vAlign w:val="center"/>
          </w:tcPr>
          <w:p>
            <w:pPr>
              <w:pStyle w:val="TableContents"/>
              <w:spacing w:before="0" w:after="283"/>
              <w:rPr/>
            </w:pPr>
            <w:r>
              <w:rPr/>
              <w:t> </w:t>
            </w:r>
          </w:p>
        </w:tc>
        <w:tc>
          <w:tcPr>
            <w:tcW w:w="9829" w:type="dxa"/>
            <w:gridSpan w:val="3"/>
            <w:tcBorders/>
            <w:shd w:fill="auto" w:val="clear"/>
          </w:tcPr>
          <w:p>
            <w:pPr>
              <w:pStyle w:val="TableContents"/>
              <w:spacing w:before="0" w:after="283"/>
              <w:rPr>
                <w:sz w:val="4"/>
                <w:szCs w:val="4"/>
              </w:rPr>
            </w:pPr>
            <w:r>
              <w:rPr>
                <w:sz w:val="4"/>
                <w:szCs w:val="4"/>
              </w:rPr>
            </w:r>
          </w:p>
        </w:tc>
      </w:tr>
      <w:tr>
        <w:trPr/>
        <w:tc>
          <w:tcPr>
            <w:tcW w:w="376" w:type="dxa"/>
            <w:tcBorders/>
            <w:shd w:fill="auto" w:val="clear"/>
          </w:tcPr>
          <w:p>
            <w:pPr>
              <w:pStyle w:val="TableContents"/>
              <w:spacing w:before="0" w:after="283"/>
              <w:rPr/>
            </w:pPr>
            <w:r>
              <w:rPr/>
              <w:t> </w:t>
            </w:r>
          </w:p>
        </w:tc>
        <w:tc>
          <w:tcPr>
            <w:tcW w:w="1012" w:type="dxa"/>
            <w:tcBorders/>
            <w:shd w:fill="auto" w:val="clear"/>
          </w:tcPr>
          <w:p>
            <w:pPr>
              <w:pStyle w:val="TableContents"/>
              <w:spacing w:before="0" w:after="283"/>
              <w:jc w:val="left"/>
              <w:rPr/>
            </w:pPr>
            <w:r>
              <w:rPr/>
              <w:t xml:space="preserve">101.SCH </w:t>
            </w:r>
          </w:p>
        </w:tc>
        <w:tc>
          <w:tcPr>
            <w:tcW w:w="211" w:type="dxa"/>
            <w:tcBorders/>
            <w:shd w:fill="auto" w:val="clear"/>
          </w:tcPr>
          <w:p>
            <w:pPr>
              <w:pStyle w:val="TableContents"/>
              <w:spacing w:before="0" w:after="283"/>
              <w:rPr/>
            </w:pPr>
            <w:r>
              <w:rPr/>
              <w:t> </w:t>
            </w:r>
          </w:p>
        </w:tc>
        <w:tc>
          <w:tcPr>
            <w:tcW w:w="8606" w:type="dxa"/>
            <w:tcBorders/>
            <w:shd w:fill="auto" w:val="clear"/>
          </w:tcPr>
          <w:p>
            <w:pPr>
              <w:pStyle w:val="TableContents"/>
              <w:spacing w:before="0" w:after="283"/>
              <w:rPr/>
            </w:pPr>
            <w:r>
              <w:rPr/>
              <w:t>XBRL Schema Document</w:t>
            </w:r>
          </w:p>
        </w:tc>
      </w:tr>
      <w:tr>
        <w:trPr/>
        <w:tc>
          <w:tcPr>
            <w:tcW w:w="376" w:type="dxa"/>
            <w:tcBorders/>
            <w:shd w:fill="auto" w:val="clear"/>
            <w:vAlign w:val="center"/>
          </w:tcPr>
          <w:p>
            <w:pPr>
              <w:pStyle w:val="TableContents"/>
              <w:spacing w:before="0" w:after="283"/>
              <w:rPr/>
            </w:pPr>
            <w:r>
              <w:rPr/>
              <w:t> </w:t>
            </w:r>
          </w:p>
        </w:tc>
        <w:tc>
          <w:tcPr>
            <w:tcW w:w="9829" w:type="dxa"/>
            <w:gridSpan w:val="3"/>
            <w:tcBorders/>
            <w:shd w:fill="auto" w:val="clear"/>
          </w:tcPr>
          <w:p>
            <w:pPr>
              <w:pStyle w:val="TableContents"/>
              <w:spacing w:before="0" w:after="283"/>
              <w:rPr>
                <w:sz w:val="4"/>
                <w:szCs w:val="4"/>
              </w:rPr>
            </w:pPr>
            <w:r>
              <w:rPr>
                <w:sz w:val="4"/>
                <w:szCs w:val="4"/>
              </w:rPr>
            </w:r>
          </w:p>
        </w:tc>
      </w:tr>
      <w:tr>
        <w:trPr/>
        <w:tc>
          <w:tcPr>
            <w:tcW w:w="376" w:type="dxa"/>
            <w:tcBorders/>
            <w:shd w:fill="auto" w:val="clear"/>
          </w:tcPr>
          <w:p>
            <w:pPr>
              <w:pStyle w:val="TableContents"/>
              <w:spacing w:before="0" w:after="283"/>
              <w:rPr/>
            </w:pPr>
            <w:r>
              <w:rPr/>
              <w:t> </w:t>
            </w:r>
          </w:p>
        </w:tc>
        <w:tc>
          <w:tcPr>
            <w:tcW w:w="1012" w:type="dxa"/>
            <w:tcBorders/>
            <w:shd w:fill="auto" w:val="clear"/>
          </w:tcPr>
          <w:p>
            <w:pPr>
              <w:pStyle w:val="TableContents"/>
              <w:spacing w:before="0" w:after="283"/>
              <w:jc w:val="left"/>
              <w:rPr/>
            </w:pPr>
            <w:r>
              <w:rPr/>
              <w:t xml:space="preserve">101.CAL </w:t>
            </w:r>
          </w:p>
        </w:tc>
        <w:tc>
          <w:tcPr>
            <w:tcW w:w="211" w:type="dxa"/>
            <w:tcBorders/>
            <w:shd w:fill="auto" w:val="clear"/>
          </w:tcPr>
          <w:p>
            <w:pPr>
              <w:pStyle w:val="TableContents"/>
              <w:spacing w:before="0" w:after="283"/>
              <w:rPr/>
            </w:pPr>
            <w:r>
              <w:rPr/>
              <w:t> </w:t>
            </w:r>
          </w:p>
        </w:tc>
        <w:tc>
          <w:tcPr>
            <w:tcW w:w="8606" w:type="dxa"/>
            <w:tcBorders/>
            <w:shd w:fill="auto" w:val="clear"/>
          </w:tcPr>
          <w:p>
            <w:pPr>
              <w:pStyle w:val="TableContents"/>
              <w:spacing w:before="0" w:after="283"/>
              <w:rPr/>
            </w:pPr>
            <w:r>
              <w:rPr/>
              <w:t>XBRL Calculation linkbase Document</w:t>
            </w:r>
          </w:p>
        </w:tc>
      </w:tr>
      <w:tr>
        <w:trPr/>
        <w:tc>
          <w:tcPr>
            <w:tcW w:w="376" w:type="dxa"/>
            <w:tcBorders/>
            <w:shd w:fill="auto" w:val="clear"/>
            <w:vAlign w:val="center"/>
          </w:tcPr>
          <w:p>
            <w:pPr>
              <w:pStyle w:val="TableContents"/>
              <w:spacing w:before="0" w:after="283"/>
              <w:rPr/>
            </w:pPr>
            <w:r>
              <w:rPr/>
              <w:t> </w:t>
            </w:r>
          </w:p>
        </w:tc>
        <w:tc>
          <w:tcPr>
            <w:tcW w:w="9829" w:type="dxa"/>
            <w:gridSpan w:val="3"/>
            <w:tcBorders/>
            <w:shd w:fill="auto" w:val="clear"/>
          </w:tcPr>
          <w:p>
            <w:pPr>
              <w:pStyle w:val="TableContents"/>
              <w:spacing w:before="0" w:after="283"/>
              <w:rPr>
                <w:sz w:val="4"/>
                <w:szCs w:val="4"/>
              </w:rPr>
            </w:pPr>
            <w:r>
              <w:rPr>
                <w:sz w:val="4"/>
                <w:szCs w:val="4"/>
              </w:rPr>
            </w:r>
          </w:p>
        </w:tc>
      </w:tr>
      <w:tr>
        <w:trPr/>
        <w:tc>
          <w:tcPr>
            <w:tcW w:w="376" w:type="dxa"/>
            <w:tcBorders/>
            <w:shd w:fill="auto" w:val="clear"/>
          </w:tcPr>
          <w:p>
            <w:pPr>
              <w:pStyle w:val="TableContents"/>
              <w:spacing w:before="0" w:after="283"/>
              <w:rPr/>
            </w:pPr>
            <w:r>
              <w:rPr/>
              <w:t> </w:t>
            </w:r>
          </w:p>
        </w:tc>
        <w:tc>
          <w:tcPr>
            <w:tcW w:w="1012" w:type="dxa"/>
            <w:tcBorders/>
            <w:shd w:fill="auto" w:val="clear"/>
          </w:tcPr>
          <w:p>
            <w:pPr>
              <w:pStyle w:val="TableContents"/>
              <w:spacing w:before="0" w:after="283"/>
              <w:jc w:val="left"/>
              <w:rPr/>
            </w:pPr>
            <w:r>
              <w:rPr/>
              <w:t xml:space="preserve">101.DEF </w:t>
            </w:r>
          </w:p>
        </w:tc>
        <w:tc>
          <w:tcPr>
            <w:tcW w:w="211" w:type="dxa"/>
            <w:tcBorders/>
            <w:shd w:fill="auto" w:val="clear"/>
          </w:tcPr>
          <w:p>
            <w:pPr>
              <w:pStyle w:val="TableContents"/>
              <w:spacing w:before="0" w:after="283"/>
              <w:rPr/>
            </w:pPr>
            <w:r>
              <w:rPr/>
              <w:t> </w:t>
            </w:r>
          </w:p>
        </w:tc>
        <w:tc>
          <w:tcPr>
            <w:tcW w:w="8606" w:type="dxa"/>
            <w:tcBorders/>
            <w:shd w:fill="auto" w:val="clear"/>
          </w:tcPr>
          <w:p>
            <w:pPr>
              <w:pStyle w:val="TableContents"/>
              <w:spacing w:before="0" w:after="283"/>
              <w:rPr/>
            </w:pPr>
            <w:r>
              <w:rPr/>
              <w:t>XBRL Definition Linkbase Document</w:t>
            </w:r>
          </w:p>
        </w:tc>
      </w:tr>
      <w:tr>
        <w:trPr/>
        <w:tc>
          <w:tcPr>
            <w:tcW w:w="376" w:type="dxa"/>
            <w:tcBorders/>
            <w:shd w:fill="auto" w:val="clear"/>
            <w:vAlign w:val="center"/>
          </w:tcPr>
          <w:p>
            <w:pPr>
              <w:pStyle w:val="TableContents"/>
              <w:spacing w:before="0" w:after="283"/>
              <w:rPr/>
            </w:pPr>
            <w:r>
              <w:rPr/>
              <w:t> </w:t>
            </w:r>
          </w:p>
        </w:tc>
        <w:tc>
          <w:tcPr>
            <w:tcW w:w="9829" w:type="dxa"/>
            <w:gridSpan w:val="3"/>
            <w:tcBorders/>
            <w:shd w:fill="auto" w:val="clear"/>
          </w:tcPr>
          <w:p>
            <w:pPr>
              <w:pStyle w:val="TableContents"/>
              <w:spacing w:before="0" w:after="283"/>
              <w:rPr>
                <w:sz w:val="4"/>
                <w:szCs w:val="4"/>
              </w:rPr>
            </w:pPr>
            <w:r>
              <w:rPr>
                <w:sz w:val="4"/>
                <w:szCs w:val="4"/>
              </w:rPr>
            </w:r>
          </w:p>
        </w:tc>
      </w:tr>
      <w:tr>
        <w:trPr/>
        <w:tc>
          <w:tcPr>
            <w:tcW w:w="376" w:type="dxa"/>
            <w:tcBorders/>
            <w:shd w:fill="auto" w:val="clear"/>
          </w:tcPr>
          <w:p>
            <w:pPr>
              <w:pStyle w:val="TableContents"/>
              <w:spacing w:before="0" w:after="283"/>
              <w:rPr/>
            </w:pPr>
            <w:r>
              <w:rPr/>
              <w:t> </w:t>
            </w:r>
          </w:p>
        </w:tc>
        <w:tc>
          <w:tcPr>
            <w:tcW w:w="1012" w:type="dxa"/>
            <w:tcBorders/>
            <w:shd w:fill="auto" w:val="clear"/>
          </w:tcPr>
          <w:p>
            <w:pPr>
              <w:pStyle w:val="TableContents"/>
              <w:spacing w:before="0" w:after="283"/>
              <w:jc w:val="left"/>
              <w:rPr/>
            </w:pPr>
            <w:r>
              <w:rPr/>
              <w:t xml:space="preserve">101.LAB </w:t>
            </w:r>
          </w:p>
        </w:tc>
        <w:tc>
          <w:tcPr>
            <w:tcW w:w="211" w:type="dxa"/>
            <w:tcBorders/>
            <w:shd w:fill="auto" w:val="clear"/>
          </w:tcPr>
          <w:p>
            <w:pPr>
              <w:pStyle w:val="TableContents"/>
              <w:spacing w:before="0" w:after="283"/>
              <w:rPr/>
            </w:pPr>
            <w:r>
              <w:rPr/>
              <w:t> </w:t>
            </w:r>
          </w:p>
        </w:tc>
        <w:tc>
          <w:tcPr>
            <w:tcW w:w="8606" w:type="dxa"/>
            <w:tcBorders/>
            <w:shd w:fill="auto" w:val="clear"/>
          </w:tcPr>
          <w:p>
            <w:pPr>
              <w:pStyle w:val="TableContents"/>
              <w:spacing w:before="0" w:after="283"/>
              <w:rPr/>
            </w:pPr>
            <w:r>
              <w:rPr/>
              <w:t>XBRL Labels Linkbase Document</w:t>
            </w:r>
          </w:p>
        </w:tc>
      </w:tr>
      <w:tr>
        <w:trPr/>
        <w:tc>
          <w:tcPr>
            <w:tcW w:w="376" w:type="dxa"/>
            <w:tcBorders/>
            <w:shd w:fill="auto" w:val="clear"/>
            <w:vAlign w:val="center"/>
          </w:tcPr>
          <w:p>
            <w:pPr>
              <w:pStyle w:val="TableContents"/>
              <w:spacing w:before="0" w:after="283"/>
              <w:rPr/>
            </w:pPr>
            <w:r>
              <w:rPr/>
              <w:t> </w:t>
            </w:r>
          </w:p>
        </w:tc>
        <w:tc>
          <w:tcPr>
            <w:tcW w:w="9829" w:type="dxa"/>
            <w:gridSpan w:val="3"/>
            <w:tcBorders/>
            <w:shd w:fill="auto" w:val="clear"/>
          </w:tcPr>
          <w:p>
            <w:pPr>
              <w:pStyle w:val="TableContents"/>
              <w:spacing w:before="0" w:after="283"/>
              <w:rPr>
                <w:sz w:val="4"/>
                <w:szCs w:val="4"/>
              </w:rPr>
            </w:pPr>
            <w:r>
              <w:rPr>
                <w:sz w:val="4"/>
                <w:szCs w:val="4"/>
              </w:rPr>
            </w:r>
          </w:p>
        </w:tc>
      </w:tr>
      <w:tr>
        <w:trPr/>
        <w:tc>
          <w:tcPr>
            <w:tcW w:w="376" w:type="dxa"/>
            <w:tcBorders/>
            <w:shd w:fill="auto" w:val="clear"/>
          </w:tcPr>
          <w:p>
            <w:pPr>
              <w:pStyle w:val="TableContents"/>
              <w:spacing w:before="0" w:after="283"/>
              <w:rPr/>
            </w:pPr>
            <w:r>
              <w:rPr/>
              <w:t> </w:t>
            </w:r>
          </w:p>
        </w:tc>
        <w:tc>
          <w:tcPr>
            <w:tcW w:w="1012" w:type="dxa"/>
            <w:tcBorders/>
            <w:shd w:fill="auto" w:val="clear"/>
          </w:tcPr>
          <w:p>
            <w:pPr>
              <w:pStyle w:val="TableContents"/>
              <w:spacing w:before="0" w:after="283"/>
              <w:jc w:val="left"/>
              <w:rPr/>
            </w:pPr>
            <w:r>
              <w:rPr/>
              <w:t xml:space="preserve">101.PRE </w:t>
            </w:r>
          </w:p>
        </w:tc>
        <w:tc>
          <w:tcPr>
            <w:tcW w:w="211" w:type="dxa"/>
            <w:tcBorders/>
            <w:shd w:fill="auto" w:val="clear"/>
          </w:tcPr>
          <w:p>
            <w:pPr>
              <w:pStyle w:val="TableContents"/>
              <w:spacing w:before="0" w:after="283"/>
              <w:rPr/>
            </w:pPr>
            <w:r>
              <w:rPr/>
              <w:t> </w:t>
            </w:r>
          </w:p>
        </w:tc>
        <w:tc>
          <w:tcPr>
            <w:tcW w:w="8606" w:type="dxa"/>
            <w:tcBorders/>
            <w:shd w:fill="auto" w:val="clear"/>
          </w:tcPr>
          <w:p>
            <w:pPr>
              <w:pStyle w:val="TableContents"/>
              <w:spacing w:before="0" w:after="283"/>
              <w:rPr/>
            </w:pPr>
            <w:r>
              <w:rPr/>
              <w:t>XBRL Presentation Linkbase Document</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4588"/>
        <w:gridCol w:w="311"/>
        <w:gridCol w:w="3378"/>
        <w:gridCol w:w="131"/>
        <w:gridCol w:w="1797"/>
      </w:tblGrid>
      <w:tr>
        <w:trPr/>
        <w:tc>
          <w:tcPr>
            <w:tcW w:w="458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337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rPr/>
            </w:pPr>
            <w:r>
              <w:rPr/>
              <w:t> </w:t>
            </w:r>
          </w:p>
        </w:tc>
      </w:tr>
      <w:tr>
        <w:trPr/>
        <w:tc>
          <w:tcPr>
            <w:tcW w:w="4588" w:type="dxa"/>
            <w:tcBorders/>
            <w:shd w:fill="auto" w:val="clear"/>
          </w:tcPr>
          <w:p>
            <w:pPr>
              <w:pStyle w:val="TableContents"/>
              <w:spacing w:before="0" w:after="0"/>
              <w:ind w:left="0" w:right="0" w:hanging="0"/>
              <w:rPr/>
            </w:pPr>
            <w:r>
              <w:rPr/>
              <w:t xml:space="preserve">  </w:t>
            </w:r>
          </w:p>
        </w:tc>
        <w:tc>
          <w:tcPr>
            <w:tcW w:w="311" w:type="dxa"/>
            <w:tcBorders/>
            <w:shd w:fill="auto" w:val="clear"/>
            <w:vAlign w:val="bottom"/>
          </w:tcPr>
          <w:p>
            <w:pPr>
              <w:pStyle w:val="TableContents"/>
              <w:spacing w:before="0" w:after="283"/>
              <w:rPr/>
            </w:pPr>
            <w:r>
              <w:rPr/>
              <w:t> </w:t>
            </w:r>
          </w:p>
        </w:tc>
        <w:tc>
          <w:tcPr>
            <w:tcW w:w="3378" w:type="dxa"/>
            <w:tcBorders/>
            <w:shd w:fill="auto" w:val="clear"/>
          </w:tcPr>
          <w:p>
            <w:pPr>
              <w:pStyle w:val="TableContents"/>
              <w:spacing w:before="0" w:after="283"/>
              <w:jc w:val="left"/>
              <w:rPr/>
            </w:pPr>
            <w:r>
              <w:rPr/>
              <w:t>EZCORP, INC.</w:t>
            </w:r>
          </w:p>
        </w:tc>
        <w:tc>
          <w:tcPr>
            <w:tcW w:w="131" w:type="dxa"/>
            <w:tcBorders/>
            <w:shd w:fill="auto" w:val="clear"/>
            <w:vAlign w:val="bottom"/>
          </w:tcPr>
          <w:p>
            <w:pPr>
              <w:pStyle w:val="TableContents"/>
              <w:spacing w:before="0" w:after="283"/>
              <w:rPr/>
            </w:pPr>
            <w:r>
              <w:rPr/>
              <w:t> </w:t>
            </w:r>
          </w:p>
        </w:tc>
        <w:tc>
          <w:tcPr>
            <w:tcW w:w="1797" w:type="dxa"/>
            <w:tcBorders/>
            <w:shd w:fill="auto" w:val="clear"/>
          </w:tcPr>
          <w:p>
            <w:pPr>
              <w:pStyle w:val="TableContents"/>
              <w:spacing w:before="0" w:after="283"/>
              <w:jc w:val="left"/>
              <w:rPr/>
            </w:pPr>
            <w:r>
              <w:rPr/>
              <w:t> </w:t>
            </w:r>
          </w:p>
        </w:tc>
      </w:tr>
      <w:tr>
        <w:trPr/>
        <w:tc>
          <w:tcPr>
            <w:tcW w:w="4588" w:type="dxa"/>
            <w:tcBorders/>
            <w:shd w:fill="auto" w:val="clear"/>
          </w:tcPr>
          <w:p>
            <w:pPr>
              <w:pStyle w:val="TableContents"/>
              <w:spacing w:before="0" w:after="0"/>
              <w:ind w:left="0" w:right="0" w:hanging="0"/>
              <w:rPr/>
            </w:pPr>
            <w:r>
              <w:rPr/>
              <w:t> </w:t>
            </w:r>
          </w:p>
        </w:tc>
        <w:tc>
          <w:tcPr>
            <w:tcW w:w="311" w:type="dxa"/>
            <w:tcBorders/>
            <w:shd w:fill="auto" w:val="clear"/>
            <w:vAlign w:val="bottom"/>
          </w:tcPr>
          <w:p>
            <w:pPr>
              <w:pStyle w:val="TableContents"/>
              <w:spacing w:before="0" w:after="283"/>
              <w:rPr/>
            </w:pPr>
            <w:r>
              <w:rPr/>
              <w:t> </w:t>
            </w:r>
          </w:p>
        </w:tc>
        <w:tc>
          <w:tcPr>
            <w:tcW w:w="3378"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797" w:type="dxa"/>
            <w:tcBorders/>
            <w:shd w:fill="auto" w:val="clear"/>
          </w:tcPr>
          <w:p>
            <w:pPr>
              <w:pStyle w:val="TableContents"/>
              <w:spacing w:before="0" w:after="283"/>
              <w:jc w:val="left"/>
              <w:rPr/>
            </w:pPr>
            <w:r>
              <w:rPr/>
              <w:t> </w:t>
            </w:r>
          </w:p>
        </w:tc>
      </w:tr>
      <w:tr>
        <w:trPr/>
        <w:tc>
          <w:tcPr>
            <w:tcW w:w="4588" w:type="dxa"/>
            <w:tcBorders/>
            <w:shd w:fill="auto" w:val="clear"/>
          </w:tcPr>
          <w:p>
            <w:pPr>
              <w:pStyle w:val="TableContents"/>
              <w:spacing w:before="0" w:after="0"/>
              <w:ind w:left="0" w:right="0" w:hanging="0"/>
              <w:rPr/>
            </w:pPr>
            <w:r>
              <w:rPr/>
              <w:t xml:space="preserve">Date: February 3, 2012 </w:t>
            </w:r>
          </w:p>
        </w:tc>
        <w:tc>
          <w:tcPr>
            <w:tcW w:w="311" w:type="dxa"/>
            <w:tcBorders/>
            <w:shd w:fill="auto" w:val="clear"/>
            <w:vAlign w:val="bottom"/>
          </w:tcPr>
          <w:p>
            <w:pPr>
              <w:pStyle w:val="TableContents"/>
              <w:spacing w:before="0" w:after="283"/>
              <w:rPr/>
            </w:pPr>
            <w:r>
              <w:rPr/>
              <w:t>By: </w:t>
            </w:r>
          </w:p>
        </w:tc>
        <w:tc>
          <w:tcPr>
            <w:tcW w:w="3378" w:type="dxa"/>
            <w:tcBorders/>
            <w:shd w:fill="auto" w:val="clear"/>
          </w:tcPr>
          <w:p>
            <w:pPr>
              <w:pStyle w:val="TableContents"/>
              <w:spacing w:before="0" w:after="283"/>
              <w:jc w:val="left"/>
              <w:rPr/>
            </w:pPr>
            <w:r>
              <w:rPr/>
              <w:t>/s/ Thomas H. Welch, Jr.</w:t>
            </w:r>
          </w:p>
        </w:tc>
        <w:tc>
          <w:tcPr>
            <w:tcW w:w="131" w:type="dxa"/>
            <w:tcBorders/>
            <w:shd w:fill="auto" w:val="clear"/>
            <w:vAlign w:val="bottom"/>
          </w:tcPr>
          <w:p>
            <w:pPr>
              <w:pStyle w:val="TableContents"/>
              <w:spacing w:before="0" w:after="283"/>
              <w:rPr/>
            </w:pPr>
            <w:r>
              <w:rPr/>
              <w:t> </w:t>
            </w:r>
          </w:p>
        </w:tc>
        <w:tc>
          <w:tcPr>
            <w:tcW w:w="1797" w:type="dxa"/>
            <w:tcBorders/>
            <w:shd w:fill="auto" w:val="clear"/>
          </w:tcPr>
          <w:p>
            <w:pPr>
              <w:pStyle w:val="TableContents"/>
              <w:spacing w:before="0" w:after="283"/>
              <w:jc w:val="left"/>
              <w:rPr/>
            </w:pPr>
            <w:r>
              <w:rPr/>
              <w:t> </w:t>
            </w:r>
          </w:p>
        </w:tc>
      </w:tr>
      <w:tr>
        <w:trPr/>
        <w:tc>
          <w:tcPr>
            <w:tcW w:w="4588" w:type="dxa"/>
            <w:tcBorders/>
            <w:shd w:fill="auto" w:val="clear"/>
          </w:tcPr>
          <w:p>
            <w:pPr>
              <w:pStyle w:val="TableContents"/>
              <w:spacing w:before="0" w:after="0"/>
              <w:ind w:left="0" w:right="0" w:hanging="0"/>
              <w:rPr/>
            </w:pPr>
            <w:r>
              <w:rPr/>
              <w:t xml:space="preserve">  </w:t>
            </w:r>
          </w:p>
        </w:tc>
        <w:tc>
          <w:tcPr>
            <w:tcW w:w="311" w:type="dxa"/>
            <w:tcBorders/>
            <w:shd w:fill="auto" w:val="clear"/>
            <w:vAlign w:val="bottom"/>
          </w:tcPr>
          <w:p>
            <w:pPr>
              <w:pStyle w:val="TableContents"/>
              <w:spacing w:before="0" w:after="283"/>
              <w:rPr/>
            </w:pPr>
            <w:r>
              <w:rPr/>
              <w:t> </w:t>
            </w:r>
          </w:p>
        </w:tc>
        <w:tc>
          <w:tcPr>
            <w:tcW w:w="3378"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Thomas H. Welch, Jr.</w:t>
              <w:br/>
              <w:t>Senior Vice President,</w:t>
              <w:br/>
              <w:t xml:space="preserve">General Counsel and Secretary </w:t>
            </w:r>
          </w:p>
        </w:tc>
        <w:tc>
          <w:tcPr>
            <w:tcW w:w="131" w:type="dxa"/>
            <w:tcBorders/>
            <w:shd w:fill="auto" w:val="clear"/>
            <w:vAlign w:val="bottom"/>
          </w:tcPr>
          <w:p>
            <w:pPr>
              <w:pStyle w:val="TableContents"/>
              <w:spacing w:before="0" w:after="283"/>
              <w:rPr/>
            </w:pPr>
            <w:r>
              <w:rPr/>
              <w:t> </w:t>
            </w:r>
          </w:p>
        </w:tc>
        <w:tc>
          <w:tcPr>
            <w:tcW w:w="1797"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TextBody"/>
        <w:spacing w:before="240" w:after="283"/>
        <w:jc w:val="right"/>
        <w:rPr>
          <w:rFonts w:ascii="Times New Roman;Times;serif" w:hAnsi="Times New Roman;Times;serif"/>
          <w:sz w:val="17"/>
        </w:rPr>
      </w:pPr>
      <w:bookmarkStart w:id="2" w:name="d85814aexv23w1.htm"/>
      <w:bookmarkStart w:id="3" w:name="ksd85814aexv23w1"/>
      <w:bookmarkEnd w:id="2"/>
      <w:bookmarkEnd w:id="3"/>
      <w:r>
        <w:rPr>
          <w:rFonts w:ascii="Times New Roman;Times;serif" w:hAnsi="Times New Roman;Times;serif"/>
          <w:b/>
          <w:sz w:val="17"/>
        </w:rPr>
        <w:t>Exhibit 23.1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u w:val="single"/>
        </w:rPr>
        <w:t>Consent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EZCORP, Inc.</w:t>
        <w:br/>
        <w:t xml:space="preserve">Austin, TX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hereby consent to the incorporation by reference in the Registration Statement (Form S-8 No. 33-63078) pertaining to the EZCORP, Inc. 401(k) Plan, the Registration Statement (Form S-8 No. 333-108847) pertaining to the 1998 EZCORP, Inc. Stock Incentive Plan, the Registration Statement (Form S-8 No. 333-122116) pertaining to the EZCORP, Inc. 2003 Incentive Plan, the Registration Statement (Form S-8 No. 333-140492) pertaining to the EZCORP, Inc. 2006 Incentive Plan, the Registration Statement (Form S-8 No. 333-166950) pertaining to the EZCORP, Inc. 2010 Incentive Plan and the Registration Statement (Form S-3 No. 333-155394) of our reports dated November 23, 2011 except with respect to our opinion on the consolidated financial statements insofar as it related to the presentation of financial information of guarantor and non-guarantor subsidiaries discussed in Note U, as to which the date is January 10, 2012, relating to the consolidated financial statements and the effectiveness of internal control over financial reporting of EZCORP, Inc. included in this Current Report on Form 8-K.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 BDO USA,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Dallas, TX</w:t>
        <w:br/>
        <w:t xml:space="preserve">February 3, 2012 </w:t>
      </w:r>
      <w:r>
        <w:br w:type="page"/>
      </w:r>
    </w:p>
    <w:p>
      <w:pPr>
        <w:pStyle w:val="TextBody"/>
        <w:spacing w:before="240" w:after="283"/>
        <w:jc w:val="right"/>
        <w:rPr>
          <w:rFonts w:ascii="Times New Roman;Times;serif" w:hAnsi="Times New Roman;Times;serif"/>
          <w:sz w:val="17"/>
        </w:rPr>
      </w:pPr>
      <w:bookmarkStart w:id="4" w:name="d85814aexv99w1.htm"/>
      <w:bookmarkStart w:id="5" w:name="ksd85814aexv99w1"/>
      <w:bookmarkEnd w:id="4"/>
      <w:bookmarkEnd w:id="5"/>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Item 8.01 of the accompanying Current Report on Form 8-K for an explanation regarding the following disclosure. The following information replaces the Report of Independent Registered Public Accounting Firm and the audited Consolidated Financial Statements and Notes thereto included in Part IIItem 8 Financial Statements and Supplementary Data of the Companys previously filed Annual Report on Form 10-K for the fiscal year ended September 30, 2011. Except as set forth in this Exhibit 99.1, that Annual Report on Form 10-K has not been otherwise modified or updated.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Index to Financial Statements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10"/>
        <w:gridCol w:w="9184"/>
        <w:gridCol w:w="511"/>
      </w:tblGrid>
      <w:tr>
        <w:trPr/>
        <w:tc>
          <w:tcPr>
            <w:tcW w:w="510" w:type="dxa"/>
            <w:tcBorders/>
            <w:shd w:fill="auto" w:val="clear"/>
            <w:vAlign w:val="center"/>
          </w:tcPr>
          <w:p>
            <w:pPr>
              <w:pStyle w:val="TableContents"/>
              <w:spacing w:before="0" w:after="283"/>
              <w:rPr/>
            </w:pPr>
            <w:r>
              <w:rPr/>
              <w:t> </w:t>
            </w:r>
          </w:p>
        </w:tc>
        <w:tc>
          <w:tcPr>
            <w:tcW w:w="9184" w:type="dxa"/>
            <w:tcBorders/>
            <w:shd w:fill="auto" w:val="clear"/>
            <w:vAlign w:val="center"/>
          </w:tcPr>
          <w:p>
            <w:pPr>
              <w:pStyle w:val="TableContents"/>
              <w:spacing w:before="0" w:after="283"/>
              <w:rPr/>
            </w:pPr>
            <w:r>
              <w:rPr/>
              <w:t> </w:t>
            </w:r>
          </w:p>
        </w:tc>
        <w:tc>
          <w:tcPr>
            <w:tcW w:w="511" w:type="dxa"/>
            <w:tcBorders/>
            <w:shd w:fill="auto" w:val="clear"/>
            <w:vAlign w:val="center"/>
          </w:tcPr>
          <w:p>
            <w:pPr>
              <w:pStyle w:val="TableContents"/>
              <w:spacing w:before="0" w:after="283"/>
              <w:rPr/>
            </w:pPr>
            <w:r>
              <w:rPr/>
              <w:t> </w:t>
            </w:r>
          </w:p>
        </w:tc>
      </w:tr>
      <w:tr>
        <w:trPr/>
        <w:tc>
          <w:tcPr>
            <w:tcW w:w="510" w:type="dxa"/>
            <w:tcBorders/>
            <w:shd w:fill="auto" w:val="clear"/>
            <w:vAlign w:val="center"/>
          </w:tcPr>
          <w:p>
            <w:pPr>
              <w:pStyle w:val="TableContents"/>
              <w:spacing w:before="0" w:after="283"/>
              <w:rPr/>
            </w:pPr>
            <w:r>
              <w:rPr/>
              <w:t> </w:t>
            </w:r>
          </w:p>
        </w:tc>
        <w:tc>
          <w:tcPr>
            <w:tcW w:w="9184" w:type="dxa"/>
            <w:tcBorders/>
            <w:shd w:fill="auto" w:val="clear"/>
            <w:vAlign w:val="center"/>
          </w:tcPr>
          <w:p>
            <w:pPr>
              <w:pStyle w:val="TableContents"/>
              <w:spacing w:before="0" w:after="283"/>
              <w:rPr/>
            </w:pPr>
            <w:r>
              <w:rPr/>
              <w:t> </w:t>
            </w:r>
          </w:p>
        </w:tc>
        <w:tc>
          <w:tcPr>
            <w:tcW w:w="511" w:type="dxa"/>
            <w:tcBorders>
              <w:bottom w:val="single" w:sz="2" w:space="0" w:color="000000"/>
            </w:tcBorders>
            <w:shd w:fill="auto" w:val="clear"/>
            <w:tcMar>
              <w:bottom w:w="28" w:type="dxa"/>
            </w:tcMar>
            <w:vAlign w:val="center"/>
          </w:tcPr>
          <w:p>
            <w:pPr>
              <w:pStyle w:val="TableContents"/>
              <w:spacing w:before="0" w:after="283"/>
              <w:jc w:val="center"/>
              <w:rPr/>
            </w:pPr>
            <w:r>
              <w:rPr/>
              <w:t>Page</w:t>
            </w:r>
          </w:p>
        </w:tc>
      </w:tr>
      <w:tr>
        <w:trPr/>
        <w:tc>
          <w:tcPr>
            <w:tcW w:w="9694" w:type="dxa"/>
            <w:gridSpan w:val="2"/>
            <w:tcBorders/>
            <w:shd w:fill="auto" w:val="clear"/>
            <w:vAlign w:val="center"/>
          </w:tcPr>
          <w:p>
            <w:pPr>
              <w:pStyle w:val="TableContents"/>
              <w:spacing w:before="0" w:after="283"/>
              <w:jc w:val="left"/>
              <w:rPr/>
            </w:pPr>
            <w:r>
              <w:rPr/>
              <w:t>Report of Independent Registered Public Accounting Firm</w:t>
            </w:r>
          </w:p>
        </w:tc>
        <w:tc>
          <w:tcPr>
            <w:tcW w:w="511" w:type="dxa"/>
            <w:tcBorders/>
            <w:shd w:fill="auto" w:val="clear"/>
            <w:vAlign w:val="center"/>
          </w:tcPr>
          <w:p>
            <w:pPr>
              <w:pStyle w:val="TableContents"/>
              <w:spacing w:before="0" w:after="283"/>
              <w:jc w:val="center"/>
              <w:rPr/>
            </w:pPr>
            <w:r>
              <w:rPr/>
              <w:t>2</w:t>
            </w:r>
          </w:p>
        </w:tc>
      </w:tr>
      <w:tr>
        <w:trPr/>
        <w:tc>
          <w:tcPr>
            <w:tcW w:w="510" w:type="dxa"/>
            <w:tcBorders/>
            <w:shd w:fill="auto" w:val="clear"/>
            <w:vAlign w:val="center"/>
          </w:tcPr>
          <w:p>
            <w:pPr>
              <w:pStyle w:val="TableContents"/>
              <w:spacing w:before="0" w:after="283"/>
              <w:rPr/>
            </w:pPr>
            <w:r>
              <w:rPr/>
              <w:t> </w:t>
            </w:r>
          </w:p>
        </w:tc>
        <w:tc>
          <w:tcPr>
            <w:tcW w:w="9695" w:type="dxa"/>
            <w:gridSpan w:val="2"/>
            <w:tcBorders/>
            <w:shd w:fill="auto" w:val="clear"/>
          </w:tcPr>
          <w:p>
            <w:pPr>
              <w:pStyle w:val="TableContents"/>
              <w:spacing w:before="0" w:after="283"/>
              <w:rPr>
                <w:sz w:val="4"/>
                <w:szCs w:val="4"/>
              </w:rPr>
            </w:pPr>
            <w:r>
              <w:rPr>
                <w:sz w:val="4"/>
                <w:szCs w:val="4"/>
              </w:rPr>
            </w:r>
          </w:p>
        </w:tc>
      </w:tr>
      <w:tr>
        <w:trPr/>
        <w:tc>
          <w:tcPr>
            <w:tcW w:w="9694" w:type="dxa"/>
            <w:gridSpan w:val="2"/>
            <w:tcBorders/>
            <w:shd w:fill="auto" w:val="clear"/>
            <w:vAlign w:val="center"/>
          </w:tcPr>
          <w:p>
            <w:pPr>
              <w:pStyle w:val="TableContents"/>
              <w:spacing w:before="0" w:after="283"/>
              <w:jc w:val="left"/>
              <w:rPr/>
            </w:pPr>
            <w:r>
              <w:rPr/>
              <w:t>Consolidated Financial Statements:</w:t>
            </w:r>
          </w:p>
        </w:tc>
        <w:tc>
          <w:tcPr>
            <w:tcW w:w="511" w:type="dxa"/>
            <w:tcBorders/>
            <w:shd w:fill="auto" w:val="clear"/>
            <w:vAlign w:val="center"/>
          </w:tcPr>
          <w:p>
            <w:pPr>
              <w:pStyle w:val="TableContents"/>
              <w:spacing w:before="0" w:after="283"/>
              <w:rPr/>
            </w:pPr>
            <w:r>
              <w:rPr/>
              <w:t> </w:t>
            </w:r>
          </w:p>
        </w:tc>
      </w:tr>
      <w:tr>
        <w:trPr/>
        <w:tc>
          <w:tcPr>
            <w:tcW w:w="510" w:type="dxa"/>
            <w:tcBorders/>
            <w:shd w:fill="auto" w:val="clear"/>
            <w:vAlign w:val="center"/>
          </w:tcPr>
          <w:p>
            <w:pPr>
              <w:pStyle w:val="TableContents"/>
              <w:spacing w:before="0" w:after="283"/>
              <w:rPr/>
            </w:pPr>
            <w:r>
              <w:rPr/>
              <w:t> </w:t>
            </w:r>
          </w:p>
        </w:tc>
        <w:tc>
          <w:tcPr>
            <w:tcW w:w="9184" w:type="dxa"/>
            <w:tcBorders/>
            <w:shd w:fill="auto" w:val="clear"/>
            <w:vAlign w:val="center"/>
          </w:tcPr>
          <w:p>
            <w:pPr>
              <w:pStyle w:val="TableContents"/>
              <w:spacing w:before="0" w:after="283"/>
              <w:jc w:val="left"/>
              <w:rPr/>
            </w:pPr>
            <w:r>
              <w:rPr/>
              <w:t>Consolidated Balance Sheets as of September 30, 2011 and 2010</w:t>
            </w:r>
          </w:p>
        </w:tc>
        <w:tc>
          <w:tcPr>
            <w:tcW w:w="511" w:type="dxa"/>
            <w:tcBorders/>
            <w:shd w:fill="auto" w:val="clear"/>
            <w:vAlign w:val="center"/>
          </w:tcPr>
          <w:p>
            <w:pPr>
              <w:pStyle w:val="TableContents"/>
              <w:spacing w:before="0" w:after="283"/>
              <w:jc w:val="center"/>
              <w:rPr/>
            </w:pPr>
            <w:r>
              <w:rPr/>
              <w:t>3</w:t>
            </w:r>
          </w:p>
        </w:tc>
      </w:tr>
      <w:tr>
        <w:trPr/>
        <w:tc>
          <w:tcPr>
            <w:tcW w:w="510" w:type="dxa"/>
            <w:tcBorders/>
            <w:shd w:fill="auto" w:val="clear"/>
            <w:vAlign w:val="center"/>
          </w:tcPr>
          <w:p>
            <w:pPr>
              <w:pStyle w:val="TableContents"/>
              <w:spacing w:before="0" w:after="283"/>
              <w:rPr/>
            </w:pPr>
            <w:r>
              <w:rPr/>
              <w:t> </w:t>
            </w:r>
          </w:p>
        </w:tc>
        <w:tc>
          <w:tcPr>
            <w:tcW w:w="9184" w:type="dxa"/>
            <w:tcBorders/>
            <w:shd w:fill="auto" w:val="clear"/>
            <w:vAlign w:val="center"/>
          </w:tcPr>
          <w:p>
            <w:pPr>
              <w:pStyle w:val="TableContents"/>
              <w:spacing w:before="0" w:after="283"/>
              <w:jc w:val="left"/>
              <w:rPr/>
            </w:pPr>
            <w:r>
              <w:rPr/>
              <w:t>Consolidated Statements of Operations for each of the Three Years Ended September 30, 2011</w:t>
            </w:r>
          </w:p>
        </w:tc>
        <w:tc>
          <w:tcPr>
            <w:tcW w:w="511" w:type="dxa"/>
            <w:tcBorders/>
            <w:shd w:fill="auto" w:val="clear"/>
            <w:vAlign w:val="center"/>
          </w:tcPr>
          <w:p>
            <w:pPr>
              <w:pStyle w:val="TableContents"/>
              <w:spacing w:before="0" w:after="283"/>
              <w:jc w:val="center"/>
              <w:rPr/>
            </w:pPr>
            <w:r>
              <w:rPr/>
              <w:t>4</w:t>
            </w:r>
          </w:p>
        </w:tc>
      </w:tr>
      <w:tr>
        <w:trPr/>
        <w:tc>
          <w:tcPr>
            <w:tcW w:w="510" w:type="dxa"/>
            <w:tcBorders/>
            <w:shd w:fill="auto" w:val="clear"/>
            <w:vAlign w:val="center"/>
          </w:tcPr>
          <w:p>
            <w:pPr>
              <w:pStyle w:val="TableContents"/>
              <w:spacing w:before="0" w:after="283"/>
              <w:rPr/>
            </w:pPr>
            <w:r>
              <w:rPr/>
              <w:t> </w:t>
            </w:r>
          </w:p>
        </w:tc>
        <w:tc>
          <w:tcPr>
            <w:tcW w:w="9184" w:type="dxa"/>
            <w:tcBorders/>
            <w:shd w:fill="auto" w:val="clear"/>
            <w:vAlign w:val="center"/>
          </w:tcPr>
          <w:p>
            <w:pPr>
              <w:pStyle w:val="TableContents"/>
              <w:spacing w:before="0" w:after="283"/>
              <w:jc w:val="left"/>
              <w:rPr/>
            </w:pPr>
            <w:r>
              <w:rPr/>
              <w:t>Consolidated Statements of Comprehensive Income for each of the Three Years Ended September 30, 2011</w:t>
            </w:r>
          </w:p>
        </w:tc>
        <w:tc>
          <w:tcPr>
            <w:tcW w:w="511" w:type="dxa"/>
            <w:tcBorders/>
            <w:shd w:fill="auto" w:val="clear"/>
            <w:vAlign w:val="center"/>
          </w:tcPr>
          <w:p>
            <w:pPr>
              <w:pStyle w:val="TableContents"/>
              <w:spacing w:before="0" w:after="283"/>
              <w:jc w:val="center"/>
              <w:rPr/>
            </w:pPr>
            <w:r>
              <w:rPr/>
              <w:t>5</w:t>
            </w:r>
          </w:p>
        </w:tc>
      </w:tr>
      <w:tr>
        <w:trPr/>
        <w:tc>
          <w:tcPr>
            <w:tcW w:w="510" w:type="dxa"/>
            <w:tcBorders/>
            <w:shd w:fill="auto" w:val="clear"/>
            <w:vAlign w:val="center"/>
          </w:tcPr>
          <w:p>
            <w:pPr>
              <w:pStyle w:val="TableContents"/>
              <w:spacing w:before="0" w:after="283"/>
              <w:rPr/>
            </w:pPr>
            <w:r>
              <w:rPr/>
              <w:t> </w:t>
            </w:r>
          </w:p>
        </w:tc>
        <w:tc>
          <w:tcPr>
            <w:tcW w:w="9184" w:type="dxa"/>
            <w:tcBorders/>
            <w:shd w:fill="auto" w:val="clear"/>
            <w:vAlign w:val="center"/>
          </w:tcPr>
          <w:p>
            <w:pPr>
              <w:pStyle w:val="TableContents"/>
              <w:spacing w:before="0" w:after="283"/>
              <w:jc w:val="left"/>
              <w:rPr/>
            </w:pPr>
            <w:r>
              <w:rPr/>
              <w:t>Consolidated Statements of Cash Flows for each of the Three Years Ended September 30, 2011</w:t>
            </w:r>
          </w:p>
        </w:tc>
        <w:tc>
          <w:tcPr>
            <w:tcW w:w="511" w:type="dxa"/>
            <w:tcBorders/>
            <w:shd w:fill="auto" w:val="clear"/>
            <w:vAlign w:val="center"/>
          </w:tcPr>
          <w:p>
            <w:pPr>
              <w:pStyle w:val="TableContents"/>
              <w:spacing w:before="0" w:after="283"/>
              <w:jc w:val="center"/>
              <w:rPr/>
            </w:pPr>
            <w:r>
              <w:rPr/>
              <w:t>6</w:t>
            </w:r>
          </w:p>
        </w:tc>
      </w:tr>
      <w:tr>
        <w:trPr/>
        <w:tc>
          <w:tcPr>
            <w:tcW w:w="510" w:type="dxa"/>
            <w:tcBorders/>
            <w:shd w:fill="auto" w:val="clear"/>
            <w:vAlign w:val="center"/>
          </w:tcPr>
          <w:p>
            <w:pPr>
              <w:pStyle w:val="TableContents"/>
              <w:spacing w:before="0" w:after="283"/>
              <w:rPr/>
            </w:pPr>
            <w:r>
              <w:rPr/>
              <w:t> </w:t>
            </w:r>
          </w:p>
        </w:tc>
        <w:tc>
          <w:tcPr>
            <w:tcW w:w="9184" w:type="dxa"/>
            <w:tcBorders/>
            <w:shd w:fill="auto" w:val="clear"/>
            <w:vAlign w:val="center"/>
          </w:tcPr>
          <w:p>
            <w:pPr>
              <w:pStyle w:val="TableContents"/>
              <w:spacing w:before="0" w:after="283"/>
              <w:jc w:val="left"/>
              <w:rPr/>
            </w:pPr>
            <w:r>
              <w:rPr/>
              <w:t>Consolidated Statements of Stockholders Equity for each of the Three Years Ended September 30, 2011</w:t>
            </w:r>
          </w:p>
        </w:tc>
        <w:tc>
          <w:tcPr>
            <w:tcW w:w="511" w:type="dxa"/>
            <w:tcBorders/>
            <w:shd w:fill="auto" w:val="clear"/>
            <w:vAlign w:val="center"/>
          </w:tcPr>
          <w:p>
            <w:pPr>
              <w:pStyle w:val="TableContents"/>
              <w:spacing w:before="0" w:after="283"/>
              <w:jc w:val="center"/>
              <w:rPr/>
            </w:pPr>
            <w:r>
              <w:rPr/>
              <w:t>7</w:t>
            </w:r>
          </w:p>
        </w:tc>
      </w:tr>
      <w:tr>
        <w:trPr/>
        <w:tc>
          <w:tcPr>
            <w:tcW w:w="510" w:type="dxa"/>
            <w:tcBorders/>
            <w:shd w:fill="auto" w:val="clear"/>
            <w:vAlign w:val="center"/>
          </w:tcPr>
          <w:p>
            <w:pPr>
              <w:pStyle w:val="TableContents"/>
              <w:spacing w:before="0" w:after="283"/>
              <w:rPr/>
            </w:pPr>
            <w:r>
              <w:rPr/>
              <w:t> </w:t>
            </w:r>
          </w:p>
        </w:tc>
        <w:tc>
          <w:tcPr>
            <w:tcW w:w="9184" w:type="dxa"/>
            <w:tcBorders/>
            <w:shd w:fill="auto" w:val="clear"/>
            <w:vAlign w:val="center"/>
          </w:tcPr>
          <w:p>
            <w:pPr>
              <w:pStyle w:val="TableContents"/>
              <w:spacing w:before="0" w:after="283"/>
              <w:jc w:val="left"/>
              <w:rPr/>
            </w:pPr>
            <w:r>
              <w:rPr/>
              <w:t>Notes to Consolidated Financial Statements</w:t>
            </w:r>
          </w:p>
        </w:tc>
        <w:tc>
          <w:tcPr>
            <w:tcW w:w="511" w:type="dxa"/>
            <w:tcBorders/>
            <w:shd w:fill="auto" w:val="clear"/>
            <w:vAlign w:val="center"/>
          </w:tcPr>
          <w:p>
            <w:pPr>
              <w:pStyle w:val="TableContents"/>
              <w:spacing w:before="0" w:after="283"/>
              <w:jc w:val="center"/>
              <w:rPr/>
            </w:pPr>
            <w:r>
              <w:rPr/>
              <w:t>8</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Report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Board of Directors and Stockholders</w:t>
        <w:br/>
        <w:t>EZCORP, Inc.</w:t>
        <w:br/>
        <w:t xml:space="preserve">Austin, Texas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audited the accompanying consolidated balance sheets of EZCORP, Inc. (the Company) as of September 30, 2011 and 2010 and the related consolidated statements of operations, comprehensive income, stockholders equity, and cash flows for each of the three years in the period ended September 30, 2011. These financial statements are the responsibility of the Companys management. Our responsibility is to express an opinion on these financial statements based on our audits.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opinion, the consolidated financial statements referred to above present fairly, in all material respects, the financial position of EZCORP, Inc. at September 30, 2011 and 2010, and the results of its operations and its cash flows for each of the three years in the period ended September 30, 2011, in conformity with accounting principles generally accepted in the United States of America.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have audited, in accordance with the standards of the Public Company Accounting Oversight Board (United States), the effectiveness of EZCORP, Inc.s internal control over financial reporting as of September 30, 2011, based on criteria established in Internal Control  Integrated Framework issued by the Committee of Sponsoring Organizations of the Treadway Commission (COSO) and our report dated November 23, 2011 expressed an unqualified opinion thereon.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 BDO USA,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Dallas, Texas</w:t>
        <w:br/>
        <w:t xml:space="preserve">November 23, 2011, except with respect to our opinion on the consolidated financial statements insofar as it relates to the presentation of financial information of subsidiary guarantors and other subsidiaries discussed in Note U, as to which the date is February 3, 2012.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b/>
          <w:smallCaps/>
          <w:sz w:val="17"/>
        </w:rPr>
      </w:pPr>
      <w:r>
        <w:rPr>
          <w:rFonts w:ascii="Times New Roman;Times;serif" w:hAnsi="Times New Roman;Times;serif"/>
          <w:b/>
          <w:smallCaps/>
          <w:sz w:val="17"/>
        </w:rPr>
        <w:t>EZCORP, Inc.</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 the fiscal year ended September 30, 2011 </w:t>
      </w:r>
    </w:p>
    <w:p>
      <w:pPr>
        <w:pStyle w:val="TextBody"/>
        <w:spacing w:before="360" w:after="283"/>
        <w:jc w:val="center"/>
        <w:rPr>
          <w:rFonts w:ascii="Times New Roman;Times;serif" w:hAnsi="Times New Roman;Times;serif"/>
          <w:sz w:val="17"/>
        </w:rPr>
      </w:pPr>
      <w:r>
        <w:rPr>
          <w:rFonts w:ascii="Times New Roman;Times;serif" w:hAnsi="Times New Roman;Times;serif"/>
          <w:b/>
          <w:smallCaps/>
          <w:sz w:val="17"/>
        </w:rPr>
        <w:t>Consolidated Balance Sheets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112"/>
        <w:gridCol w:w="457"/>
        <w:gridCol w:w="151"/>
        <w:gridCol w:w="805"/>
        <w:gridCol w:w="130"/>
        <w:gridCol w:w="457"/>
        <w:gridCol w:w="151"/>
        <w:gridCol w:w="805"/>
        <w:gridCol w:w="137"/>
      </w:tblGrid>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2499"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2499" w:type="dxa"/>
            <w:gridSpan w:val="6"/>
            <w:tcBorders/>
            <w:shd w:fill="auto" w:val="clear"/>
            <w:vAlign w:val="bottom"/>
          </w:tcPr>
          <w:p>
            <w:pPr>
              <w:pStyle w:val="TableContents"/>
              <w:spacing w:before="0" w:after="283"/>
              <w:jc w:val="center"/>
              <w:rPr>
                <w:i/>
              </w:rPr>
            </w:pPr>
            <w:r>
              <w:rPr>
                <w:i/>
              </w:rPr>
              <w:t>(In thousands)</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225" w:right="0" w:hanging="225"/>
              <w:rPr/>
            </w:pPr>
            <w:r>
              <w:rPr/>
              <w:t>Assets: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Current assets: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Cash and cash equivalents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23,969</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25,854</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Pawn loans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145,318</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121,201</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Signature loans,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11,389</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10,775</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Auto title loans,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3,222</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3,145</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Pawn service charges receivable,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26,455</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21,626</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Signature loan fees receivable,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5,348</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5,818</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Auto title loan fees receivable,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1,427</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1,616</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Inventory,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90,373</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71,502</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Deferred tax asset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18,125</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23,208</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Prepaid expenses and other assets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30,611</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17,427</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Total current assets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356,237</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302,172</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Investments in unconsolidated affiliates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120,319</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101,386</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Property and equipment,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78,498</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62,293</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Deferred tax asset, non-current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60</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Goodwill</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173,206</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117,305</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Intangible assets,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19,790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16,454</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Other assets,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8,400</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6,742</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900" w:right="0" w:hanging="225"/>
              <w:rPr/>
            </w:pPr>
            <w:r>
              <w:rPr/>
              <w:t>Total assets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756,450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606,412</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225" w:right="0" w:hanging="225"/>
              <w:rPr/>
            </w:pPr>
            <w:r>
              <w:rPr/>
              <w:t>Liabilities and stockholders equity:</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Current liabilities: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Current maturities of long-term debt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10,000</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Accounts payable and other accrued expenses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57,400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49,663</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Customer layaway deposits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6,176</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6,109</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Income taxes payable</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693</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3,687</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Total current liabilities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64,269</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69,459</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Long-term debt, less current maturities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17,500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15,000</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Deferred tax liability</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8,331</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Deferred gains and other long-term liabilities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2,102</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2,525</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Total liabilities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92,202</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86,984</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Commitments and contingencies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Stockholders equity:</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Class A Non-voting Common Stock, par value $.01 per share; authorized 54 million shares; 47,228,610 issued and outstanding in 2011; 46,256,051 issued and outstanding in 2010</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471</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463</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Class B Voting Common Stock, convertible, par value $.01 per share; 3 million shares authorized; issued and outstanding: 2,970,171</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30</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30</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283"/>
              <w:rPr/>
            </w:pPr>
            <w:r>
              <w:rPr/>
              <w:t> </w:t>
            </w:r>
          </w:p>
        </w:tc>
        <w:tc>
          <w:tcPr>
            <w:tcW w:w="3093" w:type="dxa"/>
            <w:gridSpan w:val="8"/>
            <w:tcBorders/>
            <w:shd w:fill="auto" w:val="clear"/>
          </w:tcPr>
          <w:p>
            <w:pPr>
              <w:pStyle w:val="TableContents"/>
              <w:spacing w:before="0" w:after="283"/>
              <w:rPr>
                <w:sz w:val="4"/>
                <w:szCs w:val="4"/>
              </w:rPr>
            </w:pPr>
            <w:r>
              <w:rPr>
                <w:sz w:val="4"/>
                <w:szCs w:val="4"/>
              </w:rPr>
            </w:r>
          </w:p>
        </w:tc>
      </w:tr>
      <w:tr>
        <w:trPr/>
        <w:tc>
          <w:tcPr>
            <w:tcW w:w="7112" w:type="dxa"/>
            <w:tcBorders/>
            <w:shd w:fill="auto" w:val="clear"/>
            <w:vAlign w:val="bottom"/>
          </w:tcPr>
          <w:p>
            <w:pPr>
              <w:pStyle w:val="TableContents"/>
              <w:spacing w:before="0" w:after="0"/>
              <w:ind w:left="675" w:right="0" w:hanging="225"/>
              <w:rPr/>
            </w:pPr>
            <w:r>
              <w:rPr/>
              <w:t>Additional paid-in capital</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242,398</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225,374</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Retained earnings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422,095</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299,936</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Accumulated other comprehensive income (loss)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pPr>
            <w:r>
              <w:rPr/>
              <w:t>(746</w:t>
            </w:r>
          </w:p>
        </w:tc>
        <w:tc>
          <w:tcPr>
            <w:tcW w:w="130"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pPr>
            <w:r>
              <w:rPr/>
              <w:t>(6,375</w:t>
            </w:r>
          </w:p>
        </w:tc>
        <w:tc>
          <w:tcPr>
            <w:tcW w:w="137" w:type="dxa"/>
            <w:tcBorders/>
            <w:shd w:fill="auto" w:val="clear"/>
            <w:vAlign w:val="bottom"/>
          </w:tcPr>
          <w:p>
            <w:pPr>
              <w:pStyle w:val="TableContents"/>
              <w:spacing w:before="0" w:after="283"/>
              <w:rPr/>
            </w:pPr>
            <w:r>
              <w:rPr/>
              <w:t>)</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Total stockholders equity</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664,248</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519,428</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Total liabilities and stockholders equity</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756,450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606,412</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mallCaps/>
          <w:sz w:val="17"/>
        </w:rPr>
        <w:t>EZCORP, Inc.</w:t>
      </w:r>
      <w:r>
        <w:rPr>
          <w:rFonts w:ascii="Times New Roman;Times;serif" w:hAnsi="Times New Roman;Times;serif"/>
          <w:sz w:val="17"/>
        </w:rPr>
        <w:br/>
      </w:r>
      <w:r>
        <w:rPr>
          <w:rFonts w:ascii="Times New Roman;Times;serif" w:hAnsi="Times New Roman;Times;serif"/>
          <w:b/>
          <w:smallCaps/>
          <w:sz w:val="17"/>
        </w:rPr>
        <w:t>Consolidated Statements of Operations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057"/>
        <w:gridCol w:w="371"/>
        <w:gridCol w:w="184"/>
        <w:gridCol w:w="1009"/>
        <w:gridCol w:w="145"/>
        <w:gridCol w:w="381"/>
        <w:gridCol w:w="184"/>
        <w:gridCol w:w="1009"/>
        <w:gridCol w:w="145"/>
        <w:gridCol w:w="381"/>
        <w:gridCol w:w="184"/>
        <w:gridCol w:w="1017"/>
        <w:gridCol w:w="138"/>
      </w:tblGrid>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4639"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19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19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20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4639" w:type="dxa"/>
            <w:gridSpan w:val="10"/>
            <w:tcBorders/>
            <w:shd w:fill="auto" w:val="clear"/>
            <w:vAlign w:val="bottom"/>
          </w:tcPr>
          <w:p>
            <w:pPr>
              <w:pStyle w:val="TableContents"/>
              <w:spacing w:before="0" w:after="283"/>
              <w:jc w:val="center"/>
              <w:rPr>
                <w:i/>
              </w:rPr>
            </w:pPr>
            <w:r>
              <w:rPr>
                <w:i/>
              </w:rPr>
              <w:t>(In thousands, except per share amounts)</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Revenues: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Sales</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09" w:type="dxa"/>
            <w:tcBorders/>
            <w:shd w:fill="auto" w:val="clear"/>
            <w:vAlign w:val="bottom"/>
          </w:tcPr>
          <w:p>
            <w:pPr>
              <w:pStyle w:val="TableContents"/>
              <w:spacing w:before="0" w:after="283"/>
              <w:jc w:val="right"/>
              <w:rPr/>
            </w:pPr>
            <w:r>
              <w:rPr/>
              <w:t>494,562.</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09" w:type="dxa"/>
            <w:tcBorders/>
            <w:shd w:fill="auto" w:val="clear"/>
            <w:vAlign w:val="bottom"/>
          </w:tcPr>
          <w:p>
            <w:pPr>
              <w:pStyle w:val="TableContents"/>
              <w:spacing w:before="0" w:after="283"/>
              <w:jc w:val="right"/>
              <w:rPr/>
            </w:pPr>
            <w:r>
              <w:rPr/>
              <w:t>411,865</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17" w:type="dxa"/>
            <w:tcBorders/>
            <w:shd w:fill="auto" w:val="clear"/>
            <w:vAlign w:val="bottom"/>
          </w:tcPr>
          <w:p>
            <w:pPr>
              <w:pStyle w:val="TableContents"/>
              <w:spacing w:before="0" w:after="283"/>
              <w:jc w:val="right"/>
              <w:rPr/>
            </w:pPr>
            <w:r>
              <w:rPr/>
              <w:t>329,923</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Pawn service charges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201,135</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163,695</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130,169</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Signature loan fees</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150,250</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139,315</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133,344</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Auto title loan fees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21,701</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17,707</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3,589</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Other</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1,669</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463</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431</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675" w:right="0" w:hanging="225"/>
              <w:rPr/>
            </w:pPr>
            <w:r>
              <w:rPr/>
              <w:t>Total revenues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869,317</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733,045</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597,456</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Cost of goods sold</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295,620</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251,122</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203,589</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Signature loan bad debt</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36,328</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31,709</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33,553</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Auto title loan bad debt</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2,431</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2,735</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380</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675" w:right="0" w:hanging="225"/>
              <w:rPr/>
            </w:pPr>
            <w:r>
              <w:rPr/>
              <w:t>Net revenues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534,938</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447,479</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359,934</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Operating expenses:</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Operations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267,052</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236,664</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206,237</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Administrative</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75,270</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52,740</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40,497</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Depreciation and amortization</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18,344</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14,661</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12,746</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(Gain) / loss on sale or disposal of assets</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309</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1,528</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17" w:type="dxa"/>
            <w:tcBorders/>
            <w:shd w:fill="auto" w:val="clear"/>
            <w:vAlign w:val="bottom"/>
          </w:tcPr>
          <w:p>
            <w:pPr>
              <w:pStyle w:val="TableContents"/>
              <w:spacing w:before="0" w:after="283"/>
              <w:jc w:val="right"/>
              <w:rPr/>
            </w:pPr>
            <w:r>
              <w:rPr/>
              <w:t>(1,024</w:t>
            </w:r>
          </w:p>
        </w:tc>
        <w:tc>
          <w:tcPr>
            <w:tcW w:w="138" w:type="dxa"/>
            <w:tcBorders/>
            <w:shd w:fill="auto" w:val="clear"/>
            <w:vAlign w:val="bottom"/>
          </w:tcPr>
          <w:p>
            <w:pPr>
              <w:pStyle w:val="TableContents"/>
              <w:spacing w:before="0" w:after="283"/>
              <w:rPr/>
            </w:pPr>
            <w:r>
              <w:rPr/>
              <w:t>)</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675" w:right="0" w:hanging="225"/>
              <w:rPr/>
            </w:pPr>
            <w:r>
              <w:rPr/>
              <w:t>Total operating expenses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360,975</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305,593</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258,456</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Operating income</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173,963</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141,886</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101,478</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Interest income</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(37</w:t>
            </w:r>
          </w:p>
        </w:tc>
        <w:tc>
          <w:tcPr>
            <w:tcW w:w="145"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(186</w:t>
            </w:r>
          </w:p>
        </w:tc>
        <w:tc>
          <w:tcPr>
            <w:tcW w:w="145"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(281</w:t>
            </w:r>
          </w:p>
        </w:tc>
        <w:tc>
          <w:tcPr>
            <w:tcW w:w="138" w:type="dxa"/>
            <w:tcBorders/>
            <w:shd w:fill="CCEEFF" w:val="clear"/>
            <w:vAlign w:val="bottom"/>
          </w:tcPr>
          <w:p>
            <w:pPr>
              <w:pStyle w:val="TableContents"/>
              <w:spacing w:before="0" w:after="283"/>
              <w:rPr/>
            </w:pPr>
            <w:r>
              <w:rPr/>
              <w:t>)</w:t>
            </w:r>
          </w:p>
        </w:tc>
      </w:tr>
      <w:tr>
        <w:trPr/>
        <w:tc>
          <w:tcPr>
            <w:tcW w:w="5057" w:type="dxa"/>
            <w:tcBorders/>
            <w:shd w:fill="auto" w:val="clear"/>
            <w:vAlign w:val="bottom"/>
          </w:tcPr>
          <w:p>
            <w:pPr>
              <w:pStyle w:val="TableContents"/>
              <w:spacing w:before="0" w:after="0"/>
              <w:ind w:left="225" w:right="0" w:hanging="225"/>
              <w:rPr/>
            </w:pPr>
            <w:r>
              <w:rPr/>
              <w:t>Interest expense</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1,690</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1,385</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1,425</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Equity in net income of unconsolidated affiliates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(16,237</w:t>
            </w:r>
          </w:p>
        </w:tc>
        <w:tc>
          <w:tcPr>
            <w:tcW w:w="145"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(10,750</w:t>
            </w:r>
          </w:p>
        </w:tc>
        <w:tc>
          <w:tcPr>
            <w:tcW w:w="145"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(5,016</w:t>
            </w:r>
          </w:p>
        </w:tc>
        <w:tc>
          <w:tcPr>
            <w:tcW w:w="138" w:type="dxa"/>
            <w:tcBorders/>
            <w:shd w:fill="CCEEFF" w:val="clear"/>
            <w:vAlign w:val="bottom"/>
          </w:tcPr>
          <w:p>
            <w:pPr>
              <w:pStyle w:val="TableContents"/>
              <w:spacing w:before="0" w:after="283"/>
              <w:rPr/>
            </w:pPr>
            <w:r>
              <w:rPr/>
              <w:t>)</w:t>
            </w:r>
          </w:p>
        </w:tc>
      </w:tr>
      <w:tr>
        <w:trPr/>
        <w:tc>
          <w:tcPr>
            <w:tcW w:w="5057" w:type="dxa"/>
            <w:tcBorders/>
            <w:shd w:fill="auto" w:val="clear"/>
            <w:vAlign w:val="bottom"/>
          </w:tcPr>
          <w:p>
            <w:pPr>
              <w:pStyle w:val="TableContents"/>
              <w:spacing w:before="0" w:after="0"/>
              <w:ind w:left="225" w:right="0" w:hanging="225"/>
              <w:rPr/>
            </w:pPr>
            <w:r>
              <w:rPr/>
              <w:t>Other</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283"/>
              <w:jc w:val="right"/>
              <w:rPr/>
            </w:pPr>
            <w:r>
              <w:rPr/>
              <w:t>(164</w:t>
            </w:r>
          </w:p>
        </w:tc>
        <w:tc>
          <w:tcPr>
            <w:tcW w:w="145" w:type="dxa"/>
            <w:tcBorders/>
            <w:shd w:fill="auto" w:val="clear"/>
            <w:vAlign w:val="bottom"/>
          </w:tcPr>
          <w:p>
            <w:pPr>
              <w:pStyle w:val="TableContents"/>
              <w:spacing w:before="0" w:after="283"/>
              <w:rPr/>
            </w:pPr>
            <w:r>
              <w:rPr/>
              <w:t>)</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283"/>
              <w:jc w:val="right"/>
              <w:rPr/>
            </w:pPr>
            <w:r>
              <w:rPr/>
              <w:t>(93</w:t>
            </w:r>
          </w:p>
        </w:tc>
        <w:tc>
          <w:tcPr>
            <w:tcW w:w="145" w:type="dxa"/>
            <w:tcBorders/>
            <w:shd w:fill="auto" w:val="clear"/>
            <w:vAlign w:val="bottom"/>
          </w:tcPr>
          <w:p>
            <w:pPr>
              <w:pStyle w:val="TableContents"/>
              <w:spacing w:before="0" w:after="283"/>
              <w:rPr/>
            </w:pPr>
            <w:r>
              <w:rPr/>
              <w:t>)</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38</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Income before income taxes</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188,711</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151,530</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105,312</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Income tax expense</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66,552</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54,236</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36,840</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Net income</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09" w:type="dxa"/>
            <w:tcBorders/>
            <w:shd w:fill="CCEEFF" w:val="clear"/>
            <w:vAlign w:val="bottom"/>
          </w:tcPr>
          <w:p>
            <w:pPr>
              <w:pStyle w:val="TableContents"/>
              <w:spacing w:before="0" w:after="283"/>
              <w:jc w:val="right"/>
              <w:rPr/>
            </w:pPr>
            <w:r>
              <w:rPr/>
              <w:t>122,159</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09" w:type="dxa"/>
            <w:tcBorders/>
            <w:shd w:fill="CCEEFF" w:val="clear"/>
            <w:vAlign w:val="bottom"/>
          </w:tcPr>
          <w:p>
            <w:pPr>
              <w:pStyle w:val="TableContents"/>
              <w:spacing w:before="0" w:after="283"/>
              <w:jc w:val="right"/>
              <w:rPr/>
            </w:pPr>
            <w:r>
              <w:rPr/>
              <w:t>97,294</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17" w:type="dxa"/>
            <w:tcBorders/>
            <w:shd w:fill="CCEEFF" w:val="clear"/>
            <w:vAlign w:val="bottom"/>
          </w:tcPr>
          <w:p>
            <w:pPr>
              <w:pStyle w:val="TableContents"/>
              <w:spacing w:before="0" w:after="283"/>
              <w:jc w:val="right"/>
              <w:rPr/>
            </w:pPr>
            <w:r>
              <w:rPr/>
              <w:t>68,472</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Net income per common share:</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Basic</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09" w:type="dxa"/>
            <w:tcBorders/>
            <w:shd w:fill="CCEEFF" w:val="clear"/>
            <w:vAlign w:val="bottom"/>
          </w:tcPr>
          <w:p>
            <w:pPr>
              <w:pStyle w:val="TableContents"/>
              <w:spacing w:before="0" w:after="283"/>
              <w:jc w:val="right"/>
              <w:rPr/>
            </w:pPr>
            <w:r>
              <w:rPr/>
              <w:t>2.45</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09" w:type="dxa"/>
            <w:tcBorders/>
            <w:shd w:fill="CCEEFF" w:val="clear"/>
            <w:vAlign w:val="bottom"/>
          </w:tcPr>
          <w:p>
            <w:pPr>
              <w:pStyle w:val="TableContents"/>
              <w:spacing w:before="0" w:after="283"/>
              <w:jc w:val="right"/>
              <w:rPr/>
            </w:pPr>
            <w:r>
              <w:rPr/>
              <w:t>1.98</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17" w:type="dxa"/>
            <w:tcBorders/>
            <w:shd w:fill="CCEEFF" w:val="clear"/>
            <w:vAlign w:val="bottom"/>
          </w:tcPr>
          <w:p>
            <w:pPr>
              <w:pStyle w:val="TableContents"/>
              <w:spacing w:before="0" w:after="283"/>
              <w:jc w:val="right"/>
              <w:rPr/>
            </w:pPr>
            <w:r>
              <w:rPr/>
              <w:t>1.45</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Diluted</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09" w:type="dxa"/>
            <w:tcBorders/>
            <w:shd w:fill="auto" w:val="clear"/>
            <w:vAlign w:val="bottom"/>
          </w:tcPr>
          <w:p>
            <w:pPr>
              <w:pStyle w:val="TableContents"/>
              <w:spacing w:before="0" w:after="283"/>
              <w:jc w:val="right"/>
              <w:rPr/>
            </w:pPr>
            <w:r>
              <w:rPr/>
              <w:t>2.43</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09" w:type="dxa"/>
            <w:tcBorders/>
            <w:shd w:fill="auto" w:val="clear"/>
            <w:vAlign w:val="bottom"/>
          </w:tcPr>
          <w:p>
            <w:pPr>
              <w:pStyle w:val="TableContents"/>
              <w:spacing w:before="0" w:after="283"/>
              <w:jc w:val="right"/>
              <w:rPr/>
            </w:pPr>
            <w:r>
              <w:rPr/>
              <w:t>1.96</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17" w:type="dxa"/>
            <w:tcBorders/>
            <w:shd w:fill="auto" w:val="clear"/>
            <w:vAlign w:val="bottom"/>
          </w:tcPr>
          <w:p>
            <w:pPr>
              <w:pStyle w:val="TableContents"/>
              <w:spacing w:before="0" w:after="283"/>
              <w:jc w:val="right"/>
              <w:rPr/>
            </w:pPr>
            <w:r>
              <w:rPr/>
              <w:t>1.42</w:t>
            </w:r>
          </w:p>
        </w:tc>
        <w:tc>
          <w:tcPr>
            <w:tcW w:w="138"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2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Weighted average shares outstanding:</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Basic</w:t>
            </w:r>
          </w:p>
        </w:tc>
        <w:tc>
          <w:tcPr>
            <w:tcW w:w="37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49,917</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49,033</w:t>
            </w:r>
          </w:p>
        </w:tc>
        <w:tc>
          <w:tcPr>
            <w:tcW w:w="14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47,372</w:t>
            </w:r>
          </w:p>
        </w:tc>
        <w:tc>
          <w:tcPr>
            <w:tcW w:w="138"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Diluted</w:t>
            </w:r>
          </w:p>
        </w:tc>
        <w:tc>
          <w:tcPr>
            <w:tcW w:w="37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50,369</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49,576</w:t>
            </w:r>
          </w:p>
        </w:tc>
        <w:tc>
          <w:tcPr>
            <w:tcW w:w="14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48,076</w:t>
            </w:r>
          </w:p>
        </w:tc>
        <w:tc>
          <w:tcPr>
            <w:tcW w:w="138"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mallCaps/>
          <w:sz w:val="17"/>
        </w:rPr>
        <w:t>EZCORP, Inc.</w:t>
      </w:r>
      <w:r>
        <w:rPr>
          <w:rFonts w:ascii="Times New Roman;Times;serif" w:hAnsi="Times New Roman;Times;serif"/>
          <w:sz w:val="17"/>
        </w:rPr>
        <w:br/>
      </w:r>
      <w:r>
        <w:rPr>
          <w:rFonts w:ascii="Times New Roman;Times;serif" w:hAnsi="Times New Roman;Times;serif"/>
          <w:b/>
          <w:smallCaps/>
          <w:sz w:val="17"/>
        </w:rPr>
        <w:t>Consolidated Statements of Comprehensive Income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023"/>
        <w:gridCol w:w="362"/>
        <w:gridCol w:w="181"/>
        <w:gridCol w:w="993"/>
        <w:gridCol w:w="143"/>
        <w:gridCol w:w="368"/>
        <w:gridCol w:w="238"/>
        <w:gridCol w:w="1170"/>
        <w:gridCol w:w="143"/>
        <w:gridCol w:w="368"/>
        <w:gridCol w:w="181"/>
        <w:gridCol w:w="894"/>
        <w:gridCol w:w="141"/>
      </w:tblGrid>
      <w:tr>
        <w:trPr/>
        <w:tc>
          <w:tcPr>
            <w:tcW w:w="5023"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023"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4679"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41" w:type="dxa"/>
            <w:tcBorders/>
            <w:shd w:fill="auto" w:val="clear"/>
            <w:vAlign w:val="bottom"/>
          </w:tcPr>
          <w:p>
            <w:pPr>
              <w:pStyle w:val="TableContents"/>
              <w:spacing w:before="0" w:after="283"/>
              <w:rPr/>
            </w:pPr>
            <w:r>
              <w:rPr/>
              <w:t> </w:t>
            </w:r>
          </w:p>
        </w:tc>
      </w:tr>
      <w:tr>
        <w:trPr/>
        <w:tc>
          <w:tcPr>
            <w:tcW w:w="5023"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17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07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1" w:type="dxa"/>
            <w:tcBorders/>
            <w:shd w:fill="auto" w:val="clear"/>
            <w:vAlign w:val="bottom"/>
          </w:tcPr>
          <w:p>
            <w:pPr>
              <w:pStyle w:val="TableContents"/>
              <w:spacing w:before="0" w:after="283"/>
              <w:rPr/>
            </w:pPr>
            <w:r>
              <w:rPr/>
              <w:t> </w:t>
            </w:r>
          </w:p>
        </w:tc>
      </w:tr>
      <w:tr>
        <w:trPr/>
        <w:tc>
          <w:tcPr>
            <w:tcW w:w="5023"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8" w:type="dxa"/>
            <w:gridSpan w:val="2"/>
            <w:tcBorders/>
            <w:shd w:fill="auto" w:val="clear"/>
            <w:vAlign w:val="bottom"/>
          </w:tcPr>
          <w:p>
            <w:pPr>
              <w:pStyle w:val="TableContents"/>
              <w:spacing w:before="0" w:after="283"/>
              <w:jc w:val="center"/>
              <w:rPr>
                <w:i/>
              </w:rPr>
            </w:pPr>
            <w:r>
              <w:rPr>
                <w:i/>
              </w:rPr>
              <w:t>(In thousands)</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023" w:type="dxa"/>
            <w:tcBorders/>
            <w:shd w:fill="CCEEFF" w:val="clear"/>
            <w:vAlign w:val="bottom"/>
          </w:tcPr>
          <w:p>
            <w:pPr>
              <w:pStyle w:val="TableContents"/>
              <w:spacing w:before="0" w:after="0"/>
              <w:ind w:left="225" w:right="0" w:hanging="225"/>
              <w:rPr/>
            </w:pPr>
            <w:r>
              <w:rPr/>
              <w:t>Net Income</w:t>
            </w:r>
          </w:p>
        </w:tc>
        <w:tc>
          <w:tcPr>
            <w:tcW w:w="36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993" w:type="dxa"/>
            <w:tcBorders/>
            <w:shd w:fill="CCEEFF" w:val="clear"/>
            <w:vAlign w:val="bottom"/>
          </w:tcPr>
          <w:p>
            <w:pPr>
              <w:pStyle w:val="TableContents"/>
              <w:spacing w:before="0" w:after="283"/>
              <w:jc w:val="right"/>
              <w:rPr/>
            </w:pPr>
            <w:r>
              <w:rPr/>
              <w:t>122,159</w:t>
            </w:r>
          </w:p>
        </w:tc>
        <w:tc>
          <w:tcPr>
            <w:tcW w:w="143"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170" w:type="dxa"/>
            <w:tcBorders/>
            <w:shd w:fill="CCEEFF" w:val="clear"/>
            <w:vAlign w:val="bottom"/>
          </w:tcPr>
          <w:p>
            <w:pPr>
              <w:pStyle w:val="TableContents"/>
              <w:spacing w:before="0" w:after="283"/>
              <w:jc w:val="right"/>
              <w:rPr/>
            </w:pPr>
            <w:r>
              <w:rPr/>
              <w:t>97,294</w:t>
            </w:r>
          </w:p>
        </w:tc>
        <w:tc>
          <w:tcPr>
            <w:tcW w:w="143"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894" w:type="dxa"/>
            <w:tcBorders/>
            <w:shd w:fill="CCEEFF" w:val="clear"/>
            <w:vAlign w:val="bottom"/>
          </w:tcPr>
          <w:p>
            <w:pPr>
              <w:pStyle w:val="TableContents"/>
              <w:spacing w:before="0" w:after="283"/>
              <w:jc w:val="right"/>
              <w:rPr/>
            </w:pPr>
            <w:r>
              <w:rPr/>
              <w:t>68,472</w:t>
            </w:r>
          </w:p>
        </w:tc>
        <w:tc>
          <w:tcPr>
            <w:tcW w:w="141" w:type="dxa"/>
            <w:tcBorders/>
            <w:shd w:fill="CCEEFF" w:val="clear"/>
            <w:vAlign w:val="bottom"/>
          </w:tcPr>
          <w:p>
            <w:pPr>
              <w:pStyle w:val="TableContents"/>
              <w:spacing w:before="0" w:after="283"/>
              <w:rPr/>
            </w:pPr>
            <w:r>
              <w:rPr/>
              <w:t> </w:t>
            </w:r>
          </w:p>
        </w:tc>
      </w:tr>
      <w:tr>
        <w:trPr/>
        <w:tc>
          <w:tcPr>
            <w:tcW w:w="5023" w:type="dxa"/>
            <w:tcBorders/>
            <w:shd w:fill="auto" w:val="clear"/>
            <w:vAlign w:val="bottom"/>
          </w:tcPr>
          <w:p>
            <w:pPr>
              <w:pStyle w:val="TableContents"/>
              <w:spacing w:before="0" w:after="0"/>
              <w:ind w:left="225" w:right="0" w:hanging="225"/>
              <w:rPr/>
            </w:pPr>
            <w:r>
              <w:rPr/>
              <w:t>Other comprehensive income (loss):</w:t>
            </w:r>
          </w:p>
        </w:tc>
        <w:tc>
          <w:tcPr>
            <w:tcW w:w="36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023" w:type="dxa"/>
            <w:tcBorders/>
            <w:shd w:fill="CCEEFF" w:val="clear"/>
            <w:vAlign w:val="bottom"/>
          </w:tcPr>
          <w:p>
            <w:pPr>
              <w:pStyle w:val="TableContents"/>
              <w:spacing w:before="0" w:after="0"/>
              <w:ind w:left="450" w:right="0" w:hanging="225"/>
              <w:rPr/>
            </w:pPr>
            <w:r>
              <w:rPr/>
              <w:t>Foreign currency translation adjustments</w:t>
            </w:r>
          </w:p>
        </w:tc>
        <w:tc>
          <w:tcPr>
            <w:tcW w:w="36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10,393</w:t>
            </w:r>
          </w:p>
        </w:tc>
        <w:tc>
          <w:tcPr>
            <w:tcW w:w="143"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170" w:type="dxa"/>
            <w:tcBorders/>
            <w:shd w:fill="CCEEFF" w:val="clear"/>
            <w:vAlign w:val="bottom"/>
          </w:tcPr>
          <w:p>
            <w:pPr>
              <w:pStyle w:val="TableContents"/>
              <w:spacing w:before="0" w:after="283"/>
              <w:jc w:val="right"/>
              <w:rPr/>
            </w:pPr>
            <w:r>
              <w:rPr/>
              <w:t>(3,673</w:t>
            </w:r>
          </w:p>
        </w:tc>
        <w:tc>
          <w:tcPr>
            <w:tcW w:w="143" w:type="dxa"/>
            <w:tcBorders/>
            <w:shd w:fill="CCEEFF" w:val="clear"/>
            <w:vAlign w:val="bottom"/>
          </w:tcPr>
          <w:p>
            <w:pPr>
              <w:pStyle w:val="TableContents"/>
              <w:spacing w:before="0" w:after="283"/>
              <w:rPr/>
            </w:pPr>
            <w:r>
              <w:rPr/>
              <w:t>)</w:t>
            </w:r>
          </w:p>
        </w:tc>
        <w:tc>
          <w:tcPr>
            <w:tcW w:w="36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894" w:type="dxa"/>
            <w:tcBorders/>
            <w:shd w:fill="CCEEFF" w:val="clear"/>
            <w:vAlign w:val="bottom"/>
          </w:tcPr>
          <w:p>
            <w:pPr>
              <w:pStyle w:val="TableContents"/>
              <w:spacing w:before="0" w:after="283"/>
              <w:jc w:val="right"/>
              <w:rPr/>
            </w:pPr>
            <w:r>
              <w:rPr/>
              <w:t>(8,799</w:t>
            </w:r>
          </w:p>
        </w:tc>
        <w:tc>
          <w:tcPr>
            <w:tcW w:w="141" w:type="dxa"/>
            <w:tcBorders/>
            <w:shd w:fill="CCEEFF" w:val="clear"/>
            <w:vAlign w:val="bottom"/>
          </w:tcPr>
          <w:p>
            <w:pPr>
              <w:pStyle w:val="TableContents"/>
              <w:spacing w:before="0" w:after="283"/>
              <w:rPr/>
            </w:pPr>
            <w:r>
              <w:rPr/>
              <w:t>)</w:t>
            </w:r>
          </w:p>
        </w:tc>
      </w:tr>
      <w:tr>
        <w:trPr/>
        <w:tc>
          <w:tcPr>
            <w:tcW w:w="5023" w:type="dxa"/>
            <w:tcBorders/>
            <w:shd w:fill="auto" w:val="clear"/>
            <w:vAlign w:val="bottom"/>
          </w:tcPr>
          <w:p>
            <w:pPr>
              <w:pStyle w:val="TableContents"/>
              <w:spacing w:before="0" w:after="0"/>
              <w:ind w:left="450" w:right="0" w:hanging="225"/>
              <w:rPr/>
            </w:pPr>
            <w:r>
              <w:rPr/>
              <w:t>Unrealized holding gains arising during period</w:t>
            </w:r>
          </w:p>
        </w:tc>
        <w:tc>
          <w:tcPr>
            <w:tcW w:w="36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930</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r>
      <w:tr>
        <w:trPr/>
        <w:tc>
          <w:tcPr>
            <w:tcW w:w="5023" w:type="dxa"/>
            <w:tcBorders/>
            <w:shd w:fill="CCEEFF" w:val="clear"/>
            <w:vAlign w:val="bottom"/>
          </w:tcPr>
          <w:p>
            <w:pPr>
              <w:pStyle w:val="TableContents"/>
              <w:spacing w:before="0" w:after="0"/>
              <w:ind w:left="450" w:right="0" w:hanging="225"/>
              <w:rPr/>
            </w:pPr>
            <w:r>
              <w:rPr/>
              <w:t>Income tax benefit (provision)</w:t>
            </w:r>
          </w:p>
        </w:tc>
        <w:tc>
          <w:tcPr>
            <w:tcW w:w="36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993" w:type="dxa"/>
            <w:tcBorders/>
            <w:shd w:fill="CCEEFF" w:val="clear"/>
            <w:vAlign w:val="bottom"/>
          </w:tcPr>
          <w:p>
            <w:pPr>
              <w:pStyle w:val="TableContents"/>
              <w:spacing w:before="0" w:after="283"/>
              <w:jc w:val="right"/>
              <w:rPr/>
            </w:pPr>
            <w:r>
              <w:rPr/>
              <w:t>(5,694</w:t>
            </w:r>
          </w:p>
        </w:tc>
        <w:tc>
          <w:tcPr>
            <w:tcW w:w="143" w:type="dxa"/>
            <w:tcBorders/>
            <w:shd w:fill="CCEEFF" w:val="clear"/>
            <w:vAlign w:val="bottom"/>
          </w:tcPr>
          <w:p>
            <w:pPr>
              <w:pStyle w:val="TableContents"/>
              <w:spacing w:before="0" w:after="283"/>
              <w:rPr/>
            </w:pPr>
            <w:r>
              <w:rPr/>
              <w:t>)</w:t>
            </w:r>
          </w:p>
        </w:tc>
        <w:tc>
          <w:tcPr>
            <w:tcW w:w="36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1,918</w:t>
            </w:r>
          </w:p>
        </w:tc>
        <w:tc>
          <w:tcPr>
            <w:tcW w:w="143"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pPr>
            <w:r>
              <w:rPr/>
              <w:t>1,598</w:t>
            </w:r>
          </w:p>
        </w:tc>
        <w:tc>
          <w:tcPr>
            <w:tcW w:w="141" w:type="dxa"/>
            <w:tcBorders/>
            <w:shd w:fill="CCEEFF" w:val="clear"/>
            <w:vAlign w:val="bottom"/>
          </w:tcPr>
          <w:p>
            <w:pPr>
              <w:pStyle w:val="TableContents"/>
              <w:spacing w:before="0" w:after="283"/>
              <w:rPr/>
            </w:pPr>
            <w:r>
              <w:rPr/>
              <w:t> </w:t>
            </w:r>
          </w:p>
        </w:tc>
      </w:tr>
      <w:tr>
        <w:trPr/>
        <w:tc>
          <w:tcPr>
            <w:tcW w:w="5023" w:type="dxa"/>
            <w:tcBorders/>
            <w:shd w:fill="auto" w:val="clear"/>
            <w:vAlign w:val="center"/>
          </w:tcPr>
          <w:p>
            <w:pPr>
              <w:pStyle w:val="TableContents"/>
              <w:spacing w:before="0" w:after="0"/>
              <w:ind w:left="225" w:right="0" w:hanging="225"/>
              <w:rPr/>
            </w:pPr>
            <w:r>
              <w:rPr/>
              <w:t> </w:t>
            </w:r>
          </w:p>
        </w:tc>
        <w:tc>
          <w:tcPr>
            <w:tcW w:w="362" w:type="dxa"/>
            <w:tcBorders/>
            <w:shd w:fill="auto" w:val="clear"/>
            <w:vAlign w:val="center"/>
          </w:tcPr>
          <w:p>
            <w:pPr>
              <w:pStyle w:val="TableContents"/>
              <w:spacing w:before="0" w:after="283"/>
              <w:rPr/>
            </w:pPr>
            <w:r>
              <w:rPr/>
              <w:t> </w:t>
            </w:r>
          </w:p>
        </w:tc>
        <w:tc>
          <w:tcPr>
            <w:tcW w:w="11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4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5023" w:type="dxa"/>
            <w:tcBorders/>
            <w:shd w:fill="auto" w:val="clear"/>
            <w:vAlign w:val="bottom"/>
          </w:tcPr>
          <w:p>
            <w:pPr>
              <w:pStyle w:val="TableContents"/>
              <w:spacing w:before="0" w:after="0"/>
              <w:ind w:left="225" w:right="0" w:hanging="225"/>
              <w:rPr/>
            </w:pPr>
            <w:r>
              <w:rPr/>
              <w:t>Other comprehensive income, net of tax</w:t>
            </w:r>
          </w:p>
        </w:tc>
        <w:tc>
          <w:tcPr>
            <w:tcW w:w="36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5,629</w:t>
            </w:r>
          </w:p>
        </w:tc>
        <w:tc>
          <w:tcPr>
            <w:tcW w:w="143"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170" w:type="dxa"/>
            <w:tcBorders/>
            <w:shd w:fill="auto" w:val="clear"/>
            <w:vAlign w:val="bottom"/>
          </w:tcPr>
          <w:p>
            <w:pPr>
              <w:pStyle w:val="TableContents"/>
              <w:spacing w:before="0" w:after="283"/>
              <w:jc w:val="right"/>
              <w:rPr/>
            </w:pPr>
            <w:r>
              <w:rPr/>
              <w:t>(1,755</w:t>
            </w:r>
          </w:p>
        </w:tc>
        <w:tc>
          <w:tcPr>
            <w:tcW w:w="143" w:type="dxa"/>
            <w:tcBorders/>
            <w:shd w:fill="auto" w:val="clear"/>
            <w:vAlign w:val="bottom"/>
          </w:tcPr>
          <w:p>
            <w:pPr>
              <w:pStyle w:val="TableContents"/>
              <w:spacing w:before="0" w:after="283"/>
              <w:rPr/>
            </w:pPr>
            <w:r>
              <w:rPr/>
              <w:t>)</w:t>
            </w:r>
          </w:p>
        </w:tc>
        <w:tc>
          <w:tcPr>
            <w:tcW w:w="3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pPr>
            <w:r>
              <w:rPr/>
              <w:t>(7,201</w:t>
            </w:r>
          </w:p>
        </w:tc>
        <w:tc>
          <w:tcPr>
            <w:tcW w:w="141" w:type="dxa"/>
            <w:tcBorders/>
            <w:shd w:fill="auto" w:val="clear"/>
            <w:vAlign w:val="bottom"/>
          </w:tcPr>
          <w:p>
            <w:pPr>
              <w:pStyle w:val="TableContents"/>
              <w:spacing w:before="0" w:after="283"/>
              <w:rPr/>
            </w:pPr>
            <w:r>
              <w:rPr/>
              <w:t>)</w:t>
            </w:r>
          </w:p>
        </w:tc>
      </w:tr>
      <w:tr>
        <w:trPr/>
        <w:tc>
          <w:tcPr>
            <w:tcW w:w="5023" w:type="dxa"/>
            <w:tcBorders/>
            <w:shd w:fill="auto" w:val="clear"/>
            <w:vAlign w:val="center"/>
          </w:tcPr>
          <w:p>
            <w:pPr>
              <w:pStyle w:val="TableContents"/>
              <w:spacing w:before="0" w:after="0"/>
              <w:ind w:left="225" w:right="0" w:hanging="225"/>
              <w:rPr/>
            </w:pPr>
            <w:r>
              <w:rPr/>
              <w:t> </w:t>
            </w:r>
          </w:p>
        </w:tc>
        <w:tc>
          <w:tcPr>
            <w:tcW w:w="362" w:type="dxa"/>
            <w:tcBorders/>
            <w:shd w:fill="auto" w:val="clear"/>
            <w:vAlign w:val="center"/>
          </w:tcPr>
          <w:p>
            <w:pPr>
              <w:pStyle w:val="TableContents"/>
              <w:spacing w:before="0" w:after="283"/>
              <w:rPr/>
            </w:pPr>
            <w:r>
              <w:rPr/>
              <w:t> </w:t>
            </w:r>
          </w:p>
        </w:tc>
        <w:tc>
          <w:tcPr>
            <w:tcW w:w="11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4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5023" w:type="dxa"/>
            <w:tcBorders/>
            <w:shd w:fill="CCEEFF" w:val="clear"/>
            <w:vAlign w:val="bottom"/>
          </w:tcPr>
          <w:p>
            <w:pPr>
              <w:pStyle w:val="TableContents"/>
              <w:spacing w:before="0" w:after="0"/>
              <w:ind w:left="225" w:right="0" w:hanging="225"/>
              <w:rPr/>
            </w:pPr>
            <w:r>
              <w:rPr/>
              <w:t>Comprehensive income</w:t>
            </w:r>
          </w:p>
        </w:tc>
        <w:tc>
          <w:tcPr>
            <w:tcW w:w="36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993" w:type="dxa"/>
            <w:tcBorders/>
            <w:shd w:fill="CCEEFF" w:val="clear"/>
            <w:vAlign w:val="bottom"/>
          </w:tcPr>
          <w:p>
            <w:pPr>
              <w:pStyle w:val="TableContents"/>
              <w:spacing w:before="0" w:after="283"/>
              <w:jc w:val="right"/>
              <w:rPr/>
            </w:pPr>
            <w:r>
              <w:rPr/>
              <w:t>127,788</w:t>
            </w:r>
          </w:p>
        </w:tc>
        <w:tc>
          <w:tcPr>
            <w:tcW w:w="143"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170" w:type="dxa"/>
            <w:tcBorders/>
            <w:shd w:fill="CCEEFF" w:val="clear"/>
            <w:vAlign w:val="bottom"/>
          </w:tcPr>
          <w:p>
            <w:pPr>
              <w:pStyle w:val="TableContents"/>
              <w:spacing w:before="0" w:after="283"/>
              <w:jc w:val="right"/>
              <w:rPr/>
            </w:pPr>
            <w:r>
              <w:rPr/>
              <w:t>95,539</w:t>
            </w:r>
          </w:p>
        </w:tc>
        <w:tc>
          <w:tcPr>
            <w:tcW w:w="143"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894" w:type="dxa"/>
            <w:tcBorders/>
            <w:shd w:fill="CCEEFF" w:val="clear"/>
            <w:vAlign w:val="bottom"/>
          </w:tcPr>
          <w:p>
            <w:pPr>
              <w:pStyle w:val="TableContents"/>
              <w:spacing w:before="0" w:after="283"/>
              <w:jc w:val="right"/>
              <w:rPr/>
            </w:pPr>
            <w:r>
              <w:rPr/>
              <w:t>61,271</w:t>
            </w:r>
          </w:p>
        </w:tc>
        <w:tc>
          <w:tcPr>
            <w:tcW w:w="141" w:type="dxa"/>
            <w:tcBorders/>
            <w:shd w:fill="CCEEFF" w:val="clear"/>
            <w:vAlign w:val="bottom"/>
          </w:tcPr>
          <w:p>
            <w:pPr>
              <w:pStyle w:val="TableContents"/>
              <w:spacing w:before="0" w:after="283"/>
              <w:rPr/>
            </w:pPr>
            <w:r>
              <w:rPr/>
              <w:t> </w:t>
            </w:r>
          </w:p>
        </w:tc>
      </w:tr>
      <w:tr>
        <w:trPr/>
        <w:tc>
          <w:tcPr>
            <w:tcW w:w="5023" w:type="dxa"/>
            <w:tcBorders/>
            <w:shd w:fill="auto" w:val="clear"/>
            <w:vAlign w:val="center"/>
          </w:tcPr>
          <w:p>
            <w:pPr>
              <w:pStyle w:val="TableContents"/>
              <w:spacing w:before="0" w:after="0"/>
              <w:ind w:left="225" w:right="0" w:hanging="225"/>
              <w:rPr/>
            </w:pPr>
            <w:r>
              <w:rPr/>
              <w:t> </w:t>
            </w:r>
          </w:p>
        </w:tc>
        <w:tc>
          <w:tcPr>
            <w:tcW w:w="362" w:type="dxa"/>
            <w:tcBorders/>
            <w:shd w:fill="auto" w:val="clear"/>
            <w:vAlign w:val="center"/>
          </w:tcPr>
          <w:p>
            <w:pPr>
              <w:pStyle w:val="TableContents"/>
              <w:spacing w:before="0" w:after="283"/>
              <w:rPr/>
            </w:pPr>
            <w:r>
              <w:rPr/>
              <w:t> </w:t>
            </w:r>
          </w:p>
        </w:tc>
        <w:tc>
          <w:tcPr>
            <w:tcW w:w="11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4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0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r>
      <w:r>
        <w:rPr>
          <w:rFonts w:ascii="Times New Roman;Times;serif" w:hAnsi="Times New Roman;Times;serif"/>
          <w:sz w:val="17"/>
        </w:rPr>
        <w:br/>
      </w:r>
      <w:r>
        <w:rPr>
          <w:rFonts w:ascii="Times New Roman;Times;serif" w:hAnsi="Times New Roman;Times;serif"/>
          <w:b/>
          <w:smallCaps/>
          <w:sz w:val="17"/>
        </w:rPr>
        <w:t>Consolidated Statements of Cash Flows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087"/>
        <w:gridCol w:w="348"/>
        <w:gridCol w:w="166"/>
        <w:gridCol w:w="964"/>
        <w:gridCol w:w="132"/>
        <w:gridCol w:w="348"/>
        <w:gridCol w:w="204"/>
        <w:gridCol w:w="1206"/>
        <w:gridCol w:w="132"/>
        <w:gridCol w:w="348"/>
        <w:gridCol w:w="166"/>
        <w:gridCol w:w="964"/>
        <w:gridCol w:w="140"/>
      </w:tblGrid>
      <w:tr>
        <w:trPr/>
        <w:tc>
          <w:tcPr>
            <w:tcW w:w="5087"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4630"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13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13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10" w:type="dxa"/>
            <w:gridSpan w:val="2"/>
            <w:tcBorders/>
            <w:shd w:fill="auto" w:val="clear"/>
            <w:vAlign w:val="bottom"/>
          </w:tcPr>
          <w:p>
            <w:pPr>
              <w:pStyle w:val="TableContents"/>
              <w:spacing w:before="0" w:after="283"/>
              <w:jc w:val="center"/>
              <w:rPr/>
            </w:pPr>
            <w:r>
              <w:rPr/>
              <w:t>(</w:t>
            </w:r>
            <w:r>
              <w:rPr>
                <w:i/>
              </w:rPr>
              <w:t>In thousands)</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225" w:right="0" w:hanging="225"/>
              <w:rPr/>
            </w:pPr>
            <w:r>
              <w:rPr/>
              <w:t>Operating Activities: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Net income</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122,159</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206" w:type="dxa"/>
            <w:tcBorders/>
            <w:shd w:fill="auto" w:val="clear"/>
            <w:vAlign w:val="bottom"/>
          </w:tcPr>
          <w:p>
            <w:pPr>
              <w:pStyle w:val="TableContents"/>
              <w:spacing w:before="0" w:after="283"/>
              <w:jc w:val="right"/>
              <w:rPr/>
            </w:pPr>
            <w:r>
              <w:rPr/>
              <w:t>97,294</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68,472</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900" w:right="0" w:hanging="225"/>
              <w:rPr/>
            </w:pPr>
            <w:r>
              <w:rPr/>
              <w:t>Depreciation and amortization</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18,344</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14,661</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12,746</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900" w:right="0" w:hanging="225"/>
              <w:rPr/>
            </w:pPr>
            <w:r>
              <w:rPr/>
              <w:t>Signature loan and auto title loan loss provisions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15,052</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11,588</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9,023</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900" w:right="0" w:hanging="225"/>
              <w:rPr/>
            </w:pPr>
            <w:r>
              <w:rPr/>
              <w:t>Deferred taxes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13,647</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(1,287</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2,493</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900" w:right="0" w:hanging="225"/>
              <w:rPr/>
            </w:pPr>
            <w:r>
              <w:rPr/>
              <w:t>(Gain) / loss on sale or disposal of assets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309</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1,528</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(1,024</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900" w:right="0" w:hanging="225"/>
              <w:rPr/>
            </w:pPr>
            <w:r>
              <w:rPr/>
              <w:t>Stock compensation</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13,208</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4,512</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3,701</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900" w:right="0" w:hanging="225"/>
              <w:rPr/>
            </w:pPr>
            <w:r>
              <w:rPr/>
              <w:t>Income from investments in unconsolidated affiliates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(16,237</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(10,750</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(5,016</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450" w:right="0" w:hanging="225"/>
              <w:rPr/>
            </w:pPr>
            <w:r>
              <w:rPr/>
              <w:t>Changes in operating assets and liabilities, net of business acquisitions: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900" w:right="0" w:hanging="225"/>
              <w:rPr/>
            </w:pPr>
            <w:r>
              <w:rPr/>
              <w:t>Service charges and fees receivable, net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(2,998</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(4,312</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(1,408</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900" w:right="0" w:hanging="225"/>
              <w:rPr/>
            </w:pPr>
            <w:r>
              <w:rPr/>
              <w:t>Inventory, net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(5,422</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(2,144</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(783</w:t>
            </w:r>
          </w:p>
        </w:tc>
        <w:tc>
          <w:tcPr>
            <w:tcW w:w="140" w:type="dxa"/>
            <w:tcBorders/>
            <w:shd w:fill="auto" w:val="clear"/>
            <w:vAlign w:val="bottom"/>
          </w:tcPr>
          <w:p>
            <w:pPr>
              <w:pStyle w:val="TableContents"/>
              <w:spacing w:before="0" w:after="283"/>
              <w:rPr/>
            </w:pPr>
            <w:r>
              <w:rPr/>
              <w:t>)</w:t>
            </w:r>
          </w:p>
        </w:tc>
      </w:tr>
      <w:tr>
        <w:trPr/>
        <w:tc>
          <w:tcPr>
            <w:tcW w:w="5087" w:type="dxa"/>
            <w:tcBorders/>
            <w:shd w:fill="CCEEFF" w:val="clear"/>
            <w:vAlign w:val="bottom"/>
          </w:tcPr>
          <w:p>
            <w:pPr>
              <w:pStyle w:val="TableContents"/>
              <w:spacing w:before="0" w:after="0"/>
              <w:ind w:left="900" w:right="0" w:hanging="225"/>
              <w:rPr/>
            </w:pPr>
            <w:r>
              <w:rPr/>
              <w:t>Prepaid expenses, other current assets, and other assets, net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(12,759</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(6,277</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(4,767</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900" w:right="0" w:hanging="225"/>
              <w:rPr/>
            </w:pPr>
            <w:r>
              <w:rPr/>
              <w:t>Accounts payable and accrued expenses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6,881</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15,592</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(3,649</w:t>
            </w:r>
          </w:p>
        </w:tc>
        <w:tc>
          <w:tcPr>
            <w:tcW w:w="140" w:type="dxa"/>
            <w:tcBorders/>
            <w:shd w:fill="auto" w:val="clear"/>
            <w:vAlign w:val="bottom"/>
          </w:tcPr>
          <w:p>
            <w:pPr>
              <w:pStyle w:val="TableContents"/>
              <w:spacing w:before="0" w:after="283"/>
              <w:rPr/>
            </w:pPr>
            <w:r>
              <w:rPr/>
              <w:t>)</w:t>
            </w:r>
          </w:p>
        </w:tc>
      </w:tr>
      <w:tr>
        <w:trPr/>
        <w:tc>
          <w:tcPr>
            <w:tcW w:w="5087" w:type="dxa"/>
            <w:tcBorders/>
            <w:shd w:fill="CCEEFF" w:val="clear"/>
            <w:vAlign w:val="bottom"/>
          </w:tcPr>
          <w:p>
            <w:pPr>
              <w:pStyle w:val="TableContents"/>
              <w:spacing w:before="0" w:after="0"/>
              <w:ind w:left="900" w:right="0" w:hanging="225"/>
              <w:rPr/>
            </w:pPr>
            <w:r>
              <w:rPr/>
              <w:t>Customer layaway deposits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(70</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1,824</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861</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900" w:right="0" w:hanging="225"/>
              <w:rPr/>
            </w:pPr>
            <w:r>
              <w:rPr/>
              <w:t>Deferred gains and other long-term liabilities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(345</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(736</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(363</w:t>
            </w:r>
          </w:p>
        </w:tc>
        <w:tc>
          <w:tcPr>
            <w:tcW w:w="140" w:type="dxa"/>
            <w:tcBorders/>
            <w:shd w:fill="auto" w:val="clear"/>
            <w:vAlign w:val="bottom"/>
          </w:tcPr>
          <w:p>
            <w:pPr>
              <w:pStyle w:val="TableContents"/>
              <w:spacing w:before="0" w:after="283"/>
              <w:rPr/>
            </w:pPr>
            <w:r>
              <w:rPr/>
              <w:t>)</w:t>
            </w:r>
          </w:p>
        </w:tc>
      </w:tr>
      <w:tr>
        <w:trPr/>
        <w:tc>
          <w:tcPr>
            <w:tcW w:w="5087" w:type="dxa"/>
            <w:tcBorders/>
            <w:shd w:fill="CCEEFF" w:val="clear"/>
            <w:vAlign w:val="bottom"/>
          </w:tcPr>
          <w:p>
            <w:pPr>
              <w:pStyle w:val="TableContents"/>
              <w:spacing w:before="0" w:after="0"/>
              <w:ind w:left="900" w:right="0" w:hanging="225"/>
              <w:rPr/>
            </w:pPr>
            <w:r>
              <w:rPr/>
              <w:t>Excess tax benefit from stock compensation</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(3,230</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(1,861</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(1,789</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900" w:right="0" w:hanging="225"/>
              <w:rPr/>
            </w:pPr>
            <w:r>
              <w:rPr/>
              <w:t>Income taxes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(98</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5,093</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2,120</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4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1125" w:right="0" w:hanging="225"/>
              <w:rPr/>
            </w:pPr>
            <w:r>
              <w:rPr/>
              <w:t>Net cash provided by operating activities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148,441</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124,725</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80,617</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225" w:right="0" w:hanging="225"/>
              <w:rPr/>
            </w:pPr>
            <w:r>
              <w:rPr/>
              <w:t>Investing Activities: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Loans made</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(652,403</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(545,579</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(446,023</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450" w:right="0" w:hanging="225"/>
              <w:rPr/>
            </w:pPr>
            <w:r>
              <w:rPr/>
              <w:t>Loans repaid</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405,594</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335,832</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276,255</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Recovery of pawn loan principal through sale of forfeited collateral</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205,662</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174,224</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154,235</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Additions to property and equipment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(34,776</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(25,741</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(19,264</w:t>
            </w:r>
          </w:p>
        </w:tc>
        <w:tc>
          <w:tcPr>
            <w:tcW w:w="140" w:type="dxa"/>
            <w:tcBorders/>
            <w:shd w:fill="auto" w:val="clear"/>
            <w:vAlign w:val="bottom"/>
          </w:tcPr>
          <w:p>
            <w:pPr>
              <w:pStyle w:val="TableContents"/>
              <w:spacing w:before="0" w:after="283"/>
              <w:rPr/>
            </w:pPr>
            <w:r>
              <w:rPr/>
              <w:t>)</w:t>
            </w:r>
          </w:p>
        </w:tc>
      </w:tr>
      <w:tr>
        <w:trPr/>
        <w:tc>
          <w:tcPr>
            <w:tcW w:w="5087" w:type="dxa"/>
            <w:tcBorders/>
            <w:shd w:fill="CCEEFF" w:val="clear"/>
            <w:vAlign w:val="bottom"/>
          </w:tcPr>
          <w:p>
            <w:pPr>
              <w:pStyle w:val="TableContents"/>
              <w:spacing w:before="0" w:after="0"/>
              <w:ind w:left="450" w:right="0" w:hanging="225"/>
              <w:rPr/>
            </w:pPr>
            <w:r>
              <w:rPr/>
              <w:t>Acquisitions, net of cash acquired</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(67,919</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(21,837</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(40,922</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450" w:right="0" w:hanging="225"/>
              <w:rPr/>
            </w:pPr>
            <w:r>
              <w:rPr/>
              <w:t>Investments in unconsolidated affiliates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(59,188</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Dividends from unconsolidated affiliates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7,274</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3,841</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1,634</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Proceeds on disposal of assets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1,347</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1,062</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4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1125" w:right="0" w:hanging="225"/>
              <w:rPr/>
            </w:pPr>
            <w:r>
              <w:rPr/>
              <w:t>Net cash used in investing activities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(136,568</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(137,101</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(73,023</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225" w:right="0" w:hanging="225"/>
              <w:rPr/>
            </w:pPr>
            <w:r>
              <w:rPr/>
              <w:t>Financing Activities: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Proceeds from exercise of stock options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397</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1,602</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4,943</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Stock issuance costs related to acquisitions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(442</w:t>
            </w:r>
          </w:p>
        </w:tc>
        <w:tc>
          <w:tcPr>
            <w:tcW w:w="140" w:type="dxa"/>
            <w:tcBorders/>
            <w:shd w:fill="auto" w:val="clear"/>
            <w:vAlign w:val="bottom"/>
          </w:tcPr>
          <w:p>
            <w:pPr>
              <w:pStyle w:val="TableContents"/>
              <w:spacing w:before="0" w:after="283"/>
              <w:rPr/>
            </w:pPr>
            <w:r>
              <w:rPr/>
              <w:t>)</w:t>
            </w:r>
          </w:p>
        </w:tc>
      </w:tr>
      <w:tr>
        <w:trPr/>
        <w:tc>
          <w:tcPr>
            <w:tcW w:w="5087" w:type="dxa"/>
            <w:tcBorders/>
            <w:shd w:fill="CCEEFF" w:val="clear"/>
            <w:vAlign w:val="bottom"/>
          </w:tcPr>
          <w:p>
            <w:pPr>
              <w:pStyle w:val="TableContents"/>
              <w:spacing w:before="0" w:after="0"/>
              <w:ind w:left="450" w:right="0" w:hanging="225"/>
              <w:rPr/>
            </w:pPr>
            <w:r>
              <w:rPr/>
              <w:t>Excess tax benefit from stock compensation</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3,230</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1,861</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1,789</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Debt issuance costs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(2,397</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3</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(1,179</w:t>
            </w:r>
          </w:p>
        </w:tc>
        <w:tc>
          <w:tcPr>
            <w:tcW w:w="140" w:type="dxa"/>
            <w:tcBorders/>
            <w:shd w:fill="auto" w:val="clear"/>
            <w:vAlign w:val="bottom"/>
          </w:tcPr>
          <w:p>
            <w:pPr>
              <w:pStyle w:val="TableContents"/>
              <w:spacing w:before="0" w:after="283"/>
              <w:rPr/>
            </w:pPr>
            <w:r>
              <w:rPr/>
              <w:t>)</w:t>
            </w:r>
          </w:p>
        </w:tc>
      </w:tr>
      <w:tr>
        <w:trPr/>
        <w:tc>
          <w:tcPr>
            <w:tcW w:w="5087" w:type="dxa"/>
            <w:tcBorders/>
            <w:shd w:fill="CCEEFF" w:val="clear"/>
            <w:vAlign w:val="bottom"/>
          </w:tcPr>
          <w:p>
            <w:pPr>
              <w:pStyle w:val="TableContents"/>
              <w:spacing w:before="0" w:after="0"/>
              <w:ind w:left="450" w:right="0" w:hanging="225"/>
              <w:rPr/>
            </w:pPr>
            <w:r>
              <w:rPr/>
              <w:t>Taxes paid related to net share settlement of equity awards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(7,484</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Proceeds on revolving line of credit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164,500</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63,050</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Payments on revolving line of credit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(147,000</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(63,050</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Proceeds from bank borrowings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40,000</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Payments on bank borrowings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(25,004</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(10,000</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(35,385</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4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087" w:type="dxa"/>
            <w:tcBorders/>
            <w:shd w:fill="auto" w:val="clear"/>
            <w:vAlign w:val="bottom"/>
          </w:tcPr>
          <w:p>
            <w:pPr>
              <w:pStyle w:val="TableContents"/>
              <w:spacing w:before="0" w:after="0"/>
              <w:ind w:left="1125" w:right="0" w:hanging="225"/>
              <w:rPr/>
            </w:pPr>
            <w:r>
              <w:rPr/>
              <w:t>Net cash provided by (used in) financing activities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(13,758</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(6,534</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9,726</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4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087"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Change in cash and equivalents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(1,885</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(18,910</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17,320</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Cash and equivalents at beginning of period</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25,854</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44,764</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27,444</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4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675" w:right="0" w:hanging="225"/>
              <w:rPr/>
            </w:pPr>
            <w:r>
              <w:rPr/>
              <w:t>Cash and equivalents at end of period</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23,969</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206" w:type="dxa"/>
            <w:tcBorders/>
            <w:shd w:fill="CCEEFF" w:val="clear"/>
            <w:vAlign w:val="bottom"/>
          </w:tcPr>
          <w:p>
            <w:pPr>
              <w:pStyle w:val="TableContents"/>
              <w:spacing w:before="0" w:after="283"/>
              <w:jc w:val="right"/>
              <w:rPr/>
            </w:pPr>
            <w:r>
              <w:rPr/>
              <w:t>25,854</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44,764</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4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087"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225" w:right="0" w:hanging="225"/>
              <w:rPr/>
            </w:pPr>
            <w:r>
              <w:rPr/>
              <w:t>Cash paid during the period for:</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900" w:right="0" w:hanging="225"/>
              <w:rPr/>
            </w:pPr>
            <w:r>
              <w:rPr/>
              <w:t>Interest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1,147</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206" w:type="dxa"/>
            <w:tcBorders/>
            <w:shd w:fill="CCEEFF" w:val="clear"/>
            <w:vAlign w:val="bottom"/>
          </w:tcPr>
          <w:p>
            <w:pPr>
              <w:pStyle w:val="TableContents"/>
              <w:spacing w:before="0" w:after="283"/>
              <w:jc w:val="right"/>
              <w:rPr/>
            </w:pPr>
            <w:r>
              <w:rPr/>
              <w:t>913</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1,181</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900" w:right="0" w:hanging="225"/>
              <w:rPr/>
            </w:pPr>
            <w:r>
              <w:rPr/>
              <w:t>Income taxes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55,124</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206" w:type="dxa"/>
            <w:tcBorders/>
            <w:shd w:fill="auto" w:val="clear"/>
            <w:vAlign w:val="bottom"/>
          </w:tcPr>
          <w:p>
            <w:pPr>
              <w:pStyle w:val="TableContents"/>
              <w:spacing w:before="0" w:after="283"/>
              <w:jc w:val="right"/>
              <w:rPr/>
            </w:pPr>
            <w:r>
              <w:rPr/>
              <w:t>50,631</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32,231</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225" w:right="0" w:hanging="225"/>
              <w:rPr/>
            </w:pPr>
            <w:r>
              <w:rPr/>
              <w:t>Non-cash Investing and Financing Activities: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Pawn loans forfeited and transferred to inventory</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215,188</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206" w:type="dxa"/>
            <w:tcBorders/>
            <w:shd w:fill="auto" w:val="clear"/>
            <w:vAlign w:val="bottom"/>
          </w:tcPr>
          <w:p>
            <w:pPr>
              <w:pStyle w:val="TableContents"/>
              <w:spacing w:before="0" w:after="283"/>
              <w:jc w:val="right"/>
              <w:rPr/>
            </w:pPr>
            <w:r>
              <w:rPr/>
              <w:t>177,821</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155,690</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Foreign currency translation adjustment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(5,024</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206" w:type="dxa"/>
            <w:tcBorders/>
            <w:shd w:fill="CCEEFF" w:val="clear"/>
            <w:vAlign w:val="bottom"/>
          </w:tcPr>
          <w:p>
            <w:pPr>
              <w:pStyle w:val="TableContents"/>
              <w:spacing w:before="0" w:after="283"/>
              <w:jc w:val="right"/>
              <w:rPr/>
            </w:pPr>
            <w:r>
              <w:rPr/>
              <w:t>1,755</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7,201</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Acquisition-related stock issuance</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7,304</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206" w:type="dxa"/>
            <w:tcBorders/>
            <w:shd w:fill="auto" w:val="clear"/>
            <w:vAlign w:val="bottom"/>
          </w:tcPr>
          <w:p>
            <w:pPr>
              <w:pStyle w:val="TableContents"/>
              <w:spacing w:before="0" w:after="283"/>
              <w:jc w:val="right"/>
              <w:rPr/>
            </w:pPr>
            <w:r>
              <w:rPr/>
              <w:t>(31</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70,753</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Issuance of common stock to 401(k) plan</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377</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206" w:type="dxa"/>
            <w:tcBorders/>
            <w:shd w:fill="CCEEFF" w:val="clear"/>
            <w:vAlign w:val="bottom"/>
          </w:tcPr>
          <w:p>
            <w:pPr>
              <w:pStyle w:val="TableContents"/>
              <w:spacing w:before="0" w:after="283"/>
              <w:jc w:val="right"/>
              <w:rPr/>
            </w:pPr>
            <w:r>
              <w:rPr/>
              <w:t>260</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178</w:t>
            </w:r>
          </w:p>
        </w:tc>
        <w:tc>
          <w:tcPr>
            <w:tcW w:w="140"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mallCaps/>
          <w:sz w:val="17"/>
        </w:rPr>
        <w:t>EZCORP, Inc.</w:t>
      </w:r>
      <w:r>
        <w:rPr>
          <w:rFonts w:ascii="Times New Roman;Times;serif" w:hAnsi="Times New Roman;Times;serif"/>
          <w:sz w:val="17"/>
        </w:rPr>
        <w:br/>
      </w:r>
      <w:r>
        <w:rPr>
          <w:rFonts w:ascii="Times New Roman;Times;serif" w:hAnsi="Times New Roman;Times;serif"/>
          <w:b/>
          <w:smallCaps/>
          <w:sz w:val="17"/>
        </w:rPr>
        <w:t>Consolidated Statements of Stockholders Equity</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551"/>
        <w:gridCol w:w="87"/>
        <w:gridCol w:w="70"/>
        <w:gridCol w:w="762"/>
        <w:gridCol w:w="70"/>
        <w:gridCol w:w="92"/>
        <w:gridCol w:w="161"/>
        <w:gridCol w:w="460"/>
        <w:gridCol w:w="66"/>
        <w:gridCol w:w="87"/>
        <w:gridCol w:w="155"/>
        <w:gridCol w:w="892"/>
        <w:gridCol w:w="100"/>
        <w:gridCol w:w="87"/>
        <w:gridCol w:w="144"/>
        <w:gridCol w:w="820"/>
        <w:gridCol w:w="66"/>
        <w:gridCol w:w="87"/>
        <w:gridCol w:w="255"/>
        <w:gridCol w:w="631"/>
        <w:gridCol w:w="100"/>
        <w:gridCol w:w="86"/>
        <w:gridCol w:w="379"/>
        <w:gridCol w:w="1729"/>
        <w:gridCol w:w="100"/>
        <w:gridCol w:w="87"/>
        <w:gridCol w:w="144"/>
        <w:gridCol w:w="820"/>
        <w:gridCol w:w="117"/>
      </w:tblGrid>
      <w:tr>
        <w:trPr/>
        <w:tc>
          <w:tcPr>
            <w:tcW w:w="1551"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762"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161" w:type="dxa"/>
            <w:tcBorders/>
            <w:shd w:fill="auto" w:val="clear"/>
          </w:tcPr>
          <w:p>
            <w:pPr>
              <w:pStyle w:val="TableContents"/>
              <w:spacing w:before="0" w:after="283"/>
              <w:rPr/>
            </w:pPr>
            <w:r>
              <w:rPr/>
              <w:t> </w:t>
            </w:r>
          </w:p>
        </w:tc>
        <w:tc>
          <w:tcPr>
            <w:tcW w:w="460" w:type="dxa"/>
            <w:tcBorders/>
            <w:shd w:fill="auto" w:val="clear"/>
          </w:tcPr>
          <w:p>
            <w:pPr>
              <w:pStyle w:val="TableContents"/>
              <w:spacing w:before="0" w:after="283"/>
              <w:rPr/>
            </w:pPr>
            <w:r>
              <w:rPr/>
              <w:t> </w:t>
            </w:r>
          </w:p>
        </w:tc>
        <w:tc>
          <w:tcPr>
            <w:tcW w:w="66"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155" w:type="dxa"/>
            <w:tcBorders/>
            <w:shd w:fill="auto" w:val="clear"/>
          </w:tcPr>
          <w:p>
            <w:pPr>
              <w:pStyle w:val="TableContents"/>
              <w:spacing w:before="0" w:after="283"/>
              <w:rPr/>
            </w:pPr>
            <w:r>
              <w:rPr/>
              <w:t> </w:t>
            </w:r>
          </w:p>
        </w:tc>
        <w:tc>
          <w:tcPr>
            <w:tcW w:w="892" w:type="dxa"/>
            <w:tcBorders/>
            <w:shd w:fill="auto" w:val="clear"/>
          </w:tcPr>
          <w:p>
            <w:pPr>
              <w:pStyle w:val="TableContents"/>
              <w:spacing w:before="0" w:after="283"/>
              <w:rPr/>
            </w:pPr>
            <w:r>
              <w:rPr/>
              <w:t> </w:t>
            </w:r>
          </w:p>
        </w:tc>
        <w:tc>
          <w:tcPr>
            <w:tcW w:w="100"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144" w:type="dxa"/>
            <w:tcBorders/>
            <w:shd w:fill="auto" w:val="clear"/>
          </w:tcPr>
          <w:p>
            <w:pPr>
              <w:pStyle w:val="TableContents"/>
              <w:spacing w:before="0" w:after="283"/>
              <w:rPr/>
            </w:pPr>
            <w:r>
              <w:rPr/>
              <w:t> </w:t>
            </w:r>
          </w:p>
        </w:tc>
        <w:tc>
          <w:tcPr>
            <w:tcW w:w="820" w:type="dxa"/>
            <w:tcBorders/>
            <w:shd w:fill="auto" w:val="clear"/>
          </w:tcPr>
          <w:p>
            <w:pPr>
              <w:pStyle w:val="TableContents"/>
              <w:spacing w:before="0" w:after="283"/>
              <w:rPr/>
            </w:pPr>
            <w:r>
              <w:rPr/>
              <w:t> </w:t>
            </w:r>
          </w:p>
        </w:tc>
        <w:tc>
          <w:tcPr>
            <w:tcW w:w="66"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255" w:type="dxa"/>
            <w:tcBorders/>
            <w:shd w:fill="auto" w:val="clear"/>
          </w:tcPr>
          <w:p>
            <w:pPr>
              <w:pStyle w:val="TableContents"/>
              <w:spacing w:before="0" w:after="283"/>
              <w:rPr/>
            </w:pPr>
            <w:r>
              <w:rPr/>
              <w:t> </w:t>
            </w:r>
          </w:p>
        </w:tc>
        <w:tc>
          <w:tcPr>
            <w:tcW w:w="631" w:type="dxa"/>
            <w:tcBorders/>
            <w:shd w:fill="auto" w:val="clear"/>
          </w:tcPr>
          <w:p>
            <w:pPr>
              <w:pStyle w:val="TableContents"/>
              <w:spacing w:before="0" w:after="283"/>
              <w:rPr/>
            </w:pPr>
            <w:r>
              <w:rPr/>
              <w:t> </w:t>
            </w:r>
          </w:p>
        </w:tc>
        <w:tc>
          <w:tcPr>
            <w:tcW w:w="100"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379" w:type="dxa"/>
            <w:tcBorders/>
            <w:shd w:fill="auto" w:val="clear"/>
          </w:tcPr>
          <w:p>
            <w:pPr>
              <w:pStyle w:val="TableContents"/>
              <w:spacing w:before="0" w:after="283"/>
              <w:rPr/>
            </w:pPr>
            <w:r>
              <w:rPr/>
              <w:t> </w:t>
            </w:r>
          </w:p>
        </w:tc>
        <w:tc>
          <w:tcPr>
            <w:tcW w:w="1729" w:type="dxa"/>
            <w:tcBorders/>
            <w:shd w:fill="auto" w:val="clear"/>
          </w:tcPr>
          <w:p>
            <w:pPr>
              <w:pStyle w:val="TableContents"/>
              <w:spacing w:before="0" w:after="283"/>
              <w:rPr/>
            </w:pPr>
            <w:r>
              <w:rPr/>
              <w:t> </w:t>
            </w:r>
          </w:p>
        </w:tc>
        <w:tc>
          <w:tcPr>
            <w:tcW w:w="100"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144" w:type="dxa"/>
            <w:tcBorders/>
            <w:shd w:fill="auto" w:val="clear"/>
          </w:tcPr>
          <w:p>
            <w:pPr>
              <w:pStyle w:val="TableContents"/>
              <w:spacing w:before="0" w:after="283"/>
              <w:rPr/>
            </w:pPr>
            <w:r>
              <w:rPr/>
              <w:t> </w:t>
            </w:r>
          </w:p>
        </w:tc>
        <w:tc>
          <w:tcPr>
            <w:tcW w:w="82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r>
      <w:tr>
        <w:trPr/>
        <w:tc>
          <w:tcPr>
            <w:tcW w:w="1551"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615" w:type="dxa"/>
            <w:gridSpan w:val="6"/>
            <w:tcBorders>
              <w:bottom w:val="single" w:sz="2" w:space="0" w:color="000000"/>
            </w:tcBorders>
            <w:shd w:fill="auto" w:val="clear"/>
            <w:tcMar>
              <w:bottom w:w="28" w:type="dxa"/>
            </w:tcMar>
            <w:vAlign w:val="bottom"/>
          </w:tcPr>
          <w:p>
            <w:pPr>
              <w:pStyle w:val="TableContents"/>
              <w:spacing w:before="0" w:after="283"/>
              <w:jc w:val="center"/>
              <w:rPr/>
            </w:pPr>
            <w:r>
              <w:rPr/>
              <w:t>Common Stock</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47" w:type="dxa"/>
            <w:gridSpan w:val="2"/>
            <w:tcBorders/>
            <w:shd w:fill="auto" w:val="clear"/>
            <w:vAlign w:val="bottom"/>
          </w:tcPr>
          <w:p>
            <w:pPr>
              <w:pStyle w:val="TableContents"/>
              <w:spacing w:before="0" w:after="283"/>
              <w:jc w:val="center"/>
              <w:rPr/>
            </w:pPr>
            <w:r>
              <w:rPr/>
              <w:t>Additional</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64" w:type="dxa"/>
            <w:gridSpan w:val="2"/>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108" w:type="dxa"/>
            <w:gridSpan w:val="2"/>
            <w:tcBorders/>
            <w:shd w:fill="auto" w:val="clear"/>
            <w:vAlign w:val="bottom"/>
          </w:tcPr>
          <w:p>
            <w:pPr>
              <w:pStyle w:val="TableContents"/>
              <w:spacing w:before="0" w:after="283"/>
              <w:jc w:val="center"/>
              <w:rPr/>
            </w:pPr>
            <w:r>
              <w:rPr/>
              <w:t>Accumulated</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64"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621" w:type="dxa"/>
            <w:gridSpan w:val="2"/>
            <w:tcBorders/>
            <w:shd w:fill="auto" w:val="clear"/>
            <w:vAlign w:val="bottom"/>
          </w:tcPr>
          <w:p>
            <w:pPr>
              <w:pStyle w:val="TableContents"/>
              <w:spacing w:before="0" w:after="283"/>
              <w:jc w:val="center"/>
              <w:rPr/>
            </w:pPr>
            <w:r>
              <w:rPr/>
              <w:t>Par</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47" w:type="dxa"/>
            <w:gridSpan w:val="2"/>
            <w:tcBorders/>
            <w:shd w:fill="auto" w:val="clear"/>
            <w:vAlign w:val="bottom"/>
          </w:tcPr>
          <w:p>
            <w:pPr>
              <w:pStyle w:val="TableContents"/>
              <w:spacing w:before="0" w:after="283"/>
              <w:jc w:val="center"/>
              <w:rPr/>
            </w:pPr>
            <w:r>
              <w:rPr/>
              <w:t>Paid In</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64" w:type="dxa"/>
            <w:gridSpan w:val="2"/>
            <w:tcBorders/>
            <w:shd w:fill="auto" w:val="clear"/>
            <w:vAlign w:val="bottom"/>
          </w:tcPr>
          <w:p>
            <w:pPr>
              <w:pStyle w:val="TableContents"/>
              <w:spacing w:before="0" w:after="283"/>
              <w:jc w:val="center"/>
              <w:rPr/>
            </w:pPr>
            <w:r>
              <w:rPr/>
              <w:t>Retained</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886" w:type="dxa"/>
            <w:gridSpan w:val="2"/>
            <w:tcBorders/>
            <w:shd w:fill="auto" w:val="clear"/>
            <w:vAlign w:val="bottom"/>
          </w:tcPr>
          <w:p>
            <w:pPr>
              <w:pStyle w:val="TableContents"/>
              <w:spacing w:before="0" w:after="283"/>
              <w:jc w:val="center"/>
              <w:rPr/>
            </w:pPr>
            <w:r>
              <w:rPr/>
              <w:t>Treasury</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108" w:type="dxa"/>
            <w:gridSpan w:val="2"/>
            <w:tcBorders/>
            <w:shd w:fill="auto" w:val="clear"/>
            <w:vAlign w:val="bottom"/>
          </w:tcPr>
          <w:p>
            <w:pPr>
              <w:pStyle w:val="TableContents"/>
              <w:spacing w:before="0" w:after="283"/>
              <w:jc w:val="center"/>
              <w:rPr/>
            </w:pPr>
            <w:r>
              <w:rPr/>
              <w:t>Other Comprehensive</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64"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832" w:type="dxa"/>
            <w:gridSpan w:val="2"/>
            <w:tcBorders>
              <w:bottom w:val="single" w:sz="2" w:space="0" w:color="000000"/>
            </w:tcBorders>
            <w:shd w:fill="auto" w:val="clear"/>
            <w:tcMar>
              <w:bottom w:w="28" w:type="dxa"/>
            </w:tcMar>
            <w:vAlign w:val="bottom"/>
          </w:tcPr>
          <w:p>
            <w:pPr>
              <w:pStyle w:val="TableContents"/>
              <w:spacing w:before="0" w:after="283"/>
              <w:jc w:val="center"/>
              <w:rPr/>
            </w:pPr>
            <w:r>
              <w:rPr/>
              <w:t>Shares</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621"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47" w:type="dxa"/>
            <w:gridSpan w:val="2"/>
            <w:tcBorders>
              <w:bottom w:val="single" w:sz="2" w:space="0" w:color="000000"/>
            </w:tcBorders>
            <w:shd w:fill="auto" w:val="clear"/>
            <w:tcMar>
              <w:bottom w:w="28" w:type="dxa"/>
            </w:tcMar>
            <w:vAlign w:val="bottom"/>
          </w:tcPr>
          <w:p>
            <w:pPr>
              <w:pStyle w:val="TableContents"/>
              <w:spacing w:before="0" w:after="283"/>
              <w:jc w:val="center"/>
              <w:rPr/>
            </w:pPr>
            <w:r>
              <w:rPr/>
              <w:t>Capital</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64" w:type="dxa"/>
            <w:gridSpan w:val="2"/>
            <w:tcBorders>
              <w:bottom w:val="single" w:sz="2" w:space="0" w:color="000000"/>
            </w:tcBorders>
            <w:shd w:fill="auto" w:val="clear"/>
            <w:tcMar>
              <w:bottom w:w="28" w:type="dxa"/>
            </w:tcMar>
            <w:vAlign w:val="bottom"/>
          </w:tcPr>
          <w:p>
            <w:pPr>
              <w:pStyle w:val="TableContents"/>
              <w:spacing w:before="0" w:after="283"/>
              <w:jc w:val="center"/>
              <w:rPr/>
            </w:pPr>
            <w:r>
              <w:rPr/>
              <w:t>Earnings</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886" w:type="dxa"/>
            <w:gridSpan w:val="2"/>
            <w:tcBorders>
              <w:bottom w:val="single" w:sz="2" w:space="0" w:color="000000"/>
            </w:tcBorders>
            <w:shd w:fill="auto" w:val="clear"/>
            <w:tcMar>
              <w:bottom w:w="28" w:type="dxa"/>
            </w:tcMar>
            <w:vAlign w:val="bottom"/>
          </w:tcPr>
          <w:p>
            <w:pPr>
              <w:pStyle w:val="TableContents"/>
              <w:spacing w:before="0" w:after="283"/>
              <w:jc w:val="center"/>
              <w:rPr/>
            </w:pPr>
            <w:r>
              <w:rPr/>
              <w:t>Stock</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108" w:type="dxa"/>
            <w:gridSpan w:val="2"/>
            <w:tcBorders>
              <w:bottom w:val="single" w:sz="2" w:space="0" w:color="000000"/>
            </w:tcBorders>
            <w:shd w:fill="auto" w:val="clear"/>
            <w:tcMar>
              <w:bottom w:w="28" w:type="dxa"/>
            </w:tcMar>
            <w:vAlign w:val="bottom"/>
          </w:tcPr>
          <w:p>
            <w:pPr>
              <w:pStyle w:val="TableContents"/>
              <w:spacing w:before="0" w:after="283"/>
              <w:jc w:val="center"/>
              <w:rPr/>
            </w:pPr>
            <w:r>
              <w:rPr/>
              <w:t>Income (Loss)</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64"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117" w:type="dxa"/>
            <w:tcBorders/>
            <w:shd w:fill="auto"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8450" w:type="dxa"/>
            <w:gridSpan w:val="26"/>
            <w:tcBorders/>
            <w:shd w:fill="auto" w:val="clear"/>
            <w:vAlign w:val="bottom"/>
          </w:tcPr>
          <w:p>
            <w:pPr>
              <w:pStyle w:val="TableContents"/>
              <w:spacing w:before="0" w:after="283"/>
              <w:jc w:val="center"/>
              <w:rPr>
                <w:i/>
              </w:rPr>
            </w:pPr>
            <w:r>
              <w:rPr>
                <w:i/>
              </w:rPr>
              <w:t>(In thousands)</w:t>
            </w:r>
          </w:p>
        </w:tc>
        <w:tc>
          <w:tcPr>
            <w:tcW w:w="117" w:type="dxa"/>
            <w:tcBorders/>
            <w:shd w:fill="auto" w:val="clear"/>
            <w:vAlign w:val="bottom"/>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225" w:right="0" w:hanging="225"/>
              <w:rPr/>
            </w:pPr>
            <w:r>
              <w:rPr/>
              <w:t>Balances at September 30, 2008</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41,535</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460" w:type="dxa"/>
            <w:tcBorders/>
            <w:shd w:fill="CCEEFF" w:val="clear"/>
            <w:vAlign w:val="bottom"/>
          </w:tcPr>
          <w:p>
            <w:pPr>
              <w:pStyle w:val="TableContents"/>
              <w:spacing w:before="0" w:after="283"/>
              <w:jc w:val="right"/>
              <w:rPr/>
            </w:pPr>
            <w:r>
              <w:rPr/>
              <w:t>416</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135,895</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134,170</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left"/>
              <w:rPr/>
            </w:pPr>
            <w:r>
              <w:rPr/>
              <w:t>$</w:t>
            </w:r>
          </w:p>
        </w:tc>
        <w:tc>
          <w:tcPr>
            <w:tcW w:w="631" w:type="dxa"/>
            <w:tcBorders/>
            <w:shd w:fill="CCEEFF" w:val="clear"/>
            <w:vAlign w:val="bottom"/>
          </w:tcPr>
          <w:p>
            <w:pPr>
              <w:pStyle w:val="TableContents"/>
              <w:spacing w:before="0" w:after="283"/>
              <w:jc w:val="right"/>
              <w:rPr/>
            </w:pPr>
            <w:r>
              <w:rPr/>
              <w:t>(12</w:t>
            </w:r>
          </w:p>
        </w:tc>
        <w:tc>
          <w:tcPr>
            <w:tcW w:w="100" w:type="dxa"/>
            <w:tcBorders/>
            <w:shd w:fill="CCEEFF" w:val="clear"/>
            <w:vAlign w:val="bottom"/>
          </w:tcPr>
          <w:p>
            <w:pPr>
              <w:pStyle w:val="TableContents"/>
              <w:spacing w:before="0" w:after="283"/>
              <w:rPr/>
            </w:pPr>
            <w:r>
              <w:rPr/>
              <w:t>)</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jc w:val="left"/>
              <w:rPr/>
            </w:pPr>
            <w:r>
              <w:rPr/>
              <w:t>$</w:t>
            </w:r>
          </w:p>
        </w:tc>
        <w:tc>
          <w:tcPr>
            <w:tcW w:w="1729" w:type="dxa"/>
            <w:tcBorders/>
            <w:shd w:fill="CCEEFF" w:val="clear"/>
            <w:vAlign w:val="bottom"/>
          </w:tcPr>
          <w:p>
            <w:pPr>
              <w:pStyle w:val="TableContents"/>
              <w:spacing w:before="0" w:after="283"/>
              <w:jc w:val="right"/>
              <w:rPr/>
            </w:pPr>
            <w:r>
              <w:rPr/>
              <w:t>2,581</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273,050</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Issuance of Common Stock to 401(k) plan</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17</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178</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178</w:t>
            </w:r>
          </w:p>
        </w:tc>
        <w:tc>
          <w:tcPr>
            <w:tcW w:w="117" w:type="dxa"/>
            <w:tcBorders/>
            <w:shd w:fill="auto" w:val="clear"/>
            <w:vAlign w:val="bottom"/>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450" w:right="0" w:hanging="225"/>
              <w:rPr/>
            </w:pPr>
            <w:r>
              <w:rPr/>
              <w:t>Stock compensation</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3,701</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3,701</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Stock options and warrants exercised</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1,517</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16</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4,915</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12</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4,943</w:t>
            </w:r>
          </w:p>
        </w:tc>
        <w:tc>
          <w:tcPr>
            <w:tcW w:w="117" w:type="dxa"/>
            <w:tcBorders/>
            <w:shd w:fill="auto" w:val="clear"/>
            <w:vAlign w:val="bottom"/>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450" w:right="0" w:hanging="225"/>
              <w:rPr/>
            </w:pPr>
            <w:r>
              <w:rPr/>
              <w:t>Issuance of Common Stock due to acquisitions</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5,175</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51</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70,702</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70,753</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Release of Restricted Stock</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459</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4</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92" w:type="dxa"/>
            <w:tcBorders/>
            <w:shd w:fill="auto" w:val="clear"/>
            <w:vAlign w:val="bottom"/>
          </w:tcPr>
          <w:p>
            <w:pPr>
              <w:pStyle w:val="TableContents"/>
              <w:spacing w:before="0" w:after="283"/>
              <w:jc w:val="right"/>
              <w:rPr/>
            </w:pPr>
            <w:r>
              <w:rPr/>
              <w:t>(4</w:t>
            </w:r>
          </w:p>
        </w:tc>
        <w:tc>
          <w:tcPr>
            <w:tcW w:w="100" w:type="dxa"/>
            <w:tcBorders/>
            <w:shd w:fill="auto" w:val="clear"/>
            <w:vAlign w:val="bottom"/>
          </w:tcPr>
          <w:p>
            <w:pPr>
              <w:pStyle w:val="TableContents"/>
              <w:spacing w:before="0" w:after="283"/>
              <w:rPr/>
            </w:pPr>
            <w:r>
              <w:rPr/>
              <w:t>)</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450" w:right="0" w:hanging="225"/>
              <w:rPr/>
            </w:pPr>
            <w:r>
              <w:rPr/>
              <w:t>Excess tax benefit from stock compensation</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1,789</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1,789</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0"/>
              <w:ind w:left="675" w:right="0" w:hanging="225"/>
              <w:rPr/>
            </w:pPr>
            <w:r>
              <w:rPr/>
              <w:t>Unrealized gain (loss) on available-for-sale securities</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450" w:right="0" w:hanging="225"/>
              <w:rPr/>
            </w:pPr>
            <w:r>
              <w:rPr/>
              <w:t>Foreign currency translation adjustment</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jc w:val="left"/>
              <w:rPr/>
            </w:pPr>
            <w:r>
              <w:rPr/>
              <w:t> </w:t>
            </w:r>
          </w:p>
        </w:tc>
        <w:tc>
          <w:tcPr>
            <w:tcW w:w="1729" w:type="dxa"/>
            <w:tcBorders/>
            <w:shd w:fill="CCEEFF" w:val="clear"/>
            <w:vAlign w:val="bottom"/>
          </w:tcPr>
          <w:p>
            <w:pPr>
              <w:pStyle w:val="TableContents"/>
              <w:spacing w:before="0" w:after="283"/>
              <w:jc w:val="right"/>
              <w:rPr/>
            </w:pPr>
            <w:r>
              <w:rPr/>
              <w:t>(7,201</w:t>
            </w:r>
          </w:p>
        </w:tc>
        <w:tc>
          <w:tcPr>
            <w:tcW w:w="100" w:type="dxa"/>
            <w:tcBorders/>
            <w:shd w:fill="CCEEFF" w:val="clear"/>
            <w:vAlign w:val="bottom"/>
          </w:tcPr>
          <w:p>
            <w:pPr>
              <w:pStyle w:val="TableContents"/>
              <w:spacing w:before="0" w:after="283"/>
              <w:rPr/>
            </w:pPr>
            <w:r>
              <w:rPr/>
              <w:t>)</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(7,201</w:t>
            </w:r>
          </w:p>
        </w:tc>
        <w:tc>
          <w:tcPr>
            <w:tcW w:w="117" w:type="dxa"/>
            <w:tcBorders/>
            <w:shd w:fill="CCEEFF" w:val="clear"/>
            <w:vAlign w:val="bottom"/>
          </w:tcPr>
          <w:p>
            <w:pPr>
              <w:pStyle w:val="TableContents"/>
              <w:spacing w:before="0" w:after="283"/>
              <w:rPr/>
            </w:pPr>
            <w:r>
              <w:rPr/>
              <w:t>)</w:t>
            </w:r>
          </w:p>
        </w:tc>
      </w:tr>
      <w:tr>
        <w:trPr/>
        <w:tc>
          <w:tcPr>
            <w:tcW w:w="1551" w:type="dxa"/>
            <w:tcBorders/>
            <w:shd w:fill="auto" w:val="clear"/>
            <w:vAlign w:val="bottom"/>
          </w:tcPr>
          <w:p>
            <w:pPr>
              <w:pStyle w:val="TableContents"/>
              <w:spacing w:before="0" w:after="0"/>
              <w:ind w:left="450" w:right="0" w:hanging="225"/>
              <w:rPr/>
            </w:pPr>
            <w:r>
              <w:rPr/>
              <w:t>Net income</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68,472</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68,472</w:t>
            </w:r>
          </w:p>
        </w:tc>
        <w:tc>
          <w:tcPr>
            <w:tcW w:w="117" w:type="dxa"/>
            <w:tcBorders/>
            <w:shd w:fill="auto" w:val="clear"/>
            <w:vAlign w:val="bottom"/>
          </w:tcPr>
          <w:p>
            <w:pPr>
              <w:pStyle w:val="TableContents"/>
              <w:spacing w:before="0" w:after="283"/>
              <w:rPr/>
            </w:pPr>
            <w:r>
              <w:rPr/>
              <w:t> </w:t>
            </w:r>
          </w:p>
        </w:tc>
      </w:tr>
      <w:tr>
        <w:trPr/>
        <w:tc>
          <w:tcPr>
            <w:tcW w:w="1551" w:type="dxa"/>
            <w:tcBorders/>
            <w:shd w:fill="auto" w:val="clear"/>
            <w:vAlign w:val="center"/>
          </w:tcPr>
          <w:p>
            <w:pPr>
              <w:pStyle w:val="TableContents"/>
              <w:spacing w:before="0" w:after="0"/>
              <w:ind w:left="225" w:right="0" w:hanging="225"/>
              <w:rPr/>
            </w:pPr>
            <w:r>
              <w:rPr/>
              <w:t> </w:t>
            </w:r>
          </w:p>
        </w:tc>
        <w:tc>
          <w:tcPr>
            <w:tcW w:w="87"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892"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pPr>
            <w:r>
              <w:rPr/>
              <w:t> </w:t>
            </w:r>
          </w:p>
        </w:tc>
        <w:tc>
          <w:tcPr>
            <w:tcW w:w="1729"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450" w:right="0" w:hanging="225"/>
              <w:rPr/>
            </w:pPr>
            <w:r>
              <w:rPr/>
              <w:t>Total comprehensive income</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61,271</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center"/>
          </w:tcPr>
          <w:p>
            <w:pPr>
              <w:pStyle w:val="TableContents"/>
              <w:spacing w:before="0" w:after="0"/>
              <w:ind w:left="225" w:right="0" w:hanging="225"/>
              <w:rPr/>
            </w:pPr>
            <w:r>
              <w:rPr/>
              <w:t> </w:t>
            </w:r>
          </w:p>
        </w:tc>
        <w:tc>
          <w:tcPr>
            <w:tcW w:w="87" w:type="dxa"/>
            <w:tcBorders/>
            <w:shd w:fill="auto" w:val="clear"/>
            <w:vAlign w:val="center"/>
          </w:tcPr>
          <w:p>
            <w:pPr>
              <w:pStyle w:val="TableContents"/>
              <w:spacing w:before="0" w:after="283"/>
              <w:rPr/>
            </w:pPr>
            <w:r>
              <w:rPr/>
              <w:t> </w:t>
            </w:r>
          </w:p>
        </w:tc>
        <w:tc>
          <w:tcPr>
            <w:tcW w:w="8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6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8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1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551" w:type="dxa"/>
            <w:tcBorders/>
            <w:shd w:fill="auto" w:val="clear"/>
            <w:vAlign w:val="bottom"/>
          </w:tcPr>
          <w:p>
            <w:pPr>
              <w:pStyle w:val="TableContents"/>
              <w:spacing w:before="0" w:after="0"/>
              <w:ind w:left="225" w:right="0" w:hanging="225"/>
              <w:rPr/>
            </w:pPr>
            <w:r>
              <w:rPr/>
              <w:t>Balances at September 30, 2009</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48,703</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487</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217,176</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202,642</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jc w:val="left"/>
              <w:rPr/>
            </w:pPr>
            <w:r>
              <w:rPr/>
              <w:t> </w:t>
            </w:r>
          </w:p>
        </w:tc>
        <w:tc>
          <w:tcPr>
            <w:tcW w:w="1729" w:type="dxa"/>
            <w:tcBorders/>
            <w:shd w:fill="auto" w:val="clear"/>
            <w:vAlign w:val="bottom"/>
          </w:tcPr>
          <w:p>
            <w:pPr>
              <w:pStyle w:val="TableContents"/>
              <w:spacing w:before="0" w:after="283"/>
              <w:jc w:val="right"/>
              <w:rPr/>
            </w:pPr>
            <w:r>
              <w:rPr/>
              <w:t>(4,620</w:t>
            </w:r>
          </w:p>
        </w:tc>
        <w:tc>
          <w:tcPr>
            <w:tcW w:w="100" w:type="dxa"/>
            <w:tcBorders/>
            <w:shd w:fill="auto" w:val="clear"/>
            <w:vAlign w:val="bottom"/>
          </w:tcPr>
          <w:p>
            <w:pPr>
              <w:pStyle w:val="TableContents"/>
              <w:spacing w:before="0" w:after="283"/>
              <w:rPr/>
            </w:pPr>
            <w:r>
              <w:rPr/>
              <w:t>)</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415,685</w:t>
            </w:r>
          </w:p>
        </w:tc>
        <w:tc>
          <w:tcPr>
            <w:tcW w:w="117" w:type="dxa"/>
            <w:tcBorders/>
            <w:shd w:fill="auto" w:val="clear"/>
            <w:vAlign w:val="bottom"/>
          </w:tcPr>
          <w:p>
            <w:pPr>
              <w:pStyle w:val="TableContents"/>
              <w:spacing w:before="0" w:after="283"/>
              <w:rPr/>
            </w:pPr>
            <w:r>
              <w:rPr/>
              <w:t> </w:t>
            </w:r>
          </w:p>
        </w:tc>
      </w:tr>
      <w:tr>
        <w:trPr/>
        <w:tc>
          <w:tcPr>
            <w:tcW w:w="1551" w:type="dxa"/>
            <w:tcBorders/>
            <w:shd w:fill="auto" w:val="clear"/>
          </w:tcPr>
          <w:p>
            <w:pPr>
              <w:pStyle w:val="TableContents"/>
              <w:spacing w:before="0" w:after="0"/>
              <w:ind w:left="225" w:right="0" w:hanging="225"/>
              <w:rPr/>
            </w:pPr>
            <w:r>
              <w:rPr/>
              <w:t> </w:t>
            </w:r>
          </w:p>
        </w:tc>
        <w:tc>
          <w:tcPr>
            <w:tcW w:w="87"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762"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161" w:type="dxa"/>
            <w:tcBorders/>
            <w:shd w:fill="auto" w:val="clear"/>
          </w:tcPr>
          <w:p>
            <w:pPr>
              <w:pStyle w:val="TableContents"/>
              <w:spacing w:before="0" w:after="283"/>
              <w:rPr/>
            </w:pPr>
            <w:r>
              <w:rPr/>
              <w:t> </w:t>
            </w:r>
          </w:p>
        </w:tc>
        <w:tc>
          <w:tcPr>
            <w:tcW w:w="460" w:type="dxa"/>
            <w:tcBorders/>
            <w:shd w:fill="auto" w:val="clear"/>
          </w:tcPr>
          <w:p>
            <w:pPr>
              <w:pStyle w:val="TableContents"/>
              <w:spacing w:before="0" w:after="283"/>
              <w:rPr/>
            </w:pPr>
            <w:r>
              <w:rPr/>
              <w:t> </w:t>
            </w:r>
          </w:p>
        </w:tc>
        <w:tc>
          <w:tcPr>
            <w:tcW w:w="66"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155" w:type="dxa"/>
            <w:tcBorders/>
            <w:shd w:fill="auto" w:val="clear"/>
          </w:tcPr>
          <w:p>
            <w:pPr>
              <w:pStyle w:val="TableContents"/>
              <w:spacing w:before="0" w:after="283"/>
              <w:rPr/>
            </w:pPr>
            <w:r>
              <w:rPr/>
              <w:t> </w:t>
            </w:r>
          </w:p>
        </w:tc>
        <w:tc>
          <w:tcPr>
            <w:tcW w:w="892" w:type="dxa"/>
            <w:tcBorders/>
            <w:shd w:fill="auto" w:val="clear"/>
          </w:tcPr>
          <w:p>
            <w:pPr>
              <w:pStyle w:val="TableContents"/>
              <w:spacing w:before="0" w:after="283"/>
              <w:rPr/>
            </w:pPr>
            <w:r>
              <w:rPr/>
              <w:t> </w:t>
            </w:r>
          </w:p>
        </w:tc>
        <w:tc>
          <w:tcPr>
            <w:tcW w:w="100"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144" w:type="dxa"/>
            <w:tcBorders/>
            <w:shd w:fill="auto" w:val="clear"/>
          </w:tcPr>
          <w:p>
            <w:pPr>
              <w:pStyle w:val="TableContents"/>
              <w:spacing w:before="0" w:after="283"/>
              <w:rPr/>
            </w:pPr>
            <w:r>
              <w:rPr/>
              <w:t> </w:t>
            </w:r>
          </w:p>
        </w:tc>
        <w:tc>
          <w:tcPr>
            <w:tcW w:w="820" w:type="dxa"/>
            <w:tcBorders/>
            <w:shd w:fill="auto" w:val="clear"/>
          </w:tcPr>
          <w:p>
            <w:pPr>
              <w:pStyle w:val="TableContents"/>
              <w:spacing w:before="0" w:after="283"/>
              <w:rPr/>
            </w:pPr>
            <w:r>
              <w:rPr/>
              <w:t> </w:t>
            </w:r>
          </w:p>
        </w:tc>
        <w:tc>
          <w:tcPr>
            <w:tcW w:w="66"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255" w:type="dxa"/>
            <w:tcBorders/>
            <w:shd w:fill="auto" w:val="clear"/>
          </w:tcPr>
          <w:p>
            <w:pPr>
              <w:pStyle w:val="TableContents"/>
              <w:spacing w:before="0" w:after="283"/>
              <w:rPr/>
            </w:pPr>
            <w:r>
              <w:rPr/>
              <w:t> </w:t>
            </w:r>
          </w:p>
        </w:tc>
        <w:tc>
          <w:tcPr>
            <w:tcW w:w="631" w:type="dxa"/>
            <w:tcBorders/>
            <w:shd w:fill="auto" w:val="clear"/>
          </w:tcPr>
          <w:p>
            <w:pPr>
              <w:pStyle w:val="TableContents"/>
              <w:spacing w:before="0" w:after="283"/>
              <w:rPr/>
            </w:pPr>
            <w:r>
              <w:rPr/>
              <w:t> </w:t>
            </w:r>
          </w:p>
        </w:tc>
        <w:tc>
          <w:tcPr>
            <w:tcW w:w="100"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379" w:type="dxa"/>
            <w:tcBorders/>
            <w:shd w:fill="auto" w:val="clear"/>
          </w:tcPr>
          <w:p>
            <w:pPr>
              <w:pStyle w:val="TableContents"/>
              <w:spacing w:before="0" w:after="283"/>
              <w:rPr/>
            </w:pPr>
            <w:r>
              <w:rPr/>
              <w:t> </w:t>
            </w:r>
          </w:p>
        </w:tc>
        <w:tc>
          <w:tcPr>
            <w:tcW w:w="1729" w:type="dxa"/>
            <w:tcBorders/>
            <w:shd w:fill="auto" w:val="clear"/>
          </w:tcPr>
          <w:p>
            <w:pPr>
              <w:pStyle w:val="TableContents"/>
              <w:spacing w:before="0" w:after="283"/>
              <w:rPr/>
            </w:pPr>
            <w:r>
              <w:rPr/>
              <w:t> </w:t>
            </w:r>
          </w:p>
        </w:tc>
        <w:tc>
          <w:tcPr>
            <w:tcW w:w="100"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144" w:type="dxa"/>
            <w:tcBorders/>
            <w:shd w:fill="auto" w:val="clear"/>
          </w:tcPr>
          <w:p>
            <w:pPr>
              <w:pStyle w:val="TableContents"/>
              <w:spacing w:before="0" w:after="283"/>
              <w:rPr/>
            </w:pPr>
            <w:r>
              <w:rPr/>
              <w:t> </w:t>
            </w:r>
          </w:p>
        </w:tc>
        <w:tc>
          <w:tcPr>
            <w:tcW w:w="82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450" w:right="0" w:hanging="225"/>
              <w:rPr/>
            </w:pPr>
            <w:r>
              <w:rPr/>
              <w:t>Issuance of Common Stock to 401(k) plan</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13</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260</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260</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Stock compensation</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4,512</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4,512</w:t>
            </w:r>
          </w:p>
        </w:tc>
        <w:tc>
          <w:tcPr>
            <w:tcW w:w="117" w:type="dxa"/>
            <w:tcBorders/>
            <w:shd w:fill="auto" w:val="clear"/>
            <w:vAlign w:val="bottom"/>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450" w:right="0" w:hanging="225"/>
              <w:rPr/>
            </w:pPr>
            <w:r>
              <w:rPr/>
              <w:t>Stock options exercised</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494</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6</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1,596</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1,602</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Issuance of Common Stock due to acquisitions</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92" w:type="dxa"/>
            <w:tcBorders/>
            <w:shd w:fill="auto" w:val="clear"/>
            <w:vAlign w:val="bottom"/>
          </w:tcPr>
          <w:p>
            <w:pPr>
              <w:pStyle w:val="TableContents"/>
              <w:spacing w:before="0" w:after="283"/>
              <w:jc w:val="right"/>
              <w:rPr/>
            </w:pPr>
            <w:r>
              <w:rPr/>
              <w:t>(31</w:t>
            </w:r>
          </w:p>
        </w:tc>
        <w:tc>
          <w:tcPr>
            <w:tcW w:w="100" w:type="dxa"/>
            <w:tcBorders/>
            <w:shd w:fill="auto" w:val="clear"/>
            <w:vAlign w:val="bottom"/>
          </w:tcPr>
          <w:p>
            <w:pPr>
              <w:pStyle w:val="TableContents"/>
              <w:spacing w:before="0" w:after="283"/>
              <w:rPr/>
            </w:pPr>
            <w:r>
              <w:rPr/>
              <w:t>)</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(31</w:t>
            </w:r>
          </w:p>
        </w:tc>
        <w:tc>
          <w:tcPr>
            <w:tcW w:w="117" w:type="dxa"/>
            <w:tcBorders/>
            <w:shd w:fill="auto" w:val="clear"/>
            <w:vAlign w:val="bottom"/>
          </w:tcPr>
          <w:p>
            <w:pPr>
              <w:pStyle w:val="TableContents"/>
              <w:spacing w:before="0" w:after="283"/>
              <w:rPr/>
            </w:pPr>
            <w:r>
              <w:rPr/>
              <w:t>)</w:t>
            </w:r>
          </w:p>
        </w:tc>
      </w:tr>
      <w:tr>
        <w:trPr/>
        <w:tc>
          <w:tcPr>
            <w:tcW w:w="1551" w:type="dxa"/>
            <w:tcBorders/>
            <w:shd w:fill="CCEEFF" w:val="clear"/>
            <w:vAlign w:val="bottom"/>
          </w:tcPr>
          <w:p>
            <w:pPr>
              <w:pStyle w:val="TableContents"/>
              <w:spacing w:before="0" w:after="0"/>
              <w:ind w:left="450" w:right="0" w:hanging="225"/>
              <w:rPr/>
            </w:pPr>
            <w:r>
              <w:rPr/>
              <w:t>Release of Restricted Stock</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16</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Excess tax benefit from stock compensation</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1,861</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1,861</w:t>
            </w:r>
          </w:p>
        </w:tc>
        <w:tc>
          <w:tcPr>
            <w:tcW w:w="117" w:type="dxa"/>
            <w:tcBorders/>
            <w:shd w:fill="auto" w:val="clear"/>
            <w:vAlign w:val="bottom"/>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450" w:right="0" w:hanging="225"/>
              <w:rPr/>
            </w:pPr>
            <w:r>
              <w:rPr/>
              <w:t>Unrealized gain (loss) on available-for-sale securities</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Foreign currency translation adjustment</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jc w:val="left"/>
              <w:rPr/>
            </w:pPr>
            <w:r>
              <w:rPr/>
              <w:t> </w:t>
            </w:r>
          </w:p>
        </w:tc>
        <w:tc>
          <w:tcPr>
            <w:tcW w:w="1729" w:type="dxa"/>
            <w:tcBorders/>
            <w:shd w:fill="auto" w:val="clear"/>
            <w:vAlign w:val="bottom"/>
          </w:tcPr>
          <w:p>
            <w:pPr>
              <w:pStyle w:val="TableContents"/>
              <w:spacing w:before="0" w:after="283"/>
              <w:jc w:val="right"/>
              <w:rPr/>
            </w:pPr>
            <w:r>
              <w:rPr/>
              <w:t>(1,755</w:t>
            </w:r>
          </w:p>
        </w:tc>
        <w:tc>
          <w:tcPr>
            <w:tcW w:w="100" w:type="dxa"/>
            <w:tcBorders/>
            <w:shd w:fill="auto" w:val="clear"/>
            <w:vAlign w:val="bottom"/>
          </w:tcPr>
          <w:p>
            <w:pPr>
              <w:pStyle w:val="TableContents"/>
              <w:spacing w:before="0" w:after="283"/>
              <w:rPr/>
            </w:pPr>
            <w:r>
              <w:rPr/>
              <w:t>)</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(1,755</w:t>
            </w:r>
          </w:p>
        </w:tc>
        <w:tc>
          <w:tcPr>
            <w:tcW w:w="117" w:type="dxa"/>
            <w:tcBorders/>
            <w:shd w:fill="auto" w:val="clear"/>
            <w:vAlign w:val="bottom"/>
          </w:tcPr>
          <w:p>
            <w:pPr>
              <w:pStyle w:val="TableContents"/>
              <w:spacing w:before="0" w:after="283"/>
              <w:rPr/>
            </w:pPr>
            <w:r>
              <w:rPr/>
              <w:t>)</w:t>
            </w:r>
          </w:p>
        </w:tc>
      </w:tr>
      <w:tr>
        <w:trPr/>
        <w:tc>
          <w:tcPr>
            <w:tcW w:w="1551" w:type="dxa"/>
            <w:tcBorders/>
            <w:shd w:fill="CCEEFF" w:val="clear"/>
            <w:vAlign w:val="bottom"/>
          </w:tcPr>
          <w:p>
            <w:pPr>
              <w:pStyle w:val="TableContents"/>
              <w:spacing w:before="0" w:after="0"/>
              <w:ind w:left="450" w:right="0" w:hanging="225"/>
              <w:rPr/>
            </w:pPr>
            <w:r>
              <w:rPr/>
              <w:t>Net income</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97,294</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97,294</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center"/>
          </w:tcPr>
          <w:p>
            <w:pPr>
              <w:pStyle w:val="TableContents"/>
              <w:spacing w:before="0" w:after="0"/>
              <w:ind w:left="225" w:right="0" w:hanging="225"/>
              <w:rPr/>
            </w:pPr>
            <w:r>
              <w:rPr/>
              <w:t> </w:t>
            </w:r>
          </w:p>
        </w:tc>
        <w:tc>
          <w:tcPr>
            <w:tcW w:w="87"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892"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pPr>
            <w:r>
              <w:rPr/>
              <w:t> </w:t>
            </w:r>
          </w:p>
        </w:tc>
        <w:tc>
          <w:tcPr>
            <w:tcW w:w="1729"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Total comprehensive income</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95,539</w:t>
            </w:r>
          </w:p>
        </w:tc>
        <w:tc>
          <w:tcPr>
            <w:tcW w:w="117" w:type="dxa"/>
            <w:tcBorders/>
            <w:shd w:fill="auto" w:val="clear"/>
            <w:vAlign w:val="bottom"/>
          </w:tcPr>
          <w:p>
            <w:pPr>
              <w:pStyle w:val="TableContents"/>
              <w:spacing w:before="0" w:after="283"/>
              <w:rPr/>
            </w:pPr>
            <w:r>
              <w:rPr/>
              <w:t> </w:t>
            </w:r>
          </w:p>
        </w:tc>
      </w:tr>
      <w:tr>
        <w:trPr/>
        <w:tc>
          <w:tcPr>
            <w:tcW w:w="1551" w:type="dxa"/>
            <w:tcBorders/>
            <w:shd w:fill="auto" w:val="clear"/>
            <w:vAlign w:val="center"/>
          </w:tcPr>
          <w:p>
            <w:pPr>
              <w:pStyle w:val="TableContents"/>
              <w:spacing w:before="0" w:after="0"/>
              <w:ind w:left="225" w:right="0" w:hanging="225"/>
              <w:rPr/>
            </w:pPr>
            <w:r>
              <w:rPr/>
              <w:t> </w:t>
            </w:r>
          </w:p>
        </w:tc>
        <w:tc>
          <w:tcPr>
            <w:tcW w:w="87" w:type="dxa"/>
            <w:tcBorders/>
            <w:shd w:fill="auto" w:val="clear"/>
            <w:vAlign w:val="center"/>
          </w:tcPr>
          <w:p>
            <w:pPr>
              <w:pStyle w:val="TableContents"/>
              <w:spacing w:before="0" w:after="283"/>
              <w:rPr/>
            </w:pPr>
            <w:r>
              <w:rPr/>
              <w:t> </w:t>
            </w:r>
          </w:p>
        </w:tc>
        <w:tc>
          <w:tcPr>
            <w:tcW w:w="8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6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8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1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225" w:right="0" w:hanging="225"/>
              <w:rPr/>
            </w:pPr>
            <w:r>
              <w:rPr/>
              <w:t>Balances at September 30, 2010</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49,226</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493</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225,374</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299,936</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jc w:val="left"/>
              <w:rPr/>
            </w:pPr>
            <w:r>
              <w:rPr/>
              <w:t> </w:t>
            </w:r>
          </w:p>
        </w:tc>
        <w:tc>
          <w:tcPr>
            <w:tcW w:w="1729" w:type="dxa"/>
            <w:tcBorders/>
            <w:shd w:fill="CCEEFF" w:val="clear"/>
            <w:vAlign w:val="bottom"/>
          </w:tcPr>
          <w:p>
            <w:pPr>
              <w:pStyle w:val="TableContents"/>
              <w:spacing w:before="0" w:after="283"/>
              <w:jc w:val="right"/>
              <w:rPr/>
            </w:pPr>
            <w:r>
              <w:rPr/>
              <w:t>(6,375</w:t>
            </w:r>
          </w:p>
        </w:tc>
        <w:tc>
          <w:tcPr>
            <w:tcW w:w="100" w:type="dxa"/>
            <w:tcBorders/>
            <w:shd w:fill="CCEEFF" w:val="clear"/>
            <w:vAlign w:val="bottom"/>
          </w:tcPr>
          <w:p>
            <w:pPr>
              <w:pStyle w:val="TableContents"/>
              <w:spacing w:before="0" w:after="283"/>
              <w:rPr/>
            </w:pPr>
            <w:r>
              <w:rPr/>
              <w:t>)</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519,428</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center"/>
          </w:tcPr>
          <w:p>
            <w:pPr>
              <w:pStyle w:val="TableContents"/>
              <w:spacing w:before="0" w:after="0"/>
              <w:ind w:left="225" w:right="0" w:hanging="225"/>
              <w:rPr/>
            </w:pPr>
            <w:r>
              <w:rPr/>
              <w:t> </w:t>
            </w:r>
          </w:p>
        </w:tc>
        <w:tc>
          <w:tcPr>
            <w:tcW w:w="87" w:type="dxa"/>
            <w:tcBorders/>
            <w:shd w:fill="auto" w:val="clear"/>
            <w:vAlign w:val="center"/>
          </w:tcPr>
          <w:p>
            <w:pPr>
              <w:pStyle w:val="TableContents"/>
              <w:spacing w:before="0" w:after="283"/>
              <w:rPr/>
            </w:pPr>
            <w:r>
              <w:rPr/>
              <w:t> </w:t>
            </w:r>
          </w:p>
        </w:tc>
        <w:tc>
          <w:tcPr>
            <w:tcW w:w="8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6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8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1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551" w:type="dxa"/>
            <w:tcBorders/>
            <w:shd w:fill="auto" w:val="clear"/>
          </w:tcPr>
          <w:p>
            <w:pPr>
              <w:pStyle w:val="TableContents"/>
              <w:spacing w:before="0" w:after="0"/>
              <w:ind w:left="225" w:right="0" w:hanging="225"/>
              <w:rPr/>
            </w:pPr>
            <w:r>
              <w:rPr/>
              <w:t> </w:t>
            </w:r>
          </w:p>
        </w:tc>
        <w:tc>
          <w:tcPr>
            <w:tcW w:w="87"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762"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92" w:type="dxa"/>
            <w:tcBorders/>
            <w:shd w:fill="auto" w:val="clear"/>
          </w:tcPr>
          <w:p>
            <w:pPr>
              <w:pStyle w:val="TableContents"/>
              <w:spacing w:before="0" w:after="283"/>
              <w:rPr/>
            </w:pPr>
            <w:r>
              <w:rPr/>
              <w:t> </w:t>
            </w:r>
          </w:p>
        </w:tc>
        <w:tc>
          <w:tcPr>
            <w:tcW w:w="161" w:type="dxa"/>
            <w:tcBorders/>
            <w:shd w:fill="auto" w:val="clear"/>
          </w:tcPr>
          <w:p>
            <w:pPr>
              <w:pStyle w:val="TableContents"/>
              <w:spacing w:before="0" w:after="283"/>
              <w:rPr/>
            </w:pPr>
            <w:r>
              <w:rPr/>
              <w:t> </w:t>
            </w:r>
          </w:p>
        </w:tc>
        <w:tc>
          <w:tcPr>
            <w:tcW w:w="460" w:type="dxa"/>
            <w:tcBorders/>
            <w:shd w:fill="auto" w:val="clear"/>
          </w:tcPr>
          <w:p>
            <w:pPr>
              <w:pStyle w:val="TableContents"/>
              <w:spacing w:before="0" w:after="283"/>
              <w:rPr/>
            </w:pPr>
            <w:r>
              <w:rPr/>
              <w:t> </w:t>
            </w:r>
          </w:p>
        </w:tc>
        <w:tc>
          <w:tcPr>
            <w:tcW w:w="66"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155" w:type="dxa"/>
            <w:tcBorders/>
            <w:shd w:fill="auto" w:val="clear"/>
          </w:tcPr>
          <w:p>
            <w:pPr>
              <w:pStyle w:val="TableContents"/>
              <w:spacing w:before="0" w:after="283"/>
              <w:rPr/>
            </w:pPr>
            <w:r>
              <w:rPr/>
              <w:t> </w:t>
            </w:r>
          </w:p>
        </w:tc>
        <w:tc>
          <w:tcPr>
            <w:tcW w:w="892" w:type="dxa"/>
            <w:tcBorders/>
            <w:shd w:fill="auto" w:val="clear"/>
          </w:tcPr>
          <w:p>
            <w:pPr>
              <w:pStyle w:val="TableContents"/>
              <w:spacing w:before="0" w:after="283"/>
              <w:rPr/>
            </w:pPr>
            <w:r>
              <w:rPr/>
              <w:t> </w:t>
            </w:r>
          </w:p>
        </w:tc>
        <w:tc>
          <w:tcPr>
            <w:tcW w:w="100"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144" w:type="dxa"/>
            <w:tcBorders/>
            <w:shd w:fill="auto" w:val="clear"/>
          </w:tcPr>
          <w:p>
            <w:pPr>
              <w:pStyle w:val="TableContents"/>
              <w:spacing w:before="0" w:after="283"/>
              <w:rPr/>
            </w:pPr>
            <w:r>
              <w:rPr/>
              <w:t> </w:t>
            </w:r>
          </w:p>
        </w:tc>
        <w:tc>
          <w:tcPr>
            <w:tcW w:w="820" w:type="dxa"/>
            <w:tcBorders/>
            <w:shd w:fill="auto" w:val="clear"/>
          </w:tcPr>
          <w:p>
            <w:pPr>
              <w:pStyle w:val="TableContents"/>
              <w:spacing w:before="0" w:after="283"/>
              <w:rPr/>
            </w:pPr>
            <w:r>
              <w:rPr/>
              <w:t> </w:t>
            </w:r>
          </w:p>
        </w:tc>
        <w:tc>
          <w:tcPr>
            <w:tcW w:w="66"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255" w:type="dxa"/>
            <w:tcBorders/>
            <w:shd w:fill="auto" w:val="clear"/>
          </w:tcPr>
          <w:p>
            <w:pPr>
              <w:pStyle w:val="TableContents"/>
              <w:spacing w:before="0" w:after="283"/>
              <w:rPr/>
            </w:pPr>
            <w:r>
              <w:rPr/>
              <w:t> </w:t>
            </w:r>
          </w:p>
        </w:tc>
        <w:tc>
          <w:tcPr>
            <w:tcW w:w="631" w:type="dxa"/>
            <w:tcBorders/>
            <w:shd w:fill="auto" w:val="clear"/>
          </w:tcPr>
          <w:p>
            <w:pPr>
              <w:pStyle w:val="TableContents"/>
              <w:spacing w:before="0" w:after="283"/>
              <w:rPr/>
            </w:pPr>
            <w:r>
              <w:rPr/>
              <w:t> </w:t>
            </w:r>
          </w:p>
        </w:tc>
        <w:tc>
          <w:tcPr>
            <w:tcW w:w="100" w:type="dxa"/>
            <w:tcBorders/>
            <w:shd w:fill="auto" w:val="clear"/>
          </w:tcPr>
          <w:p>
            <w:pPr>
              <w:pStyle w:val="TableContents"/>
              <w:spacing w:before="0" w:after="283"/>
              <w:rPr/>
            </w:pPr>
            <w:r>
              <w:rPr/>
              <w:t> </w:t>
            </w:r>
          </w:p>
        </w:tc>
        <w:tc>
          <w:tcPr>
            <w:tcW w:w="86" w:type="dxa"/>
            <w:tcBorders/>
            <w:shd w:fill="auto" w:val="clear"/>
          </w:tcPr>
          <w:p>
            <w:pPr>
              <w:pStyle w:val="TableContents"/>
              <w:spacing w:before="0" w:after="283"/>
              <w:rPr/>
            </w:pPr>
            <w:r>
              <w:rPr/>
              <w:t> </w:t>
            </w:r>
          </w:p>
        </w:tc>
        <w:tc>
          <w:tcPr>
            <w:tcW w:w="379" w:type="dxa"/>
            <w:tcBorders/>
            <w:shd w:fill="auto" w:val="clear"/>
          </w:tcPr>
          <w:p>
            <w:pPr>
              <w:pStyle w:val="TableContents"/>
              <w:spacing w:before="0" w:after="283"/>
              <w:rPr/>
            </w:pPr>
            <w:r>
              <w:rPr/>
              <w:t> </w:t>
            </w:r>
          </w:p>
        </w:tc>
        <w:tc>
          <w:tcPr>
            <w:tcW w:w="1729" w:type="dxa"/>
            <w:tcBorders/>
            <w:shd w:fill="auto" w:val="clear"/>
          </w:tcPr>
          <w:p>
            <w:pPr>
              <w:pStyle w:val="TableContents"/>
              <w:spacing w:before="0" w:after="283"/>
              <w:rPr/>
            </w:pPr>
            <w:r>
              <w:rPr/>
              <w:t> </w:t>
            </w:r>
          </w:p>
        </w:tc>
        <w:tc>
          <w:tcPr>
            <w:tcW w:w="100"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144" w:type="dxa"/>
            <w:tcBorders/>
            <w:shd w:fill="auto" w:val="clear"/>
          </w:tcPr>
          <w:p>
            <w:pPr>
              <w:pStyle w:val="TableContents"/>
              <w:spacing w:before="0" w:after="283"/>
              <w:rPr/>
            </w:pPr>
            <w:r>
              <w:rPr/>
              <w:t> </w:t>
            </w:r>
          </w:p>
        </w:tc>
        <w:tc>
          <w:tcPr>
            <w:tcW w:w="82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Issuance of Common Stock to 401(k) plan</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12</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377</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377</w:t>
            </w:r>
          </w:p>
        </w:tc>
        <w:tc>
          <w:tcPr>
            <w:tcW w:w="117" w:type="dxa"/>
            <w:tcBorders/>
            <w:shd w:fill="auto" w:val="clear"/>
            <w:vAlign w:val="bottom"/>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450" w:right="0" w:hanging="225"/>
              <w:rPr/>
            </w:pPr>
            <w:r>
              <w:rPr/>
              <w:t>Stock compensation</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13,208</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13,208</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Stock options exercised</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62</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1</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396</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397</w:t>
            </w:r>
          </w:p>
        </w:tc>
        <w:tc>
          <w:tcPr>
            <w:tcW w:w="117" w:type="dxa"/>
            <w:tcBorders/>
            <w:shd w:fill="auto" w:val="clear"/>
            <w:vAlign w:val="bottom"/>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450" w:right="0" w:hanging="225"/>
              <w:rPr/>
            </w:pPr>
            <w:r>
              <w:rPr/>
              <w:t>Issuance of Common Stock due to acquisitions</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209</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2</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7,302</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7,304</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Release of Restricted Stock</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690</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450" w:right="0" w:hanging="225"/>
              <w:rPr/>
            </w:pPr>
            <w:r>
              <w:rPr/>
              <w:t>Excess tax benefit from stock compensation</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5</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3,225</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3,230</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Taxes paid related to net share settlement of equity awards</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92" w:type="dxa"/>
            <w:tcBorders/>
            <w:shd w:fill="auto" w:val="clear"/>
            <w:vAlign w:val="bottom"/>
          </w:tcPr>
          <w:p>
            <w:pPr>
              <w:pStyle w:val="TableContents"/>
              <w:spacing w:before="0" w:after="283"/>
              <w:jc w:val="right"/>
              <w:rPr/>
            </w:pPr>
            <w:r>
              <w:rPr/>
              <w:t>(7,484</w:t>
            </w:r>
          </w:p>
        </w:tc>
        <w:tc>
          <w:tcPr>
            <w:tcW w:w="100" w:type="dxa"/>
            <w:tcBorders/>
            <w:shd w:fill="auto" w:val="clear"/>
            <w:vAlign w:val="bottom"/>
          </w:tcPr>
          <w:p>
            <w:pPr>
              <w:pStyle w:val="TableContents"/>
              <w:spacing w:before="0" w:after="283"/>
              <w:rPr/>
            </w:pPr>
            <w:r>
              <w:rPr/>
              <w:t>)</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(7,484</w:t>
            </w:r>
          </w:p>
        </w:tc>
        <w:tc>
          <w:tcPr>
            <w:tcW w:w="117" w:type="dxa"/>
            <w:tcBorders/>
            <w:shd w:fill="auto" w:val="clear"/>
            <w:vAlign w:val="bottom"/>
          </w:tcPr>
          <w:p>
            <w:pPr>
              <w:pStyle w:val="TableContents"/>
              <w:spacing w:before="0" w:after="283"/>
              <w:rPr/>
            </w:pPr>
            <w:r>
              <w:rPr/>
              <w:t>)</w:t>
            </w:r>
          </w:p>
        </w:tc>
      </w:tr>
      <w:tr>
        <w:trPr/>
        <w:tc>
          <w:tcPr>
            <w:tcW w:w="1551" w:type="dxa"/>
            <w:tcBorders/>
            <w:shd w:fill="CCEEFF" w:val="clear"/>
            <w:vAlign w:val="bottom"/>
          </w:tcPr>
          <w:p>
            <w:pPr>
              <w:pStyle w:val="TableContents"/>
              <w:spacing w:before="0" w:after="0"/>
              <w:ind w:left="450" w:right="0" w:hanging="225"/>
              <w:rPr/>
            </w:pPr>
            <w:r>
              <w:rPr/>
              <w:t>Unrealized gain (loss) on available-for-sale securities</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605</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605</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Foreign currency translation adjustment</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5,024</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5,024</w:t>
            </w:r>
          </w:p>
        </w:tc>
        <w:tc>
          <w:tcPr>
            <w:tcW w:w="117" w:type="dxa"/>
            <w:tcBorders/>
            <w:shd w:fill="auto" w:val="clear"/>
            <w:vAlign w:val="bottom"/>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450" w:right="0" w:hanging="225"/>
              <w:rPr/>
            </w:pPr>
            <w:r>
              <w:rPr/>
              <w:t>Net income</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122,159</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122,159</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center"/>
          </w:tcPr>
          <w:p>
            <w:pPr>
              <w:pStyle w:val="TableContents"/>
              <w:spacing w:before="0" w:after="0"/>
              <w:ind w:left="225" w:right="0" w:hanging="225"/>
              <w:rPr/>
            </w:pPr>
            <w:r>
              <w:rPr/>
              <w:t> </w:t>
            </w:r>
          </w:p>
        </w:tc>
        <w:tc>
          <w:tcPr>
            <w:tcW w:w="87"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892"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pPr>
            <w:r>
              <w:rPr/>
              <w:t> </w:t>
            </w:r>
          </w:p>
        </w:tc>
        <w:tc>
          <w:tcPr>
            <w:tcW w:w="1729"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551" w:type="dxa"/>
            <w:tcBorders/>
            <w:shd w:fill="auto" w:val="clear"/>
            <w:vAlign w:val="bottom"/>
          </w:tcPr>
          <w:p>
            <w:pPr>
              <w:pStyle w:val="TableContents"/>
              <w:spacing w:before="0" w:after="0"/>
              <w:ind w:left="450" w:right="0" w:hanging="225"/>
              <w:rPr/>
            </w:pPr>
            <w:r>
              <w:rPr/>
              <w:t>Total comprehensive income</w:t>
            </w:r>
          </w:p>
        </w:tc>
        <w:tc>
          <w:tcPr>
            <w:tcW w:w="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127,788</w:t>
            </w:r>
          </w:p>
        </w:tc>
        <w:tc>
          <w:tcPr>
            <w:tcW w:w="117" w:type="dxa"/>
            <w:tcBorders/>
            <w:shd w:fill="auto" w:val="clear"/>
            <w:vAlign w:val="bottom"/>
          </w:tcPr>
          <w:p>
            <w:pPr>
              <w:pStyle w:val="TableContents"/>
              <w:spacing w:before="0" w:after="283"/>
              <w:rPr/>
            </w:pPr>
            <w:r>
              <w:rPr/>
              <w:t> </w:t>
            </w:r>
          </w:p>
        </w:tc>
      </w:tr>
      <w:tr>
        <w:trPr/>
        <w:tc>
          <w:tcPr>
            <w:tcW w:w="1551" w:type="dxa"/>
            <w:tcBorders/>
            <w:shd w:fill="auto" w:val="clear"/>
            <w:vAlign w:val="center"/>
          </w:tcPr>
          <w:p>
            <w:pPr>
              <w:pStyle w:val="TableContents"/>
              <w:spacing w:before="0" w:after="0"/>
              <w:ind w:left="225" w:right="0" w:hanging="225"/>
              <w:rPr/>
            </w:pPr>
            <w:r>
              <w:rPr/>
              <w:t> </w:t>
            </w:r>
          </w:p>
        </w:tc>
        <w:tc>
          <w:tcPr>
            <w:tcW w:w="87" w:type="dxa"/>
            <w:tcBorders/>
            <w:shd w:fill="auto" w:val="clear"/>
            <w:vAlign w:val="center"/>
          </w:tcPr>
          <w:p>
            <w:pPr>
              <w:pStyle w:val="TableContents"/>
              <w:spacing w:before="0" w:after="283"/>
              <w:rPr/>
            </w:pPr>
            <w:r>
              <w:rPr/>
              <w:t> </w:t>
            </w:r>
          </w:p>
        </w:tc>
        <w:tc>
          <w:tcPr>
            <w:tcW w:w="8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6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8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1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551" w:type="dxa"/>
            <w:tcBorders/>
            <w:shd w:fill="CCEEFF" w:val="clear"/>
            <w:vAlign w:val="bottom"/>
          </w:tcPr>
          <w:p>
            <w:pPr>
              <w:pStyle w:val="TableContents"/>
              <w:spacing w:before="0" w:after="0"/>
              <w:ind w:left="225" w:right="0" w:hanging="225"/>
              <w:rPr/>
            </w:pPr>
            <w:r>
              <w:rPr/>
              <w:t>Balances at September 30, 2011</w:t>
            </w:r>
          </w:p>
        </w:tc>
        <w:tc>
          <w:tcPr>
            <w:tcW w:w="87"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50,199</w:t>
            </w:r>
          </w:p>
        </w:tc>
        <w:tc>
          <w:tcPr>
            <w:tcW w:w="7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460" w:type="dxa"/>
            <w:tcBorders/>
            <w:shd w:fill="CCEEFF" w:val="clear"/>
            <w:vAlign w:val="bottom"/>
          </w:tcPr>
          <w:p>
            <w:pPr>
              <w:pStyle w:val="TableContents"/>
              <w:spacing w:before="0" w:after="283"/>
              <w:jc w:val="right"/>
              <w:rPr/>
            </w:pPr>
            <w:r>
              <w:rPr/>
              <w:t>501</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242,398</w:t>
            </w:r>
          </w:p>
        </w:tc>
        <w:tc>
          <w:tcPr>
            <w:tcW w:w="10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422,095</w:t>
            </w:r>
          </w:p>
        </w:tc>
        <w:tc>
          <w:tcPr>
            <w:tcW w:w="6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left"/>
              <w:rPr/>
            </w:pPr>
            <w:r>
              <w:rPr/>
              <w:t>$</w:t>
            </w:r>
          </w:p>
        </w:tc>
        <w:tc>
          <w:tcPr>
            <w:tcW w:w="631"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jc w:val="left"/>
              <w:rPr/>
            </w:pPr>
            <w:r>
              <w:rPr/>
              <w:t>$</w:t>
            </w:r>
          </w:p>
        </w:tc>
        <w:tc>
          <w:tcPr>
            <w:tcW w:w="1729" w:type="dxa"/>
            <w:tcBorders/>
            <w:shd w:fill="CCEEFF" w:val="clear"/>
            <w:vAlign w:val="bottom"/>
          </w:tcPr>
          <w:p>
            <w:pPr>
              <w:pStyle w:val="TableContents"/>
              <w:spacing w:before="0" w:after="283"/>
              <w:jc w:val="right"/>
              <w:rPr/>
            </w:pPr>
            <w:r>
              <w:rPr/>
              <w:t>(746</w:t>
            </w:r>
          </w:p>
        </w:tc>
        <w:tc>
          <w:tcPr>
            <w:tcW w:w="100" w:type="dxa"/>
            <w:tcBorders/>
            <w:shd w:fill="CCEEFF" w:val="clear"/>
            <w:vAlign w:val="bottom"/>
          </w:tcPr>
          <w:p>
            <w:pPr>
              <w:pStyle w:val="TableContents"/>
              <w:spacing w:before="0" w:after="283"/>
              <w:rPr/>
            </w:pPr>
            <w:r>
              <w:rPr/>
              <w:t>)</w:t>
            </w:r>
          </w:p>
        </w:tc>
        <w:tc>
          <w:tcPr>
            <w:tcW w:w="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664,248</w:t>
            </w:r>
          </w:p>
        </w:tc>
        <w:tc>
          <w:tcPr>
            <w:tcW w:w="117" w:type="dxa"/>
            <w:tcBorders/>
            <w:shd w:fill="CCEEFF" w:val="clear"/>
            <w:vAlign w:val="bottom"/>
          </w:tcPr>
          <w:p>
            <w:pPr>
              <w:pStyle w:val="TableContents"/>
              <w:spacing w:before="0" w:after="283"/>
              <w:rPr/>
            </w:pPr>
            <w:r>
              <w:rPr/>
              <w:t> </w:t>
            </w:r>
          </w:p>
        </w:tc>
      </w:tr>
      <w:tr>
        <w:trPr/>
        <w:tc>
          <w:tcPr>
            <w:tcW w:w="1551" w:type="dxa"/>
            <w:tcBorders/>
            <w:shd w:fill="auto" w:val="clear"/>
            <w:vAlign w:val="center"/>
          </w:tcPr>
          <w:p>
            <w:pPr>
              <w:pStyle w:val="TableContents"/>
              <w:spacing w:before="0" w:after="0"/>
              <w:ind w:left="225" w:right="0" w:hanging="225"/>
              <w:rPr/>
            </w:pPr>
            <w:r>
              <w:rPr/>
              <w:t> </w:t>
            </w:r>
          </w:p>
        </w:tc>
        <w:tc>
          <w:tcPr>
            <w:tcW w:w="87" w:type="dxa"/>
            <w:tcBorders/>
            <w:shd w:fill="auto" w:val="clear"/>
            <w:vAlign w:val="center"/>
          </w:tcPr>
          <w:p>
            <w:pPr>
              <w:pStyle w:val="TableContents"/>
              <w:spacing w:before="0" w:after="283"/>
              <w:rPr/>
            </w:pPr>
            <w:r>
              <w:rPr/>
              <w:t> </w:t>
            </w:r>
          </w:p>
        </w:tc>
        <w:tc>
          <w:tcPr>
            <w:tcW w:w="8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6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0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8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1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mallCaps/>
          <w:sz w:val="17"/>
        </w:rPr>
        <w:t>EZCORP, Inc.</w:t>
      </w:r>
      <w:r>
        <w:rPr>
          <w:rFonts w:ascii="Times New Roman;Times;serif" w:hAnsi="Times New Roman;Times;serif"/>
          <w:sz w:val="17"/>
        </w:rPr>
        <w:br/>
      </w:r>
      <w:r>
        <w:rPr>
          <w:rFonts w:ascii="Times New Roman;Times;serif" w:hAnsi="Times New Roman;Times;serif"/>
          <w:b/>
          <w:smallCaps/>
          <w:sz w:val="17"/>
        </w:rPr>
        <w:t>Notes to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A: Organization and Summary of Significant Accounting Policies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Organization</w:t>
      </w:r>
      <w:r>
        <w:rPr>
          <w:rFonts w:ascii="Times New Roman;Times;serif" w:hAnsi="Times New Roman;Times;serif"/>
          <w:sz w:val="17"/>
        </w:rPr>
        <w:t xml:space="preserve">: We are a leading provider of specialty consumer financial services. We provide collateralized, non-recourse loans, commonly known as pawn loans, and a variety of short-term consumer loans including payday loans, installment loans and auto title loans, or fee-based credit services to customers seeking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we operated a total of 1,111 locations, consisting of 433 U.S. pawn stores (operating as EZPAWN or Value Pawn), 178 pawn stores in Mexico (operating as Empeño Fácil or Empeñe Su Oro), 436 U.S. financial services stores (operating primarily as EZMONEY), 49 financial services stores in Canada (operating as CASHMAX) and 15 financial and retail services stores in Canada (operating as Cash Converters). In addition, we are the franchisor for 13 franchised stores in Canada pursuant to our acquisition of the Cash Converters master franchise in that country. We also own almost 30% of Albemarle &amp; Bond Holdings PLC, one of the U.K.s largest pawnbroking businesses with over 150 stores, and almost 33% of Cash Converters International Limited, which franchises and operates a worldwide network of over 600 financial services and second-hand retail stores.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Consolidation: </w:t>
      </w:r>
      <w:r>
        <w:rPr>
          <w:rFonts w:ascii="Times New Roman;Times;serif" w:hAnsi="Times New Roman;Times;serif"/>
          <w:sz w:val="17"/>
        </w:rPr>
        <w:t xml:space="preserve">The consolidated financial statements include the accounts of EZCORP, Inc. and its wholly owned subsidiaries. All significant inter-company accounts and transactions have been eliminated in consolidation. We account for our investments in Albemarle &amp; Bond Holdings, PLC and Cash Converters International Limited using the equity method.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Pawn Loan and Sales Revenue Recognition: </w:t>
      </w:r>
      <w:r>
        <w:rPr>
          <w:rFonts w:ascii="Times New Roman;Times;serif" w:hAnsi="Times New Roman;Times;serif"/>
          <w:sz w:val="17"/>
        </w:rPr>
        <w:t xml:space="preserve">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upon the sale of inventory is excluded from the amount recognized as sales and instead recorded as a liability in Accounts payable and other accrued expenses on our balance sheets until remitted to the appropriate governmental authorities.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Fee Revenue Recognition: </w:t>
      </w:r>
      <w:r>
        <w:rPr>
          <w:rFonts w:ascii="Times New Roman;Times;serif" w:hAnsi="Times New Roman;Times;serif"/>
          <w:sz w:val="17"/>
        </w:rPr>
        <w:t xml:space="preserve">We earn credit service fees when we assist customers in obtaining signature loans from unaffiliated 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Signature loan credit service fee revenue is included in Signature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Bad Debt: </w:t>
      </w:r>
      <w:r>
        <w:rPr>
          <w:rFonts w:ascii="Times New Roman;Times;serif" w:hAnsi="Times New Roman;Times;serif"/>
          <w:sz w:val="17"/>
        </w:rPr>
        <w:t xml:space="preserve">We issue letters of credit to enhance the creditworthiness of our customers seeking signature loans from unaffiliated lenders. The letters of credit assure the lenders that if borrowers default on the loans, we will pay the lenders, upon demand, the principal and accrued interest owed to the lenders by the borrowers plus any insufficient funds fees. Although amounts paid under letters of credit may be collected later, we charge those amounts to signature loan bad debt upon default. We record recoveries under the letters of credit as a reduction of bad debt at the time of collection. After attempting collection of bad debts internally, we occasionally sell them to an unaffiliated company as another method of recovery, and record the proceeds from such sales as a reduction of bad debt at the time of the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majority of our credit service customers obtain short-term signature loans with a single maturity date. These short-term loans, with terms averaging about 16 days, are considered defaulted if they have not been repaid or renewed by the maturity date. Other credit service customers obtain installment loans with a series of payments due over as much as a seven-month period. If one payment of an installment loan is delinquent, that one payment is considered defaulted. If more than one installment payment is delinquent at any time, the entire loan is considered defaulted.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Allowance for Losses on Signature Loan Credit Services: </w:t>
      </w:r>
      <w:r>
        <w:rPr>
          <w:rFonts w:ascii="Times New Roman;Times;serif" w:hAnsi="Times New Roman;Times;serif"/>
          <w:sz w:val="17"/>
        </w:rPr>
        <w:t xml:space="preserve">We provide an allowance for losses we expect to incur under letters of credit for brokered signature loans that have not yet matured. The allowance is based on recent loan default experience adjusted for seasonal variations. It includes all amounts we expect to pay to the unaffiliated lenders upon loan default, including loan principal, accrued interest, insufficient funds fees, and late fees, net of the amounts we expect to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collect from borrowers (collectively, Expected LOC Losses). Changes in the allowance are charged to signature loan bad debt. We include the balance of Expected LOC Losses in Accounts payable and other accrued expenses on our balance sheets. Based on the expected loss and collection percentages, we also provide an allowance for the signature loan credit service fees we expect not to collect, and charge changes in this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Revenue Recognition: </w:t>
      </w:r>
      <w:r>
        <w:rPr>
          <w:rFonts w:ascii="Times New Roman;Times;serif" w:hAnsi="Times New Roman;Times;serif"/>
          <w:sz w:val="17"/>
        </w:rPr>
        <w:t xml:space="preserve">We accrue fees in accordance with state and provincial laws on the percentage of signature loans (payday loans and installment loans) we have made that we believe to be collectible. Accrued fees related to defaulted loans reduce fee revenue upon loan default, and increase fee revenue upon collection.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Bad Debt: </w:t>
      </w:r>
      <w:r>
        <w:rPr>
          <w:rFonts w:ascii="Times New Roman;Times;serif" w:hAnsi="Times New Roman;Times;serif"/>
          <w:sz w:val="17"/>
        </w:rPr>
        <w:t xml:space="preserve">We consider a payday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We record collections of principal as a reduction of signature loan bad debt when collected. After attempting collection of bad debts internally, we occasionally sell them to an unaffiliated company as another method of recovery and record the proceeds from such sales as a reduction of bad debt at the time of sale.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Allowance for Losses: </w:t>
      </w:r>
      <w:r>
        <w:rPr>
          <w:rFonts w:ascii="Times New Roman;Times;serif" w:hAnsi="Times New Roman;Times;serif"/>
          <w:sz w:val="17"/>
        </w:rPr>
        <w:t xml:space="preserve">We provide an allowance for losses on signature loans that have not yet matured and related fees receivable, based on recent loan default experience adjusted for seasonal variations. We charge any changes in the principal valuation allowance to signature loan bad debt. We record changes in the fee receivable valuation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Credit Service Fee Revenue Recognition: </w:t>
      </w:r>
      <w:r>
        <w:rPr>
          <w:rFonts w:ascii="Times New Roman;Times;serif" w:hAnsi="Times New Roman;Times;serif"/>
          <w:sz w:val="17"/>
        </w:rPr>
        <w:t xml:space="preserve">We earn auto title credit service fees when we assist customers in obtaining auto title loans from unaffiliated lenders. We recognize the fee revenue ratably over the life of the loan, and reserve the percentage of fees we expect not to collect. Auto title loan credit service fee revenue is included in Auto title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Bad Debt and Allowance for Losses on Auto Title Loan Credit Services: </w:t>
      </w:r>
      <w:r>
        <w:rPr>
          <w:rFonts w:ascii="Times New Roman;Times;serif" w:hAnsi="Times New Roman;Times;serif"/>
          <w:sz w:val="17"/>
        </w:rPr>
        <w:t xml:space="preserve">We issue letters of credit to enhance the creditworthiness of our customers seeking auto title loans from unaffiliated lenders. The letters of credit assure the lenders that if borrowers default on the loans, we will pay the lenders, upon demand, all amounts owed to the lenders by the borrowers plus any late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late fees, net of the amounts we expect to collect from borrowers or through the sale of repossessed vehicles. We include the allowance for expected losses in Accounts payable and other accrued expenses on our balance sheets.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Revenue Recognition: </w:t>
      </w:r>
      <w:r>
        <w:rPr>
          <w:rFonts w:ascii="Times New Roman;Times;serif" w:hAnsi="Times New Roman;Times;serif"/>
          <w:sz w:val="17"/>
        </w:rPr>
        <w:t xml:space="preserve">We accrue fees in accordance with state laws on the percentage of auto title loans we have made that we believe to be collectible. We recognize the fee revenue ratably over the life of the loan.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Bad Debt and Allowance for Losses: </w:t>
      </w:r>
      <w:r>
        <w:rPr>
          <w:rFonts w:ascii="Times New Roman;Times;serif" w:hAnsi="Times New Roman;Times;serif"/>
          <w:sz w:val="17"/>
        </w:rPr>
        <w:t xml:space="preserve">Based on historical collection experience, the age of past-due loans and amounts we expect to receive through the sale of repossessed vehicles, we provide an allowance for losses on auto title loans and related fees receivable. We charge any increases in the principal valuation allowance to auto title loan bad debt and charge uncollectable loans against this allowance. We record changes in the fee receivable valuation allowance to auto title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Cash and Cash Equivalents and Cash Concentrations: </w:t>
      </w:r>
      <w:r>
        <w:rPr>
          <w:rFonts w:ascii="Times New Roman;Times;serif" w:hAnsi="Times New Roman;Times;serif"/>
          <w:sz w:val="17"/>
        </w:rPr>
        <w:t xml:space="preserve">Cash and cash equivalents consist primarily of cash on deposit or highly liquid investments or mutual funds with original contractual maturities of three months or less. We hold cash at major financial institutions that often exceed FDIC insured limits. We manage our credit risk associated with cash and cash equivalents and cash concentrations by investing in high quality instruments or funds,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Inventory: </w:t>
      </w:r>
      <w:r>
        <w:rPr>
          <w:rFonts w:ascii="Times New Roman;Times;serif" w:hAnsi="Times New Roman;Times;serif"/>
          <w:sz w:val="17"/>
        </w:rPr>
        <w:t xml:space="preserve">If a pawn loan is not redeemed, we record the forfeited collateral at cost (the principal amount of the pawn loan). We do not record loan loss allowances or charge-offs on the principal portion of pawn loans, as they are fully collateralized. In order to state inventory at the lower of cost (specific identification) or market value, we record an allowance for excess, obsolete or slow moving inventory based on the type and age of merchandise. We record changes in the inventory valuation allowance as cost of goods sold.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Software Development Costs: </w:t>
      </w:r>
      <w:r>
        <w:rPr>
          <w:rFonts w:ascii="Times New Roman;Times;serif" w:hAnsi="Times New Roman;Times;serif"/>
          <w:sz w:val="17"/>
        </w:rPr>
        <w:t xml:space="preserve">We capitalize certain costs incurred in connection with developing or obtaining software for internal use, and amortize the costs by the straight-line method over the estimated useful lives of each system, typically five years.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Customer Layaway Deposits: </w:t>
      </w:r>
      <w:r>
        <w:rPr>
          <w:rFonts w:ascii="Times New Roman;Times;serif" w:hAnsi="Times New Roman;Times;serif"/>
          <w:sz w:val="17"/>
        </w:rPr>
        <w:t xml:space="preserve">Customer layaway deposits are recorded as deferred revenue until we collect the entire related sales price and deliver the related merchandise to the customer.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Intangible Assets: </w:t>
      </w:r>
      <w:r>
        <w:rPr>
          <w:rFonts w:ascii="Times New Roman;Times;serif" w:hAnsi="Times New Roman;Times;serif"/>
          <w:sz w:val="17"/>
        </w:rPr>
        <w:t xml:space="preserve">Goodwill and other intangible assets having indefinite lives are not subject to amortization. They are tested for impairment each July 1st, or more frequently if events or changes in circumstances indicate that they might be impaired, based on cash flows and other market valuation methods. We amortize intangible assets with definite lives over their estimated useful lives using the straight-line method.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Property and Equipment: </w:t>
      </w:r>
      <w:r>
        <w:rPr>
          <w:rFonts w:ascii="Times New Roman;Times;serif" w:hAnsi="Times New Roman;Times;serif"/>
          <w:sz w:val="17"/>
        </w:rPr>
        <w:t xml:space="preserve">We record property and equipment at cost. We depreciate these assets on a straight-line basis using estimated useful lives of 30 years for buildings and 2 to 7 years for furniture, equipment, and software development costs. We depreciate leasehold improvements over the shorter of their estimated useful life (typically 10 years) or the reasonably assured lease term at the inception of the lease.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Valuation of Tangible Long-Lived Assets: </w:t>
      </w:r>
      <w:r>
        <w:rPr>
          <w:rFonts w:ascii="Times New Roman;Times;serif" w:hAnsi="Times New Roman;Times;serif"/>
          <w:sz w:val="17"/>
        </w:rPr>
        <w:t xml:space="preserve">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significant negative industry trends or legislative changes prohibiting us from offering our loan products. When we determine that the net recorded amount of tangible long-lived assets may not be recoverable, we measure impairment based on the excess of the assets net recorded amount over the estimated fair value.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Fair Value of Financial Instruments: </w:t>
      </w:r>
      <w:r>
        <w:rPr>
          <w:rFonts w:ascii="Times New Roman;Times;serif" w:hAnsi="Times New Roman;Times;serif"/>
          <w:sz w:val="17"/>
        </w:rPr>
        <w:t xml:space="preserve">We have elected not to measure at fair value any eligible items for which fair value measurement is optional. We determine the fair value of financial instruments by reference to various market data and other valuation techniques, as appropriate. Unless otherwise disclosed, the fair values of financial instruments approximate their recorded values, due primarily to their short-term nature. The recorded value of our outstanding debt is assumed to estimate its fair value, as it has no prepayment penalty and a floating interest rate based on market rates.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Acquisitions: </w:t>
      </w:r>
      <w:r>
        <w:rPr>
          <w:rFonts w:ascii="Times New Roman;Times;serif" w:hAnsi="Times New Roman;Times;serif"/>
          <w:sz w:val="17"/>
        </w:rPr>
        <w:t xml:space="preserve">We adopted Financial Accounting Standards Board (FASB) Accounting Standards Codification (ASC) 805-10-65 (Business Combinations  Revised) on October 1, 2009, and have applied it prospectively to all business acquisitions completed since that date. In accordance with FASB ASC 805-10-65, we allocate the total acquisition price to the fair value of assets and liabilities acquired and now immediately expense transaction costs that would have been included in the purchase price allocation under previous accounting standards.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Foreign Currency Translation: </w:t>
      </w:r>
      <w:r>
        <w:rPr>
          <w:rFonts w:ascii="Times New Roman;Times;serif" w:hAnsi="Times New Roman;Times;serif"/>
          <w:sz w:val="17"/>
        </w:rPr>
        <w:t xml:space="preserve">Our equity investments in Albemarle &amp; Bond and Cash Converters International are translated from British pounds and Australian dollars, respectively, into U.S. dollars at the exchange rates as of the investees balance sheet date of June 30. The related interest in the investees net income is translated at the average exchange rates for each six-month period reported by the investees. The functional currency of our wholly-owned Empeño Fácil pawn segment is the Mexican peso and the functional currency of our wholly-owned foreign subsidiary in Canada is the Canadian dollar. Empeño Fácils and our Canadian subsidiarys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from Albemarle &amp; Bond, Cash Converters International, Empeño Fácil and our Canada subsidiary as a separate component of stockholders equity. Foreign currency transaction gains and losses have not been significant, and are reported as Other expense in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Cost of Goods Sold: </w:t>
      </w:r>
      <w:r>
        <w:rPr>
          <w:rFonts w:ascii="Times New Roman;Times;serif" w:hAnsi="Times New Roman;Times;serif"/>
          <w:sz w:val="17"/>
        </w:rPr>
        <w:t xml:space="preserve">We include in cost of goods sold the historical cost of inventory sold, inventory shrinkage and any change in the allowance for inventory shrinkage and valuation. We also include the cost of operating our central jewelry processing unit, as it relates directly to sales of precious metals to refiners.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Operations Expense: </w:t>
      </w:r>
      <w:r>
        <w:rPr>
          <w:rFonts w:ascii="Times New Roman;Times;serif" w:hAnsi="Times New Roman;Times;serif"/>
          <w:sz w:val="17"/>
        </w:rPr>
        <w:t xml:space="preserve">Included in operations expense are costs related to operating our stores. These costs include labor, other direct expenses such as utilities, supplies and banking fees, and indirect expenses such as store rent, building repairs and maintenance, advertising, store property taxes and insurance, regional and area management expenses and the costs of our bad debt collection center.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Administrative Expense: </w:t>
      </w:r>
      <w:r>
        <w:rPr>
          <w:rFonts w:ascii="Times New Roman;Times;serif" w:hAnsi="Times New Roman;Times;serif"/>
          <w:sz w:val="17"/>
        </w:rPr>
        <w:t xml:space="preserve">Included in administrative expense are costs related to our executive and administrative offices. This includes executive and administrative salaries, wages, stock and incentive compensation, professional fees, license fees and costs related to the operation of our administrative offices such as rent, property taxes, insurance, and information technology.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Advertising</w:t>
      </w:r>
      <w:r>
        <w:rPr>
          <w:rFonts w:ascii="Times New Roman;Times;serif" w:hAnsi="Times New Roman;Times;serif"/>
          <w:b/>
          <w:sz w:val="17"/>
        </w:rPr>
        <w:t xml:space="preserve">: </w:t>
      </w:r>
      <w:r>
        <w:rPr>
          <w:rFonts w:ascii="Times New Roman;Times;serif" w:hAnsi="Times New Roman;Times;serif"/>
          <w:sz w:val="17"/>
        </w:rPr>
        <w:t xml:space="preserve">We expense advertising costs as incurred.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Income Taxes: </w:t>
      </w:r>
      <w:r>
        <w:rPr>
          <w:rFonts w:ascii="Times New Roman;Times;serif" w:hAnsi="Times New Roman;Times;serif"/>
          <w:sz w:val="17"/>
        </w:rPr>
        <w:t xml:space="preserve">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Stock Compensation</w:t>
      </w:r>
      <w:r>
        <w:rPr>
          <w:rFonts w:ascii="Times New Roman;Times;serif" w:hAnsi="Times New Roman;Times;serif"/>
          <w:b/>
          <w:sz w:val="17"/>
        </w:rPr>
        <w:t xml:space="preserve">: </w:t>
      </w:r>
      <w:r>
        <w:rPr>
          <w:rFonts w:ascii="Times New Roman;Times;serif" w:hAnsi="Times New Roman;Times;serif"/>
          <w:sz w:val="17"/>
        </w:rPr>
        <w:t xml:space="preserve">We account for stock compensation in accordance with the fair value recognition provisions of FASB ASC 718-10-25 (Compensation  Stock Compensation). The fair value of restricted shares is measured as the closing market price of our stock on the date of grant, which is amortized over the vesting period for each grant. When granted, our policy is to estimate the grant-date fair value of options using the Black-Scholes-Merton option-pricing model and amortize that fair value to compensation expense on a ratable basis over the options vesting periods.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Use of Estimates</w:t>
      </w:r>
      <w:r>
        <w:rPr>
          <w:rFonts w:ascii="Times New Roman;Times;serif" w:hAnsi="Times New Roman;Times;serif"/>
          <w:b/>
          <w:sz w:val="17"/>
        </w:rPr>
        <w:t xml:space="preserve">: </w:t>
      </w:r>
      <w:r>
        <w:rPr>
          <w:rFonts w:ascii="Times New Roman;Times;serif" w:hAnsi="Times New Roman;Times;serif"/>
          <w:sz w:val="17"/>
        </w:rPr>
        <w:t xml:space="preserve">Generally accepted accounting principles require us to make estimates and assumptions that affect the amounts reported in the financial statements and accompanying notes. Actual results could differ materially from those estimates.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Reclassifications: </w:t>
      </w:r>
      <w:r>
        <w:rPr>
          <w:rFonts w:ascii="Times New Roman;Times;serif" w:hAnsi="Times New Roman;Times;serif"/>
          <w:sz w:val="17"/>
        </w:rPr>
        <w:t xml:space="preserve">Certain prior year balances have been reclassified to conform to the current year presentation.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Recently Issued Accounting Pronouncements: </w:t>
      </w:r>
      <w:r>
        <w:rPr>
          <w:rFonts w:ascii="Times New Roman;Times;serif" w:hAnsi="Times New Roman;Times;serif"/>
          <w:sz w:val="17"/>
        </w:rPr>
        <w:t xml:space="preserve">In June 2009, FASB amended ASC 810-10-65 (Consolidation). Amended ASC 810-10-65 relates to the consolidation of variable interest entities. It eliminates the quantitative approach previously required for determining the primary beneficiary of a variable interest entity and requires ongoing qualitative reassessments of whether an enterprise is the primary beneficiary of a variable interest entity. This guidance also requires additional disclosures about an enterprises involvement in variable interest entities. We adopted this amended standard October 1, 2010, resulting in no effect on our financial position, results of operations or cash flows.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July 2010, FASB issued Accounting Standards Update (ASU) 2010-20, Disclosures about the Credit Quality of Financing Receivables and the Allowance for Credit Losses. This update amends FASB ASC 310 (Receivables) to improve the disclosures that an entity provides about the credit quality of its financing receivables and the related allowance for credit losses. As a result of these amendments, an entity is required to disaggregate by portfolio segment or class certain existing disclosures and provide new disclosures about its financing receivables and related allowance for credit losses. We adopted this amended standard on October 1, 2010, resulting in no effect on our financial position, results of operations or cash flows. The additional required disclosures are included in Note 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June 2011, FASB issued ASU 2011-05, Presentation of Comprehensive Income. This update amends FASB ASC 220 (Comprehensive Income) and eliminates the option to present components of other comprehensive income as part of the statement of changes in stockholders equity. The amendments require that all non-owner changes in stockholders equity be presented either in a single continuous statement of comprehensive income or in two separate but consecutive statements. We early adopted this amended standard in our fiscal year beginning October 1, 2010 with no effect on our financial position, results of operations or cash flows other than the presentation of our results of operations.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B: Acquisitions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December 31, 2008, we acquired through a merger all of the capital stock of Value Financial Services, Inc. (VFS). The following table provides information related to the acquisition: </w:t>
      </w:r>
    </w:p>
    <w:tbl>
      <w:tblPr>
        <w:tblW w:w="5000" w:type="pct"/>
        <w:jc w:val="center"/>
        <w:tblInd w:w="0" w:type="dxa"/>
        <w:tblCellMar>
          <w:top w:w="0" w:type="dxa"/>
          <w:left w:w="0" w:type="dxa"/>
          <w:bottom w:w="0" w:type="dxa"/>
          <w:right w:w="0" w:type="dxa"/>
        </w:tblCellMar>
      </w:tblPr>
      <w:tblGrid>
        <w:gridCol w:w="7560"/>
        <w:gridCol w:w="426"/>
        <w:gridCol w:w="314"/>
        <w:gridCol w:w="1750"/>
        <w:gridCol w:w="155"/>
      </w:tblGrid>
      <w:tr>
        <w:trPr/>
        <w:tc>
          <w:tcPr>
            <w:tcW w:w="75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064" w:type="dxa"/>
            <w:gridSpan w:val="2"/>
            <w:tcBorders>
              <w:bottom w:val="single" w:sz="2" w:space="0" w:color="000000"/>
            </w:tcBorders>
            <w:shd w:fill="auto" w:val="clear"/>
            <w:tcMar>
              <w:bottom w:w="28" w:type="dxa"/>
            </w:tcMar>
            <w:vAlign w:val="bottom"/>
          </w:tcPr>
          <w:p>
            <w:pPr>
              <w:pStyle w:val="TableContents"/>
              <w:spacing w:before="0" w:after="283"/>
              <w:jc w:val="center"/>
              <w:rPr/>
            </w:pPr>
            <w:r>
              <w:rPr/>
              <w:t>Fiscal Year Ended</w:t>
            </w:r>
          </w:p>
        </w:tc>
        <w:tc>
          <w:tcPr>
            <w:tcW w:w="155" w:type="dxa"/>
            <w:tcBorders/>
            <w:shd w:fill="auto"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064"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 2009</w:t>
            </w:r>
          </w:p>
        </w:tc>
        <w:tc>
          <w:tcPr>
            <w:tcW w:w="155" w:type="dxa"/>
            <w:tcBorders/>
            <w:shd w:fill="auto"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064" w:type="dxa"/>
            <w:gridSpan w:val="2"/>
            <w:tcBorders/>
            <w:shd w:fill="auto" w:val="clear"/>
            <w:vAlign w:val="bottom"/>
          </w:tcPr>
          <w:p>
            <w:pPr>
              <w:pStyle w:val="TableContents"/>
              <w:spacing w:before="0" w:after="283"/>
              <w:jc w:val="center"/>
              <w:rPr>
                <w:i/>
              </w:rPr>
            </w:pPr>
            <w:r>
              <w:rPr>
                <w:i/>
              </w:rPr>
              <w:t xml:space="preserve">(In thousands except </w:t>
              <w:br/>
              <w:t>store counts)</w:t>
            </w:r>
          </w:p>
        </w:tc>
        <w:tc>
          <w:tcPr>
            <w:tcW w:w="155" w:type="dxa"/>
            <w:tcBorders/>
            <w:shd w:fill="auto" w:val="clear"/>
            <w:vAlign w:val="bottom"/>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225" w:right="0" w:hanging="225"/>
              <w:rPr/>
            </w:pPr>
            <w:r>
              <w:rPr/>
              <w:t>Pawn stores acquired</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67</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 </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Consideration:</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675" w:right="0" w:hanging="225"/>
              <w:rPr/>
            </w:pPr>
            <w:r>
              <w:rPr/>
              <w:t>Cash</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jc w:val="left"/>
              <w:rPr/>
            </w:pPr>
            <w:r>
              <w:rPr/>
              <w:t>$</w:t>
            </w:r>
          </w:p>
        </w:tc>
        <w:tc>
          <w:tcPr>
            <w:tcW w:w="1750" w:type="dxa"/>
            <w:tcBorders/>
            <w:shd w:fill="CCEEFF" w:val="clear"/>
            <w:vAlign w:val="bottom"/>
          </w:tcPr>
          <w:p>
            <w:pPr>
              <w:pStyle w:val="TableContents"/>
              <w:spacing w:before="0" w:after="283"/>
              <w:jc w:val="right"/>
              <w:rPr/>
            </w:pPr>
            <w:r>
              <w:rPr/>
              <w:t>13,590</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675" w:right="0" w:hanging="225"/>
              <w:rPr/>
            </w:pPr>
            <w:r>
              <w:rPr/>
              <w:t>Equity instruments (4.1 million shares of Class A Non-voting stock at $15.92 per share)</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64,609</w:t>
            </w:r>
          </w:p>
        </w:tc>
        <w:tc>
          <w:tcPr>
            <w:tcW w:w="155" w:type="dxa"/>
            <w:tcBorders/>
            <w:shd w:fill="auto" w:val="clear"/>
            <w:vAlign w:val="bottom"/>
          </w:tcPr>
          <w:p>
            <w:pPr>
              <w:pStyle w:val="TableContents"/>
              <w:spacing w:before="0" w:after="283"/>
              <w:rPr/>
            </w:pPr>
            <w:r>
              <w:rPr/>
              <w:t> </w:t>
            </w:r>
          </w:p>
        </w:tc>
      </w:tr>
      <w:tr>
        <w:trPr/>
        <w:tc>
          <w:tcPr>
            <w:tcW w:w="7560"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2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675" w:right="0" w:hanging="225"/>
              <w:rPr/>
            </w:pPr>
            <w:r>
              <w:rPr/>
              <w:t>Fair value of total consideration transferred</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78,199</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 </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Capitalized acquisition costs</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894</w:t>
            </w:r>
          </w:p>
        </w:tc>
        <w:tc>
          <w:tcPr>
            <w:tcW w:w="155" w:type="dxa"/>
            <w:tcBorders/>
            <w:shd w:fill="auto" w:val="clear"/>
            <w:vAlign w:val="bottom"/>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225" w:right="0" w:hanging="225"/>
              <w:rPr/>
            </w:pPr>
            <w:r>
              <w:rPr/>
              <w:t>Cash acquired</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jc w:val="left"/>
              <w:rPr/>
            </w:pPr>
            <w:r>
              <w:rPr/>
              <w:t> </w:t>
            </w:r>
          </w:p>
        </w:tc>
        <w:tc>
          <w:tcPr>
            <w:tcW w:w="1750" w:type="dxa"/>
            <w:tcBorders/>
            <w:shd w:fill="CCEEFF" w:val="clear"/>
            <w:vAlign w:val="bottom"/>
          </w:tcPr>
          <w:p>
            <w:pPr>
              <w:pStyle w:val="TableContents"/>
              <w:spacing w:before="0" w:after="283"/>
              <w:jc w:val="right"/>
              <w:rPr/>
            </w:pPr>
            <w:r>
              <w:rPr/>
              <w:t>(1,410</w:t>
            </w:r>
          </w:p>
        </w:tc>
        <w:tc>
          <w:tcPr>
            <w:tcW w:w="155" w:type="dxa"/>
            <w:tcBorders/>
            <w:shd w:fill="CCEEFF" w:val="clear"/>
            <w:vAlign w:val="bottom"/>
          </w:tcPr>
          <w:p>
            <w:pPr>
              <w:pStyle w:val="TableContents"/>
              <w:spacing w:before="0" w:after="283"/>
              <w:rPr/>
            </w:pPr>
            <w:r>
              <w:rPr/>
              <w:t>)</w:t>
            </w:r>
          </w:p>
        </w:tc>
      </w:tr>
      <w:tr>
        <w:trPr/>
        <w:tc>
          <w:tcPr>
            <w:tcW w:w="7560"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2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Total purchase price</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77,683</w:t>
            </w:r>
          </w:p>
        </w:tc>
        <w:tc>
          <w:tcPr>
            <w:tcW w:w="155" w:type="dxa"/>
            <w:tcBorders/>
            <w:shd w:fill="auto" w:val="clear"/>
            <w:vAlign w:val="bottom"/>
          </w:tcPr>
          <w:p>
            <w:pPr>
              <w:pStyle w:val="TableContents"/>
              <w:spacing w:before="0" w:after="283"/>
              <w:rPr/>
            </w:pPr>
            <w:r>
              <w:rPr/>
              <w:t> </w:t>
            </w:r>
          </w:p>
        </w:tc>
      </w:tr>
      <w:tr>
        <w:trPr/>
        <w:tc>
          <w:tcPr>
            <w:tcW w:w="7560"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2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 </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225" w:right="0" w:hanging="225"/>
              <w:rPr/>
            </w:pPr>
            <w:r>
              <w:rPr/>
              <w:t>Assumed debt</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30,385</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2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Total acquisition costs</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w:t>
            </w:r>
          </w:p>
        </w:tc>
        <w:tc>
          <w:tcPr>
            <w:tcW w:w="1750" w:type="dxa"/>
            <w:tcBorders/>
            <w:shd w:fill="auto" w:val="clear"/>
            <w:vAlign w:val="bottom"/>
          </w:tcPr>
          <w:p>
            <w:pPr>
              <w:pStyle w:val="TableContents"/>
              <w:spacing w:before="0" w:after="283"/>
              <w:jc w:val="right"/>
              <w:rPr/>
            </w:pPr>
            <w:r>
              <w:rPr/>
              <w:t>108,068</w:t>
            </w:r>
          </w:p>
        </w:tc>
        <w:tc>
          <w:tcPr>
            <w:tcW w:w="155" w:type="dxa"/>
            <w:tcBorders/>
            <w:shd w:fill="auto" w:val="clear"/>
            <w:vAlign w:val="bottom"/>
          </w:tcPr>
          <w:p>
            <w:pPr>
              <w:pStyle w:val="TableContents"/>
              <w:spacing w:before="0" w:after="283"/>
              <w:rPr/>
            </w:pPr>
            <w:r>
              <w:rPr/>
              <w:t> </w:t>
            </w:r>
          </w:p>
        </w:tc>
      </w:tr>
      <w:tr>
        <w:trPr/>
        <w:tc>
          <w:tcPr>
            <w:tcW w:w="7560"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2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 </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225" w:right="0" w:hanging="225"/>
              <w:rPr/>
            </w:pPr>
            <w:r>
              <w:rPr/>
              <w:t>Current assets:</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675" w:right="0" w:hanging="225"/>
              <w:rPr/>
            </w:pPr>
            <w:r>
              <w:rPr/>
              <w:t>Pawn loans</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w:t>
            </w:r>
          </w:p>
        </w:tc>
        <w:tc>
          <w:tcPr>
            <w:tcW w:w="1750" w:type="dxa"/>
            <w:tcBorders/>
            <w:shd w:fill="auto" w:val="clear"/>
            <w:vAlign w:val="bottom"/>
          </w:tcPr>
          <w:p>
            <w:pPr>
              <w:pStyle w:val="TableContents"/>
              <w:spacing w:before="0" w:after="283"/>
              <w:jc w:val="right"/>
              <w:rPr/>
            </w:pPr>
            <w:r>
              <w:rPr/>
              <w:t>17,886</w:t>
            </w:r>
          </w:p>
        </w:tc>
        <w:tc>
          <w:tcPr>
            <w:tcW w:w="155" w:type="dxa"/>
            <w:tcBorders/>
            <w:shd w:fill="auto" w:val="clear"/>
            <w:vAlign w:val="bottom"/>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675" w:right="0" w:hanging="225"/>
              <w:rPr/>
            </w:pPr>
            <w:r>
              <w:rPr/>
              <w:t>Pawn service charges receivable</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3,491</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675" w:right="0" w:hanging="225"/>
              <w:rPr/>
            </w:pPr>
            <w:r>
              <w:rPr/>
              <w:t>Inventory</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16,265</w:t>
            </w:r>
          </w:p>
        </w:tc>
        <w:tc>
          <w:tcPr>
            <w:tcW w:w="155" w:type="dxa"/>
            <w:tcBorders/>
            <w:shd w:fill="auto" w:val="clear"/>
            <w:vAlign w:val="bottom"/>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675" w:right="0" w:hanging="225"/>
              <w:rPr/>
            </w:pPr>
            <w:r>
              <w:rPr/>
              <w:t>Deferred tax asset</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4,394</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675" w:right="0" w:hanging="225"/>
              <w:rPr/>
            </w:pPr>
            <w:r>
              <w:rPr/>
              <w:t>Prepaid expenses and other assets</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1,438</w:t>
            </w:r>
          </w:p>
        </w:tc>
        <w:tc>
          <w:tcPr>
            <w:tcW w:w="155" w:type="dxa"/>
            <w:tcBorders/>
            <w:shd w:fill="auto" w:val="clear"/>
            <w:vAlign w:val="bottom"/>
          </w:tcPr>
          <w:p>
            <w:pPr>
              <w:pStyle w:val="TableContents"/>
              <w:spacing w:before="0" w:after="283"/>
              <w:rPr/>
            </w:pPr>
            <w:r>
              <w:rPr/>
              <w:t> </w:t>
            </w:r>
          </w:p>
        </w:tc>
      </w:tr>
      <w:tr>
        <w:trPr/>
        <w:tc>
          <w:tcPr>
            <w:tcW w:w="7560"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2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225" w:right="0" w:hanging="225"/>
              <w:rPr/>
            </w:pPr>
            <w:r>
              <w:rPr/>
              <w:t>Total current assets</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43,474</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 </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675" w:right="0" w:hanging="225"/>
              <w:rPr/>
            </w:pPr>
            <w:r>
              <w:rPr/>
              <w:t>Property and equipment</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5,584</w:t>
            </w:r>
          </w:p>
        </w:tc>
        <w:tc>
          <w:tcPr>
            <w:tcW w:w="155" w:type="dxa"/>
            <w:tcBorders/>
            <w:shd w:fill="auto" w:val="clear"/>
            <w:vAlign w:val="bottom"/>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675" w:right="0" w:hanging="225"/>
              <w:rPr/>
            </w:pPr>
            <w:r>
              <w:rPr/>
              <w:t>Deferred tax asset, non-current</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690</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675" w:right="0" w:hanging="225"/>
              <w:rPr/>
            </w:pPr>
            <w:r>
              <w:rPr/>
              <w:t>Goodwill</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61,877</w:t>
            </w:r>
          </w:p>
        </w:tc>
        <w:tc>
          <w:tcPr>
            <w:tcW w:w="155" w:type="dxa"/>
            <w:tcBorders/>
            <w:shd w:fill="auto" w:val="clear"/>
            <w:vAlign w:val="bottom"/>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675" w:right="0" w:hanging="225"/>
              <w:rPr/>
            </w:pPr>
            <w:r>
              <w:rPr/>
              <w:t>Other assets</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5,719</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2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Total assets</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w:t>
            </w:r>
          </w:p>
        </w:tc>
        <w:tc>
          <w:tcPr>
            <w:tcW w:w="1750" w:type="dxa"/>
            <w:tcBorders/>
            <w:shd w:fill="auto" w:val="clear"/>
            <w:vAlign w:val="bottom"/>
          </w:tcPr>
          <w:p>
            <w:pPr>
              <w:pStyle w:val="TableContents"/>
              <w:spacing w:before="0" w:after="283"/>
              <w:jc w:val="right"/>
              <w:rPr/>
            </w:pPr>
            <w:r>
              <w:rPr/>
              <w:t>117,344</w:t>
            </w:r>
          </w:p>
        </w:tc>
        <w:tc>
          <w:tcPr>
            <w:tcW w:w="155" w:type="dxa"/>
            <w:tcBorders/>
            <w:shd w:fill="auto"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 </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225" w:right="0" w:hanging="225"/>
              <w:rPr/>
            </w:pPr>
            <w:r>
              <w:rPr/>
              <w:t>Current liabilities:</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675" w:right="0" w:hanging="225"/>
              <w:rPr/>
            </w:pPr>
            <w:r>
              <w:rPr/>
              <w:t>Current maturities of long-term debt</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w:t>
            </w:r>
          </w:p>
        </w:tc>
        <w:tc>
          <w:tcPr>
            <w:tcW w:w="1750" w:type="dxa"/>
            <w:tcBorders/>
            <w:shd w:fill="auto" w:val="clear"/>
            <w:vAlign w:val="bottom"/>
          </w:tcPr>
          <w:p>
            <w:pPr>
              <w:pStyle w:val="TableContents"/>
              <w:spacing w:before="0" w:after="283"/>
              <w:jc w:val="right"/>
              <w:rPr/>
            </w:pPr>
            <w:r>
              <w:rPr/>
              <w:t>(4,000</w:t>
            </w:r>
          </w:p>
        </w:tc>
        <w:tc>
          <w:tcPr>
            <w:tcW w:w="155" w:type="dxa"/>
            <w:tcBorders/>
            <w:shd w:fill="auto" w:val="clear"/>
            <w:vAlign w:val="bottom"/>
          </w:tcPr>
          <w:p>
            <w:pPr>
              <w:pStyle w:val="TableContents"/>
              <w:spacing w:before="0" w:after="283"/>
              <w:rPr/>
            </w:pPr>
            <w:r>
              <w:rPr/>
              <w:t>)</w:t>
            </w:r>
          </w:p>
        </w:tc>
      </w:tr>
      <w:tr>
        <w:trPr/>
        <w:tc>
          <w:tcPr>
            <w:tcW w:w="7560" w:type="dxa"/>
            <w:tcBorders/>
            <w:shd w:fill="CCEEFF" w:val="clear"/>
            <w:vAlign w:val="bottom"/>
          </w:tcPr>
          <w:p>
            <w:pPr>
              <w:pStyle w:val="TableContents"/>
              <w:spacing w:before="0" w:after="0"/>
              <w:ind w:left="675" w:right="0" w:hanging="225"/>
              <w:rPr/>
            </w:pPr>
            <w:r>
              <w:rPr/>
              <w:t>Accounts payable and other accrued expenses</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jc w:val="left"/>
              <w:rPr/>
            </w:pPr>
            <w:r>
              <w:rPr/>
              <w:t> </w:t>
            </w:r>
          </w:p>
        </w:tc>
        <w:tc>
          <w:tcPr>
            <w:tcW w:w="1750" w:type="dxa"/>
            <w:tcBorders/>
            <w:shd w:fill="CCEEFF" w:val="clear"/>
            <w:vAlign w:val="bottom"/>
          </w:tcPr>
          <w:p>
            <w:pPr>
              <w:pStyle w:val="TableContents"/>
              <w:spacing w:before="0" w:after="283"/>
              <w:jc w:val="right"/>
              <w:rPr/>
            </w:pPr>
            <w:r>
              <w:rPr/>
              <w:t>(8,404</w:t>
            </w:r>
          </w:p>
        </w:tc>
        <w:tc>
          <w:tcPr>
            <w:tcW w:w="155" w:type="dxa"/>
            <w:tcBorders/>
            <w:shd w:fill="CCEEFF" w:val="clear"/>
            <w:vAlign w:val="bottom"/>
          </w:tcPr>
          <w:p>
            <w:pPr>
              <w:pStyle w:val="TableContents"/>
              <w:spacing w:before="0" w:after="283"/>
              <w:rPr/>
            </w:pPr>
            <w:r>
              <w:rPr/>
              <w:t>)</w:t>
            </w:r>
          </w:p>
        </w:tc>
      </w:tr>
      <w:tr>
        <w:trPr/>
        <w:tc>
          <w:tcPr>
            <w:tcW w:w="7560" w:type="dxa"/>
            <w:tcBorders/>
            <w:shd w:fill="auto" w:val="clear"/>
            <w:vAlign w:val="bottom"/>
          </w:tcPr>
          <w:p>
            <w:pPr>
              <w:pStyle w:val="TableContents"/>
              <w:spacing w:before="0" w:after="0"/>
              <w:ind w:left="675" w:right="0" w:hanging="225"/>
              <w:rPr/>
            </w:pPr>
            <w:r>
              <w:rPr/>
              <w:t>Customer layaway deposits</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 </w:t>
            </w:r>
          </w:p>
        </w:tc>
        <w:tc>
          <w:tcPr>
            <w:tcW w:w="1750" w:type="dxa"/>
            <w:tcBorders/>
            <w:shd w:fill="auto" w:val="clear"/>
            <w:vAlign w:val="bottom"/>
          </w:tcPr>
          <w:p>
            <w:pPr>
              <w:pStyle w:val="TableContents"/>
              <w:spacing w:before="0" w:after="283"/>
              <w:jc w:val="right"/>
              <w:rPr/>
            </w:pPr>
            <w:r>
              <w:rPr/>
              <w:t>(872</w:t>
            </w:r>
          </w:p>
        </w:tc>
        <w:tc>
          <w:tcPr>
            <w:tcW w:w="155" w:type="dxa"/>
            <w:tcBorders/>
            <w:shd w:fill="auto" w:val="clear"/>
            <w:vAlign w:val="bottom"/>
          </w:tcPr>
          <w:p>
            <w:pPr>
              <w:pStyle w:val="TableContents"/>
              <w:spacing w:before="0" w:after="283"/>
              <w:rPr/>
            </w:pPr>
            <w:r>
              <w:rPr/>
              <w:t>)</w:t>
            </w:r>
          </w:p>
        </w:tc>
      </w:tr>
      <w:tr>
        <w:trPr/>
        <w:tc>
          <w:tcPr>
            <w:tcW w:w="7560"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2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225" w:right="0" w:hanging="225"/>
              <w:rPr/>
            </w:pPr>
            <w:r>
              <w:rPr/>
              <w:t>Total current liabilities</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jc w:val="left"/>
              <w:rPr/>
            </w:pPr>
            <w:r>
              <w:rPr/>
              <w:t> </w:t>
            </w:r>
          </w:p>
        </w:tc>
        <w:tc>
          <w:tcPr>
            <w:tcW w:w="1750" w:type="dxa"/>
            <w:tcBorders/>
            <w:shd w:fill="CCEEFF" w:val="clear"/>
            <w:vAlign w:val="bottom"/>
          </w:tcPr>
          <w:p>
            <w:pPr>
              <w:pStyle w:val="TableContents"/>
              <w:spacing w:before="0" w:after="283"/>
              <w:jc w:val="right"/>
              <w:rPr/>
            </w:pPr>
            <w:r>
              <w:rPr/>
              <w:t>(13,276</w:t>
            </w:r>
          </w:p>
        </w:tc>
        <w:tc>
          <w:tcPr>
            <w:tcW w:w="155" w:type="dxa"/>
            <w:tcBorders/>
            <w:shd w:fill="CCEEFF" w:val="clear"/>
            <w:vAlign w:val="bottom"/>
          </w:tcPr>
          <w:p>
            <w:pPr>
              <w:pStyle w:val="TableContents"/>
              <w:spacing w:before="0" w:after="283"/>
              <w:rPr/>
            </w:pPr>
            <w:r>
              <w:rPr/>
              <w:t>)</w:t>
            </w:r>
          </w:p>
        </w:tc>
      </w:tr>
      <w:tr>
        <w:trPr/>
        <w:tc>
          <w:tcPr>
            <w:tcW w:w="7560" w:type="dxa"/>
            <w:tcBorders/>
            <w:shd w:fill="auto" w:val="clear"/>
            <w:vAlign w:val="bottom"/>
          </w:tcPr>
          <w:p>
            <w:pPr>
              <w:pStyle w:val="TableContents"/>
              <w:spacing w:before="0" w:after="0"/>
              <w:ind w:left="225" w:right="0" w:hanging="225"/>
              <w:rPr/>
            </w:pPr>
            <w:r>
              <w:rPr/>
              <w:t> </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Long-term debt</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 </w:t>
            </w:r>
          </w:p>
        </w:tc>
        <w:tc>
          <w:tcPr>
            <w:tcW w:w="1750" w:type="dxa"/>
            <w:tcBorders/>
            <w:shd w:fill="auto" w:val="clear"/>
            <w:vAlign w:val="bottom"/>
          </w:tcPr>
          <w:p>
            <w:pPr>
              <w:pStyle w:val="TableContents"/>
              <w:spacing w:before="0" w:after="283"/>
              <w:jc w:val="right"/>
              <w:rPr/>
            </w:pPr>
            <w:r>
              <w:rPr/>
              <w:t>(26,385</w:t>
            </w:r>
          </w:p>
        </w:tc>
        <w:tc>
          <w:tcPr>
            <w:tcW w:w="155" w:type="dxa"/>
            <w:tcBorders/>
            <w:shd w:fill="auto" w:val="clear"/>
            <w:vAlign w:val="bottom"/>
          </w:tcPr>
          <w:p>
            <w:pPr>
              <w:pStyle w:val="TableContents"/>
              <w:spacing w:before="0" w:after="283"/>
              <w:rPr/>
            </w:pPr>
            <w:r>
              <w:rPr/>
              <w:t>)</w:t>
            </w:r>
          </w:p>
        </w:tc>
      </w:tr>
      <w:tr>
        <w:trPr/>
        <w:tc>
          <w:tcPr>
            <w:tcW w:w="7560"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2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225" w:right="0" w:hanging="225"/>
              <w:rPr/>
            </w:pPr>
            <w:r>
              <w:rPr/>
              <w:t>Total liabilities</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jc w:val="left"/>
              <w:rPr/>
            </w:pPr>
            <w:r>
              <w:rPr/>
              <w:t> </w:t>
            </w:r>
          </w:p>
        </w:tc>
        <w:tc>
          <w:tcPr>
            <w:tcW w:w="1750" w:type="dxa"/>
            <w:tcBorders/>
            <w:shd w:fill="CCEEFF" w:val="clear"/>
            <w:vAlign w:val="bottom"/>
          </w:tcPr>
          <w:p>
            <w:pPr>
              <w:pStyle w:val="TableContents"/>
              <w:spacing w:before="0" w:after="283"/>
              <w:jc w:val="right"/>
              <w:rPr/>
            </w:pPr>
            <w:r>
              <w:rPr/>
              <w:t>(39,661</w:t>
            </w:r>
          </w:p>
        </w:tc>
        <w:tc>
          <w:tcPr>
            <w:tcW w:w="155" w:type="dxa"/>
            <w:tcBorders/>
            <w:shd w:fill="CCEEFF" w:val="clear"/>
            <w:vAlign w:val="bottom"/>
          </w:tcPr>
          <w:p>
            <w:pPr>
              <w:pStyle w:val="TableContents"/>
              <w:spacing w:before="0" w:after="283"/>
              <w:rPr/>
            </w:pPr>
            <w:r>
              <w:rPr/>
              <w:t>)</w:t>
            </w:r>
          </w:p>
        </w:tc>
      </w:tr>
      <w:tr>
        <w:trPr/>
        <w:tc>
          <w:tcPr>
            <w:tcW w:w="7560"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2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Net assets acquired</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w:t>
            </w:r>
          </w:p>
        </w:tc>
        <w:tc>
          <w:tcPr>
            <w:tcW w:w="1750" w:type="dxa"/>
            <w:tcBorders/>
            <w:shd w:fill="auto" w:val="clear"/>
            <w:vAlign w:val="bottom"/>
          </w:tcPr>
          <w:p>
            <w:pPr>
              <w:pStyle w:val="TableContents"/>
              <w:spacing w:before="0" w:after="283"/>
              <w:jc w:val="right"/>
              <w:rPr/>
            </w:pPr>
            <w:r>
              <w:rPr/>
              <w:t>77,683</w:t>
            </w:r>
          </w:p>
        </w:tc>
        <w:tc>
          <w:tcPr>
            <w:tcW w:w="155" w:type="dxa"/>
            <w:tcBorders/>
            <w:shd w:fill="auto" w:val="clear"/>
            <w:vAlign w:val="bottom"/>
          </w:tcPr>
          <w:p>
            <w:pPr>
              <w:pStyle w:val="TableContents"/>
              <w:spacing w:before="0" w:after="283"/>
              <w:rPr/>
            </w:pPr>
            <w:r>
              <w:rPr/>
              <w:t> </w:t>
            </w:r>
          </w:p>
        </w:tc>
      </w:tr>
      <w:tr>
        <w:trPr/>
        <w:tc>
          <w:tcPr>
            <w:tcW w:w="7560"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2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 </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225" w:right="0" w:hanging="225"/>
              <w:rPr/>
            </w:pPr>
            <w:r>
              <w:rPr/>
              <w:t>Goodwill recorded in U.S. Pawn segment</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jc w:val="left"/>
              <w:rPr/>
            </w:pPr>
            <w:r>
              <w:rPr/>
              <w:t>$</w:t>
            </w:r>
          </w:p>
        </w:tc>
        <w:tc>
          <w:tcPr>
            <w:tcW w:w="1750" w:type="dxa"/>
            <w:tcBorders/>
            <w:shd w:fill="CCEEFF" w:val="clear"/>
            <w:vAlign w:val="bottom"/>
          </w:tcPr>
          <w:p>
            <w:pPr>
              <w:pStyle w:val="TableContents"/>
              <w:spacing w:before="0" w:after="283"/>
              <w:jc w:val="right"/>
              <w:rPr/>
            </w:pPr>
            <w:r>
              <w:rPr/>
              <w:t>61,877</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225" w:right="0" w:hanging="225"/>
              <w:rPr/>
            </w:pPr>
            <w:r>
              <w:rPr/>
              <w:t>Goodwill deductible for tax purposes</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225" w:right="0" w:hanging="225"/>
              <w:rPr/>
            </w:pPr>
            <w:r>
              <w:rPr/>
              <w:t>Indefinite lived intangible assets acquired:</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450" w:right="0" w:hanging="225"/>
              <w:rPr/>
            </w:pPr>
            <w:r>
              <w:rPr/>
              <w:t>Trademark and trade names</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w:t>
            </w:r>
          </w:p>
        </w:tc>
        <w:tc>
          <w:tcPr>
            <w:tcW w:w="1750" w:type="dxa"/>
            <w:tcBorders/>
            <w:shd w:fill="auto" w:val="clear"/>
            <w:vAlign w:val="bottom"/>
          </w:tcPr>
          <w:p>
            <w:pPr>
              <w:pStyle w:val="TableContents"/>
              <w:spacing w:before="0" w:after="283"/>
              <w:jc w:val="right"/>
              <w:rPr/>
            </w:pPr>
            <w:r>
              <w:rPr/>
              <w:t>4,870</w:t>
            </w:r>
          </w:p>
        </w:tc>
        <w:tc>
          <w:tcPr>
            <w:tcW w:w="155" w:type="dxa"/>
            <w:tcBorders/>
            <w:shd w:fill="auto" w:val="clear"/>
            <w:vAlign w:val="bottom"/>
          </w:tcPr>
          <w:p>
            <w:pPr>
              <w:pStyle w:val="TableContents"/>
              <w:spacing w:before="0" w:after="283"/>
              <w:rPr/>
            </w:pPr>
            <w:r>
              <w:rPr/>
              <w:t> </w:t>
            </w:r>
          </w:p>
        </w:tc>
      </w:tr>
      <w:tr>
        <w:trPr/>
        <w:tc>
          <w:tcPr>
            <w:tcW w:w="7560" w:type="dxa"/>
            <w:tcBorders/>
            <w:shd w:fill="CCEEFF" w:val="clear"/>
            <w:vAlign w:val="bottom"/>
          </w:tcPr>
          <w:p>
            <w:pPr>
              <w:pStyle w:val="TableContents"/>
              <w:spacing w:before="0" w:after="0"/>
              <w:ind w:left="225" w:right="0" w:hanging="225"/>
              <w:rPr/>
            </w:pPr>
            <w:r>
              <w:rPr/>
              <w:t>Definite lived intangible assets acquired:</w:t>
            </w:r>
          </w:p>
        </w:tc>
        <w:tc>
          <w:tcPr>
            <w:tcW w:w="426"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r>
      <w:tr>
        <w:trPr/>
        <w:tc>
          <w:tcPr>
            <w:tcW w:w="7560" w:type="dxa"/>
            <w:tcBorders/>
            <w:shd w:fill="auto" w:val="clear"/>
            <w:vAlign w:val="bottom"/>
          </w:tcPr>
          <w:p>
            <w:pPr>
              <w:pStyle w:val="TableContents"/>
              <w:spacing w:before="0" w:after="0"/>
              <w:ind w:left="450" w:right="0" w:hanging="225"/>
              <w:rPr/>
            </w:pPr>
            <w:r>
              <w:rPr/>
              <w:t>Favorable lease asset</w:t>
            </w:r>
          </w:p>
        </w:tc>
        <w:tc>
          <w:tcPr>
            <w:tcW w:w="42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w:t>
            </w:r>
          </w:p>
        </w:tc>
        <w:tc>
          <w:tcPr>
            <w:tcW w:w="1750" w:type="dxa"/>
            <w:tcBorders/>
            <w:shd w:fill="auto" w:val="clear"/>
            <w:vAlign w:val="bottom"/>
          </w:tcPr>
          <w:p>
            <w:pPr>
              <w:pStyle w:val="TableContents"/>
              <w:spacing w:before="0" w:after="283"/>
              <w:jc w:val="right"/>
              <w:rPr/>
            </w:pPr>
            <w:r>
              <w:rPr/>
              <w:t>644</w:t>
            </w:r>
          </w:p>
        </w:tc>
        <w:tc>
          <w:tcPr>
            <w:tcW w:w="155"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estimated the fair value of the stock issued in the acquisition based on the average daily closing market price of our stock from two days before to two days after the announcement of the merger agreement. Since the date of acquisition, the total purchase price increased approximately $0.3 million due to additional transaction related costs identified after the point of acquisition.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we expect to use the trademark and trade names indefinitely, they are not amortized but are tested at least annually for potential impairment. We are amortizing the favorable lease assets over the related lease terms used for straight-line rent purposes.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factors contributing to the recognition of goodwill were based on several strategic and synergistic benefits we expect to realize from the acquisition. These benefits include a greater presence in prime pawn markets including making us the largest pawn store operator in Florida, expected administrative savings, increased scale and the ability to implement certain processes and practices at the acquired company in our existing and future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total purchase price presented above excludes contingent consideration paid under the terms of the acquisition, which depended on the price at which VFS shareholders sold their EZCORP shares. After the closing of the acquisition, we paid $10.7 million of contingent consideration to VFS shareholders related to the sale of approximately 3.9 million EZCORP shares. In accordance with accounting rules for contingent payments based on the acquirers stock price, all contingent consideration paid was recorded as a reduction of the additional paid-in capital recorded with the stock issuance and did not change the total recorded purchase price.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results of the acquired stores have been consolidated with our results since their acquisition. The following table summarizes unaudited pro forma condensed combined statements of operations assuming the acquisition had occurred on the first day of fiscal 2009. Although VFSs historical fiscal year ended on a different date than that of EZCORP, all VFS data included in the pro forma information are actual amounts for the periods indicated.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realized operating synergies and administrative savings. These come primarily from using the best practices from EZCORP and VFS in each business, economies of scale, reduced administrative support staff and the closure of VFSs corporate offices. The pro forma information does not include any potential operating efficiencies or cost savings from expected synergies. The pro forma information is not necessarily an indication of the results that would have been achieved had the acquisition been completed as of the date indicated or that may be achieved in the future.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unaudited consolidated pro forma information as if the VFS acquisition had occurred on October 1, 2009: </w:t>
      </w:r>
    </w:p>
    <w:tbl>
      <w:tblPr>
        <w:tblW w:w="5000" w:type="pct"/>
        <w:jc w:val="center"/>
        <w:tblInd w:w="0" w:type="dxa"/>
        <w:tblCellMar>
          <w:top w:w="0" w:type="dxa"/>
          <w:left w:w="0" w:type="dxa"/>
          <w:bottom w:w="0" w:type="dxa"/>
          <w:right w:w="0" w:type="dxa"/>
        </w:tblCellMar>
      </w:tblPr>
      <w:tblGrid>
        <w:gridCol w:w="7676"/>
        <w:gridCol w:w="454"/>
        <w:gridCol w:w="297"/>
        <w:gridCol w:w="1647"/>
        <w:gridCol w:w="131"/>
      </w:tblGrid>
      <w:tr>
        <w:trPr/>
        <w:tc>
          <w:tcPr>
            <w:tcW w:w="7676"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64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7676"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944" w:type="dxa"/>
            <w:gridSpan w:val="2"/>
            <w:tcBorders>
              <w:bottom w:val="single" w:sz="2" w:space="0" w:color="000000"/>
            </w:tcBorders>
            <w:shd w:fill="auto" w:val="clear"/>
            <w:tcMar>
              <w:bottom w:w="28" w:type="dxa"/>
            </w:tcMar>
            <w:vAlign w:val="bottom"/>
          </w:tcPr>
          <w:p>
            <w:pPr>
              <w:pStyle w:val="TableContents"/>
              <w:spacing w:before="0" w:after="283"/>
              <w:jc w:val="center"/>
              <w:rPr/>
            </w:pPr>
            <w:r>
              <w:rPr/>
              <w:t>Fiscal Year Ended</w:t>
            </w:r>
          </w:p>
        </w:tc>
        <w:tc>
          <w:tcPr>
            <w:tcW w:w="131" w:type="dxa"/>
            <w:tcBorders/>
            <w:shd w:fill="auto" w:val="clear"/>
            <w:vAlign w:val="bottom"/>
          </w:tcPr>
          <w:p>
            <w:pPr>
              <w:pStyle w:val="TableContents"/>
              <w:spacing w:before="0" w:after="283"/>
              <w:rPr/>
            </w:pPr>
            <w:r>
              <w:rPr/>
              <w:t> </w:t>
            </w:r>
          </w:p>
        </w:tc>
      </w:tr>
      <w:tr>
        <w:trPr/>
        <w:tc>
          <w:tcPr>
            <w:tcW w:w="7676"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944"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 2009</w:t>
            </w:r>
          </w:p>
        </w:tc>
        <w:tc>
          <w:tcPr>
            <w:tcW w:w="131" w:type="dxa"/>
            <w:tcBorders/>
            <w:shd w:fill="auto" w:val="clear"/>
            <w:vAlign w:val="bottom"/>
          </w:tcPr>
          <w:p>
            <w:pPr>
              <w:pStyle w:val="TableContents"/>
              <w:spacing w:before="0" w:after="283"/>
              <w:rPr/>
            </w:pPr>
            <w:r>
              <w:rPr/>
              <w:t> </w:t>
            </w:r>
          </w:p>
        </w:tc>
      </w:tr>
      <w:tr>
        <w:trPr/>
        <w:tc>
          <w:tcPr>
            <w:tcW w:w="7676"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944" w:type="dxa"/>
            <w:gridSpan w:val="2"/>
            <w:tcBorders/>
            <w:shd w:fill="auto" w:val="clear"/>
            <w:vAlign w:val="bottom"/>
          </w:tcPr>
          <w:p>
            <w:pPr>
              <w:pStyle w:val="TableContents"/>
              <w:spacing w:before="0" w:after="283"/>
              <w:jc w:val="center"/>
              <w:rPr>
                <w:i/>
              </w:rPr>
            </w:pPr>
            <w:r>
              <w:rPr>
                <w:i/>
              </w:rPr>
              <w:t>(In thousands)</w:t>
            </w:r>
          </w:p>
        </w:tc>
        <w:tc>
          <w:tcPr>
            <w:tcW w:w="131" w:type="dxa"/>
            <w:tcBorders/>
            <w:shd w:fill="auto" w:val="clear"/>
            <w:vAlign w:val="bottom"/>
          </w:tcPr>
          <w:p>
            <w:pPr>
              <w:pStyle w:val="TableContents"/>
              <w:spacing w:before="0" w:after="283"/>
              <w:rPr/>
            </w:pPr>
            <w:r>
              <w:rPr/>
              <w:t> </w:t>
            </w:r>
          </w:p>
        </w:tc>
      </w:tr>
      <w:tr>
        <w:trPr/>
        <w:tc>
          <w:tcPr>
            <w:tcW w:w="7676" w:type="dxa"/>
            <w:tcBorders/>
            <w:shd w:fill="CCEEFF" w:val="clear"/>
            <w:vAlign w:val="bottom"/>
          </w:tcPr>
          <w:p>
            <w:pPr>
              <w:pStyle w:val="TableContents"/>
              <w:spacing w:before="0" w:after="0"/>
              <w:ind w:left="225" w:right="0" w:hanging="225"/>
              <w:rPr/>
            </w:pPr>
            <w:r>
              <w:rPr/>
              <w:t>Total revenues</w:t>
            </w:r>
          </w:p>
        </w:tc>
        <w:tc>
          <w:tcPr>
            <w:tcW w:w="45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left"/>
              <w:rPr/>
            </w:pPr>
            <w:r>
              <w:rPr/>
              <w:t>$</w:t>
            </w:r>
          </w:p>
        </w:tc>
        <w:tc>
          <w:tcPr>
            <w:tcW w:w="1647" w:type="dxa"/>
            <w:tcBorders/>
            <w:shd w:fill="CCEEFF" w:val="clear"/>
            <w:vAlign w:val="bottom"/>
          </w:tcPr>
          <w:p>
            <w:pPr>
              <w:pStyle w:val="TableContents"/>
              <w:spacing w:before="0" w:after="283"/>
              <w:jc w:val="right"/>
              <w:rPr/>
            </w:pPr>
            <w:r>
              <w:rPr/>
              <w:t>634,693</w:t>
            </w:r>
          </w:p>
        </w:tc>
        <w:tc>
          <w:tcPr>
            <w:tcW w:w="131" w:type="dxa"/>
            <w:tcBorders/>
            <w:shd w:fill="CCEEFF" w:val="clear"/>
            <w:vAlign w:val="bottom"/>
          </w:tcPr>
          <w:p>
            <w:pPr>
              <w:pStyle w:val="TableContents"/>
              <w:spacing w:before="0" w:after="283"/>
              <w:rPr/>
            </w:pPr>
            <w:r>
              <w:rPr/>
              <w:t> </w:t>
            </w:r>
          </w:p>
        </w:tc>
      </w:tr>
      <w:tr>
        <w:trPr/>
        <w:tc>
          <w:tcPr>
            <w:tcW w:w="7676" w:type="dxa"/>
            <w:tcBorders/>
            <w:shd w:fill="auto" w:val="clear"/>
            <w:vAlign w:val="bottom"/>
          </w:tcPr>
          <w:p>
            <w:pPr>
              <w:pStyle w:val="TableContents"/>
              <w:spacing w:before="0" w:after="0"/>
              <w:ind w:left="225" w:right="0" w:hanging="225"/>
              <w:rPr/>
            </w:pPr>
            <w:r>
              <w:rPr/>
              <w:t>Net revenues</w:t>
            </w:r>
          </w:p>
        </w:tc>
        <w:tc>
          <w:tcPr>
            <w:tcW w:w="45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647" w:type="dxa"/>
            <w:tcBorders/>
            <w:shd w:fill="auto" w:val="clear"/>
            <w:vAlign w:val="bottom"/>
          </w:tcPr>
          <w:p>
            <w:pPr>
              <w:pStyle w:val="TableContents"/>
              <w:spacing w:before="0" w:after="283"/>
              <w:jc w:val="right"/>
              <w:rPr/>
            </w:pPr>
            <w:r>
              <w:rPr/>
              <w:t>380,020</w:t>
            </w:r>
          </w:p>
        </w:tc>
        <w:tc>
          <w:tcPr>
            <w:tcW w:w="131" w:type="dxa"/>
            <w:tcBorders/>
            <w:shd w:fill="auto" w:val="clear"/>
            <w:vAlign w:val="bottom"/>
          </w:tcPr>
          <w:p>
            <w:pPr>
              <w:pStyle w:val="TableContents"/>
              <w:spacing w:before="0" w:after="283"/>
              <w:rPr/>
            </w:pPr>
            <w:r>
              <w:rPr/>
              <w:t> </w:t>
            </w:r>
          </w:p>
        </w:tc>
      </w:tr>
      <w:tr>
        <w:trPr/>
        <w:tc>
          <w:tcPr>
            <w:tcW w:w="7676" w:type="dxa"/>
            <w:tcBorders/>
            <w:shd w:fill="CCEEFF" w:val="clear"/>
            <w:vAlign w:val="bottom"/>
          </w:tcPr>
          <w:p>
            <w:pPr>
              <w:pStyle w:val="TableContents"/>
              <w:spacing w:before="0" w:after="0"/>
              <w:ind w:left="225" w:right="0" w:hanging="225"/>
              <w:rPr/>
            </w:pPr>
            <w:r>
              <w:rPr/>
              <w:t>Net income</w:t>
            </w:r>
          </w:p>
        </w:tc>
        <w:tc>
          <w:tcPr>
            <w:tcW w:w="45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647" w:type="dxa"/>
            <w:tcBorders/>
            <w:shd w:fill="CCEEFF" w:val="clear"/>
            <w:vAlign w:val="bottom"/>
          </w:tcPr>
          <w:p>
            <w:pPr>
              <w:pStyle w:val="TableContents"/>
              <w:spacing w:before="0" w:after="283"/>
              <w:jc w:val="right"/>
              <w:rPr/>
            </w:pPr>
            <w:r>
              <w:rPr/>
              <w:t>70,358</w:t>
            </w:r>
          </w:p>
        </w:tc>
        <w:tc>
          <w:tcPr>
            <w:tcW w:w="131"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provides information related to the acquisitions of domestic and foreign pawn lending locations made during the years ended September 30, 2011, 2010 and 2009 (excluding locations acquired in connection with the acquisition described above related to Value Financial Services): </w:t>
      </w:r>
    </w:p>
    <w:tbl>
      <w:tblPr>
        <w:tblW w:w="5000" w:type="pct"/>
        <w:jc w:val="center"/>
        <w:tblInd w:w="0" w:type="dxa"/>
        <w:tblCellMar>
          <w:top w:w="0" w:type="dxa"/>
          <w:left w:w="0" w:type="dxa"/>
          <w:bottom w:w="0" w:type="dxa"/>
          <w:right w:w="0" w:type="dxa"/>
        </w:tblCellMar>
      </w:tblPr>
      <w:tblGrid>
        <w:gridCol w:w="5555"/>
        <w:gridCol w:w="419"/>
        <w:gridCol w:w="166"/>
        <w:gridCol w:w="823"/>
        <w:gridCol w:w="137"/>
        <w:gridCol w:w="425"/>
        <w:gridCol w:w="166"/>
        <w:gridCol w:w="823"/>
        <w:gridCol w:w="137"/>
        <w:gridCol w:w="425"/>
        <w:gridCol w:w="166"/>
        <w:gridCol w:w="826"/>
        <w:gridCol w:w="137"/>
      </w:tblGrid>
      <w:tr>
        <w:trPr/>
        <w:tc>
          <w:tcPr>
            <w:tcW w:w="5555"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4094"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9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9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99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4094" w:type="dxa"/>
            <w:gridSpan w:val="10"/>
            <w:tcBorders/>
            <w:shd w:fill="auto" w:val="clear"/>
            <w:vAlign w:val="bottom"/>
          </w:tcPr>
          <w:p>
            <w:pPr>
              <w:pStyle w:val="TableContents"/>
              <w:spacing w:before="0" w:after="283"/>
              <w:jc w:val="center"/>
              <w:rPr>
                <w:i/>
              </w:rPr>
            </w:pPr>
            <w:r>
              <w:rPr>
                <w:i/>
              </w:rPr>
              <w:t>(In thousands except store counts)</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Number of asset purchase acquisitions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9</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5</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Number of stock purchase acquisitions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3</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U.S. pawn stores acquired</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34</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16</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11</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Mexico pawn stores acquired</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6</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Total pawn stores acquired</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40</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16</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11</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Consideration:</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Cash</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69,977</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22,507</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17,124</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450" w:right="0" w:hanging="225"/>
              <w:rPr/>
            </w:pPr>
            <w:r>
              <w:rPr/>
              <w:t>Equity instruments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7,304</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17,250</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Fair value of total consideration transferred</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77,281</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22,507</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34,374</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Capitalized acquisition costs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178</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Acquisition related costs included in administrative expenses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(920</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(643</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Cash acquired</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(1,138</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(58</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(117</w:t>
            </w:r>
          </w:p>
        </w:tc>
        <w:tc>
          <w:tcPr>
            <w:tcW w:w="137" w:type="dxa"/>
            <w:tcBorders/>
            <w:shd w:fill="auto" w:val="clear"/>
            <w:vAlign w:val="bottom"/>
          </w:tcPr>
          <w:p>
            <w:pPr>
              <w:pStyle w:val="TableContents"/>
              <w:spacing w:before="0" w:after="283"/>
              <w:rPr/>
            </w:pPr>
            <w:r>
              <w:rPr/>
              <w:t>)</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Total purchase price</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75,223</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21,806</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34,435</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Current assets: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Pawn loans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8,572</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2,700</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5,442</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450" w:right="0" w:hanging="225"/>
              <w:rPr/>
            </w:pPr>
            <w:r>
              <w:rPr/>
              <w:t>Signature loans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710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55</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Auto title loans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1,105</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450" w:right="0" w:hanging="225"/>
              <w:rPr/>
            </w:pPr>
            <w:r>
              <w:rPr/>
              <w:t>Service charges and fees receivable</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1,270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379</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1,322</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Inventory</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4,838</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1,542</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2,860</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450" w:right="0" w:hanging="225"/>
              <w:rPr/>
            </w:pPr>
            <w:r>
              <w:rPr/>
              <w:t>Deferred tax asset</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461</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223</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334</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Prepaid expenses and other assets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728</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66</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79</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Total current assets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16,579</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4,910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11,197</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Property and equipment</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1,051</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387</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392</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450" w:right="0" w:hanging="225"/>
              <w:rPr/>
            </w:pPr>
            <w:r>
              <w:rPr/>
              <w:t>Goodwill</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56,703</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15,870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16,297</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Other assets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2,558</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1,057</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6,711</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Total assets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76,891</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22,224</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34,597</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Current liabilities: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450" w:right="0" w:hanging="225"/>
              <w:rPr/>
            </w:pPr>
            <w:r>
              <w:rPr/>
              <w:t>Accounts payable and other accrued expenses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(1,176</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(93</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(27</w:t>
            </w:r>
          </w:p>
        </w:tc>
        <w:tc>
          <w:tcPr>
            <w:tcW w:w="137" w:type="dxa"/>
            <w:tcBorders/>
            <w:shd w:fill="auto" w:val="clear"/>
            <w:vAlign w:val="bottom"/>
          </w:tcPr>
          <w:p>
            <w:pPr>
              <w:pStyle w:val="TableContents"/>
              <w:spacing w:before="0" w:after="283"/>
              <w:rPr/>
            </w:pPr>
            <w:r>
              <w:rPr/>
              <w:t>)</w:t>
            </w:r>
          </w:p>
        </w:tc>
      </w:tr>
      <w:tr>
        <w:trPr/>
        <w:tc>
          <w:tcPr>
            <w:tcW w:w="5555" w:type="dxa"/>
            <w:tcBorders/>
            <w:shd w:fill="CCEEFF" w:val="clear"/>
            <w:vAlign w:val="bottom"/>
          </w:tcPr>
          <w:p>
            <w:pPr>
              <w:pStyle w:val="TableContents"/>
              <w:spacing w:before="0" w:after="0"/>
              <w:ind w:left="450" w:right="0" w:hanging="225"/>
              <w:rPr/>
            </w:pPr>
            <w:r>
              <w:rPr/>
              <w:t>Customer layaway deposits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(182</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(102</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(135</w:t>
            </w:r>
          </w:p>
        </w:tc>
        <w:tc>
          <w:tcPr>
            <w:tcW w:w="137" w:type="dxa"/>
            <w:tcBorders/>
            <w:shd w:fill="CCEEFF" w:val="clear"/>
            <w:vAlign w:val="bottom"/>
          </w:tcPr>
          <w:p>
            <w:pPr>
              <w:pStyle w:val="TableContents"/>
              <w:spacing w:before="0" w:after="283"/>
              <w:rPr/>
            </w:pPr>
            <w:r>
              <w:rPr/>
              <w:t>)</w:t>
            </w:r>
          </w:p>
        </w:tc>
      </w:tr>
      <w:tr>
        <w:trPr/>
        <w:tc>
          <w:tcPr>
            <w:tcW w:w="5555" w:type="dxa"/>
            <w:tcBorders/>
            <w:shd w:fill="auto" w:val="clear"/>
            <w:vAlign w:val="bottom"/>
          </w:tcPr>
          <w:p>
            <w:pPr>
              <w:pStyle w:val="TableContents"/>
              <w:spacing w:before="0" w:after="0"/>
              <w:ind w:left="450" w:right="0" w:hanging="225"/>
              <w:rPr/>
            </w:pPr>
            <w:r>
              <w:rPr/>
              <w:t>Other current liabilities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(26</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Total current liabilities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(1,384</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(195</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(162</w:t>
            </w:r>
          </w:p>
        </w:tc>
        <w:tc>
          <w:tcPr>
            <w:tcW w:w="137" w:type="dxa"/>
            <w:tcBorders/>
            <w:shd w:fill="CCEEFF" w:val="clear"/>
            <w:vAlign w:val="bottom"/>
          </w:tcPr>
          <w:p>
            <w:pPr>
              <w:pStyle w:val="TableContents"/>
              <w:spacing w:before="0" w:after="283"/>
              <w:rPr/>
            </w:pPr>
            <w:r>
              <w:rPr/>
              <w:t>)</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Deferred tax liability</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(284</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(223</w:t>
            </w:r>
          </w:p>
        </w:tc>
        <w:tc>
          <w:tcPr>
            <w:tcW w:w="137"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Total liabilities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(1,668</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(418</w:t>
            </w:r>
          </w:p>
        </w:tc>
        <w:tc>
          <w:tcPr>
            <w:tcW w:w="13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(162</w:t>
            </w:r>
          </w:p>
        </w:tc>
        <w:tc>
          <w:tcPr>
            <w:tcW w:w="137" w:type="dxa"/>
            <w:tcBorders/>
            <w:shd w:fill="CCEEFF" w:val="clear"/>
            <w:vAlign w:val="bottom"/>
          </w:tcPr>
          <w:p>
            <w:pPr>
              <w:pStyle w:val="TableContents"/>
              <w:spacing w:before="0" w:after="283"/>
              <w:rPr/>
            </w:pPr>
            <w:r>
              <w:rPr/>
              <w:t>)</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Net assets acquired</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75,223</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21,806</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34,435</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Goodwill deductible for tax purposes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34,376</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15,870</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16,297</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Goodwill recorded in U.S. Pawn Segment</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53,555</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15,870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16,297</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Goodwill recorded in Empeño Fácil segment</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3,148</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Indefinite lived intangible assets acquired:</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450" w:right="0" w:hanging="225"/>
              <w:rPr/>
            </w:pPr>
            <w:r>
              <w:rPr/>
              <w:t>Pawn licenses</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607</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6,680</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Definite lived intangible assets acquired:</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675" w:right="0" w:hanging="225"/>
              <w:rPr/>
            </w:pPr>
            <w:r>
              <w:rPr/>
              <w:t>Favorable lease asset</w:t>
            </w:r>
          </w:p>
        </w:tc>
        <w:tc>
          <w:tcPr>
            <w:tcW w:w="41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111</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675" w:right="0" w:hanging="225"/>
              <w:rPr/>
            </w:pPr>
            <w:r>
              <w:rPr/>
              <w:t>Non-compete agreements</w:t>
            </w:r>
          </w:p>
        </w:tc>
        <w:tc>
          <w:tcPr>
            <w:tcW w:w="41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769</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420</w:t>
            </w:r>
          </w:p>
        </w:tc>
        <w:tc>
          <w:tcPr>
            <w:tcW w:w="13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fiscal year 2011 acquisitions in the table above include an acquisition of the trademark and licensing rights for Cash Converters in Canada, in which no goodwill was acquired. The factors contributing to the recognition of goodwill were based on several strategic and synergistic benefits we expect to realize from the acquisitions. These benefits include our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initial entry into Chicago, Iowa, Wisconsin, Utah, Hidalgo and Tlaxcala in addition to a greater presence in the prime pawn market of Florida and the ability to further leverage our expense structure through increased scale.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stores were acquired as part of our continuing strategy to acquire pawn stores to enhance and diversify our earnings. Transaction related expenses were not material and were expensed as incurred. The results of all acquired stores have been consolidated with our results since their acquisition. The purchase price allocation of stores acquired in the most recent twelve months is preliminary as we continue to receive information regarding the acquired assets. Pro forma results of operations have not been presented because the acquisitions were not significant on either an individual or an aggregate basis, and it is not practicable to do so, as historical audited financial statements are not readily available.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C: Earnings Per Share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Components of basic and diluted earnings per share and excluded anti-dilutive potential common shares are as follows: </w:t>
      </w:r>
    </w:p>
    <w:tbl>
      <w:tblPr>
        <w:tblW w:w="5000" w:type="pct"/>
        <w:jc w:val="center"/>
        <w:tblInd w:w="0" w:type="dxa"/>
        <w:tblCellMar>
          <w:top w:w="0" w:type="dxa"/>
          <w:left w:w="0" w:type="dxa"/>
          <w:bottom w:w="0" w:type="dxa"/>
          <w:right w:w="0" w:type="dxa"/>
        </w:tblCellMar>
      </w:tblPr>
      <w:tblGrid>
        <w:gridCol w:w="4940"/>
        <w:gridCol w:w="379"/>
        <w:gridCol w:w="203"/>
        <w:gridCol w:w="1117"/>
        <w:gridCol w:w="125"/>
        <w:gridCol w:w="395"/>
        <w:gridCol w:w="203"/>
        <w:gridCol w:w="1000"/>
        <w:gridCol w:w="125"/>
        <w:gridCol w:w="395"/>
        <w:gridCol w:w="202"/>
        <w:gridCol w:w="1007"/>
        <w:gridCol w:w="114"/>
      </w:tblGrid>
      <w:tr>
        <w:trPr/>
        <w:tc>
          <w:tcPr>
            <w:tcW w:w="494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94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4772"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14" w:type="dxa"/>
            <w:tcBorders/>
            <w:shd w:fill="auto" w:val="clear"/>
            <w:vAlign w:val="bottom"/>
          </w:tcPr>
          <w:p>
            <w:pPr>
              <w:pStyle w:val="TableContents"/>
              <w:spacing w:before="0" w:after="283"/>
              <w:rPr/>
            </w:pPr>
            <w:r>
              <w:rPr/>
              <w:t> </w:t>
            </w:r>
          </w:p>
        </w:tc>
      </w:tr>
      <w:tr>
        <w:trPr/>
        <w:tc>
          <w:tcPr>
            <w:tcW w:w="494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32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0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0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4" w:type="dxa"/>
            <w:tcBorders/>
            <w:shd w:fill="auto" w:val="clear"/>
            <w:vAlign w:val="bottom"/>
          </w:tcPr>
          <w:p>
            <w:pPr>
              <w:pStyle w:val="TableContents"/>
              <w:spacing w:before="0" w:after="283"/>
              <w:rPr/>
            </w:pPr>
            <w:r>
              <w:rPr/>
              <w:t> </w:t>
            </w:r>
          </w:p>
        </w:tc>
      </w:tr>
      <w:tr>
        <w:trPr/>
        <w:tc>
          <w:tcPr>
            <w:tcW w:w="494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4772" w:type="dxa"/>
            <w:gridSpan w:val="10"/>
            <w:tcBorders/>
            <w:shd w:fill="auto" w:val="clear"/>
            <w:vAlign w:val="bottom"/>
          </w:tcPr>
          <w:p>
            <w:pPr>
              <w:pStyle w:val="TableContents"/>
              <w:spacing w:before="0" w:after="283"/>
              <w:jc w:val="center"/>
              <w:rPr/>
            </w:pPr>
            <w:r>
              <w:rPr/>
              <w:t>(</w:t>
            </w:r>
            <w:r>
              <w:rPr>
                <w:i/>
              </w:rPr>
              <w:t>In thousands, except per share amounts</w:t>
            </w:r>
            <w:r>
              <w:rPr/>
              <w:t>)</w:t>
            </w:r>
          </w:p>
        </w:tc>
        <w:tc>
          <w:tcPr>
            <w:tcW w:w="114" w:type="dxa"/>
            <w:tcBorders/>
            <w:shd w:fill="auto" w:val="clear"/>
            <w:vAlign w:val="bottom"/>
          </w:tcPr>
          <w:p>
            <w:pPr>
              <w:pStyle w:val="TableContents"/>
              <w:spacing w:before="0" w:after="283"/>
              <w:rPr/>
            </w:pPr>
            <w:r>
              <w:rPr/>
              <w:t> </w:t>
            </w:r>
          </w:p>
        </w:tc>
      </w:tr>
      <w:tr>
        <w:trPr/>
        <w:tc>
          <w:tcPr>
            <w:tcW w:w="4940" w:type="dxa"/>
            <w:tcBorders/>
            <w:shd w:fill="CCEEFF" w:val="clear"/>
            <w:vAlign w:val="bottom"/>
          </w:tcPr>
          <w:p>
            <w:pPr>
              <w:pStyle w:val="TableContents"/>
              <w:spacing w:before="0" w:after="0"/>
              <w:ind w:left="225" w:right="0" w:hanging="225"/>
              <w:rPr/>
            </w:pPr>
            <w:r>
              <w:rPr/>
              <w:t>Net income (A)</w:t>
            </w:r>
          </w:p>
        </w:tc>
        <w:tc>
          <w:tcPr>
            <w:tcW w:w="37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117" w:type="dxa"/>
            <w:tcBorders/>
            <w:shd w:fill="CCEEFF" w:val="clear"/>
            <w:vAlign w:val="bottom"/>
          </w:tcPr>
          <w:p>
            <w:pPr>
              <w:pStyle w:val="TableContents"/>
              <w:spacing w:before="0" w:after="283"/>
              <w:jc w:val="right"/>
              <w:rPr/>
            </w:pPr>
            <w:r>
              <w:rPr/>
              <w:t>122,159</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000" w:type="dxa"/>
            <w:tcBorders/>
            <w:shd w:fill="CCEEFF" w:val="clear"/>
            <w:vAlign w:val="bottom"/>
          </w:tcPr>
          <w:p>
            <w:pPr>
              <w:pStyle w:val="TableContents"/>
              <w:spacing w:before="0" w:after="283"/>
              <w:jc w:val="right"/>
              <w:rPr/>
            </w:pPr>
            <w:r>
              <w:rPr/>
              <w:t>97,294</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w:t>
            </w:r>
          </w:p>
        </w:tc>
        <w:tc>
          <w:tcPr>
            <w:tcW w:w="1007" w:type="dxa"/>
            <w:tcBorders/>
            <w:shd w:fill="CCEEFF" w:val="clear"/>
            <w:vAlign w:val="bottom"/>
          </w:tcPr>
          <w:p>
            <w:pPr>
              <w:pStyle w:val="TableContents"/>
              <w:spacing w:before="0" w:after="283"/>
              <w:jc w:val="right"/>
              <w:rPr/>
            </w:pPr>
            <w:r>
              <w:rPr/>
              <w:t>68,472</w:t>
            </w:r>
          </w:p>
        </w:tc>
        <w:tc>
          <w:tcPr>
            <w:tcW w:w="114" w:type="dxa"/>
            <w:tcBorders/>
            <w:shd w:fill="CCEEFF" w:val="clear"/>
            <w:vAlign w:val="bottom"/>
          </w:tcPr>
          <w:p>
            <w:pPr>
              <w:pStyle w:val="TableContents"/>
              <w:spacing w:before="0" w:after="283"/>
              <w:rPr/>
            </w:pPr>
            <w:r>
              <w:rPr/>
              <w:t> </w:t>
            </w:r>
          </w:p>
        </w:tc>
      </w:tr>
      <w:tr>
        <w:trPr/>
        <w:tc>
          <w:tcPr>
            <w:tcW w:w="4940"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940" w:type="dxa"/>
            <w:tcBorders/>
            <w:shd w:fill="auto" w:val="clear"/>
            <w:vAlign w:val="bottom"/>
          </w:tcPr>
          <w:p>
            <w:pPr>
              <w:pStyle w:val="TableContents"/>
              <w:spacing w:before="0" w:after="0"/>
              <w:ind w:left="225" w:right="0" w:hanging="225"/>
              <w:rPr/>
            </w:pPr>
            <w:r>
              <w:rPr/>
              <w:t>Weighted average outstanding shares of common stock (B)</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49,917</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49,033</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47,372</w:t>
            </w:r>
          </w:p>
        </w:tc>
        <w:tc>
          <w:tcPr>
            <w:tcW w:w="114" w:type="dxa"/>
            <w:tcBorders/>
            <w:shd w:fill="auto" w:val="clear"/>
            <w:vAlign w:val="bottom"/>
          </w:tcPr>
          <w:p>
            <w:pPr>
              <w:pStyle w:val="TableContents"/>
              <w:spacing w:before="0" w:after="283"/>
              <w:rPr/>
            </w:pPr>
            <w:r>
              <w:rPr/>
              <w:t> </w:t>
            </w:r>
          </w:p>
        </w:tc>
      </w:tr>
      <w:tr>
        <w:trPr/>
        <w:tc>
          <w:tcPr>
            <w:tcW w:w="4940" w:type="dxa"/>
            <w:tcBorders/>
            <w:shd w:fill="CCEEFF" w:val="clear"/>
            <w:vAlign w:val="bottom"/>
          </w:tcPr>
          <w:p>
            <w:pPr>
              <w:pStyle w:val="TableContents"/>
              <w:spacing w:before="0" w:after="0"/>
              <w:ind w:left="225" w:right="0" w:hanging="225"/>
              <w:rPr/>
            </w:pPr>
            <w:r>
              <w:rPr/>
              <w:t>Dilutive effect of stock options and restricted stock</w:t>
            </w:r>
          </w:p>
        </w:tc>
        <w:tc>
          <w:tcPr>
            <w:tcW w:w="37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452</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543</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704</w:t>
            </w:r>
          </w:p>
        </w:tc>
        <w:tc>
          <w:tcPr>
            <w:tcW w:w="114" w:type="dxa"/>
            <w:tcBorders/>
            <w:shd w:fill="CCEEFF" w:val="clear"/>
            <w:vAlign w:val="bottom"/>
          </w:tcPr>
          <w:p>
            <w:pPr>
              <w:pStyle w:val="TableContents"/>
              <w:spacing w:before="0" w:after="283"/>
              <w:rPr/>
            </w:pPr>
            <w:r>
              <w:rPr/>
              <w:t> </w:t>
            </w:r>
          </w:p>
        </w:tc>
      </w:tr>
      <w:tr>
        <w:trPr/>
        <w:tc>
          <w:tcPr>
            <w:tcW w:w="4940"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940" w:type="dxa"/>
            <w:tcBorders/>
            <w:shd w:fill="auto" w:val="clear"/>
            <w:vAlign w:val="bottom"/>
          </w:tcPr>
          <w:p>
            <w:pPr>
              <w:pStyle w:val="TableContents"/>
              <w:spacing w:before="0" w:after="0"/>
              <w:ind w:left="225" w:right="0" w:hanging="225"/>
              <w:rPr/>
            </w:pPr>
            <w:r>
              <w:rPr/>
              <w:t>Weighted average common stock and common stock equivalents (C)</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50,369</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49,576</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48,076</w:t>
            </w:r>
          </w:p>
        </w:tc>
        <w:tc>
          <w:tcPr>
            <w:tcW w:w="114" w:type="dxa"/>
            <w:tcBorders/>
            <w:shd w:fill="auto" w:val="clear"/>
            <w:vAlign w:val="bottom"/>
          </w:tcPr>
          <w:p>
            <w:pPr>
              <w:pStyle w:val="TableContents"/>
              <w:spacing w:before="0" w:after="283"/>
              <w:rPr/>
            </w:pPr>
            <w:r>
              <w:rPr/>
              <w:t> </w:t>
            </w:r>
          </w:p>
        </w:tc>
      </w:tr>
      <w:tr>
        <w:trPr/>
        <w:tc>
          <w:tcPr>
            <w:tcW w:w="4940"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940" w:type="dxa"/>
            <w:tcBorders/>
            <w:shd w:fill="auto" w:val="clear"/>
            <w:vAlign w:val="bottom"/>
          </w:tcPr>
          <w:p>
            <w:pPr>
              <w:pStyle w:val="TableContents"/>
              <w:spacing w:before="0" w:after="0"/>
              <w:ind w:left="225" w:right="0" w:hanging="225"/>
              <w:rPr/>
            </w:pPr>
            <w:r>
              <w:rPr/>
              <w:t> </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940" w:type="dxa"/>
            <w:tcBorders/>
            <w:shd w:fill="CCEEFF" w:val="clear"/>
            <w:vAlign w:val="bottom"/>
          </w:tcPr>
          <w:p>
            <w:pPr>
              <w:pStyle w:val="TableContents"/>
              <w:spacing w:before="0" w:after="0"/>
              <w:ind w:left="225" w:right="0" w:hanging="225"/>
              <w:rPr/>
            </w:pPr>
            <w:r>
              <w:rPr/>
              <w:t>Basic earnings per share (A/B)</w:t>
            </w:r>
          </w:p>
        </w:tc>
        <w:tc>
          <w:tcPr>
            <w:tcW w:w="37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117" w:type="dxa"/>
            <w:tcBorders/>
            <w:shd w:fill="CCEEFF" w:val="clear"/>
            <w:vAlign w:val="bottom"/>
          </w:tcPr>
          <w:p>
            <w:pPr>
              <w:pStyle w:val="TableContents"/>
              <w:spacing w:before="0" w:after="283"/>
              <w:jc w:val="right"/>
              <w:rPr/>
            </w:pPr>
            <w:r>
              <w:rPr/>
              <w:t>2.45</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000" w:type="dxa"/>
            <w:tcBorders/>
            <w:shd w:fill="CCEEFF" w:val="clear"/>
            <w:vAlign w:val="bottom"/>
          </w:tcPr>
          <w:p>
            <w:pPr>
              <w:pStyle w:val="TableContents"/>
              <w:spacing w:before="0" w:after="283"/>
              <w:jc w:val="right"/>
              <w:rPr/>
            </w:pPr>
            <w:r>
              <w:rPr/>
              <w:t>1.98</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w:t>
            </w:r>
          </w:p>
        </w:tc>
        <w:tc>
          <w:tcPr>
            <w:tcW w:w="1007" w:type="dxa"/>
            <w:tcBorders/>
            <w:shd w:fill="CCEEFF" w:val="clear"/>
            <w:vAlign w:val="bottom"/>
          </w:tcPr>
          <w:p>
            <w:pPr>
              <w:pStyle w:val="TableContents"/>
              <w:spacing w:before="0" w:after="283"/>
              <w:jc w:val="right"/>
              <w:rPr/>
            </w:pPr>
            <w:r>
              <w:rPr/>
              <w:t>1.45</w:t>
            </w:r>
          </w:p>
        </w:tc>
        <w:tc>
          <w:tcPr>
            <w:tcW w:w="114" w:type="dxa"/>
            <w:tcBorders/>
            <w:shd w:fill="CCEEFF" w:val="clear"/>
            <w:vAlign w:val="bottom"/>
          </w:tcPr>
          <w:p>
            <w:pPr>
              <w:pStyle w:val="TableContents"/>
              <w:spacing w:before="0" w:after="283"/>
              <w:rPr/>
            </w:pPr>
            <w:r>
              <w:rPr/>
              <w:t> </w:t>
            </w:r>
          </w:p>
        </w:tc>
      </w:tr>
      <w:tr>
        <w:trPr/>
        <w:tc>
          <w:tcPr>
            <w:tcW w:w="4940"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940" w:type="dxa"/>
            <w:tcBorders/>
            <w:shd w:fill="auto" w:val="clear"/>
            <w:vAlign w:val="bottom"/>
          </w:tcPr>
          <w:p>
            <w:pPr>
              <w:pStyle w:val="TableContents"/>
              <w:spacing w:before="0" w:after="0"/>
              <w:ind w:left="225" w:right="0" w:hanging="225"/>
              <w:rPr/>
            </w:pPr>
            <w:r>
              <w:rPr/>
              <w:t> </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940" w:type="dxa"/>
            <w:tcBorders/>
            <w:shd w:fill="auto" w:val="clear"/>
            <w:vAlign w:val="bottom"/>
          </w:tcPr>
          <w:p>
            <w:pPr>
              <w:pStyle w:val="TableContents"/>
              <w:spacing w:before="0" w:after="0"/>
              <w:ind w:left="225" w:right="0" w:hanging="225"/>
              <w:rPr/>
            </w:pPr>
            <w:r>
              <w:rPr/>
              <w:t>Diluted earnings per share (A/C)</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117" w:type="dxa"/>
            <w:tcBorders/>
            <w:shd w:fill="auto" w:val="clear"/>
            <w:vAlign w:val="bottom"/>
          </w:tcPr>
          <w:p>
            <w:pPr>
              <w:pStyle w:val="TableContents"/>
              <w:spacing w:before="0" w:after="283"/>
              <w:jc w:val="right"/>
              <w:rPr/>
            </w:pPr>
            <w:r>
              <w:rPr/>
              <w:t>2.43</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000" w:type="dxa"/>
            <w:tcBorders/>
            <w:shd w:fill="auto" w:val="clear"/>
            <w:vAlign w:val="bottom"/>
          </w:tcPr>
          <w:p>
            <w:pPr>
              <w:pStyle w:val="TableContents"/>
              <w:spacing w:before="0" w:after="283"/>
              <w:jc w:val="right"/>
              <w:rPr/>
            </w:pPr>
            <w:r>
              <w:rPr/>
              <w:t>1.96</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1007" w:type="dxa"/>
            <w:tcBorders/>
            <w:shd w:fill="auto" w:val="clear"/>
            <w:vAlign w:val="bottom"/>
          </w:tcPr>
          <w:p>
            <w:pPr>
              <w:pStyle w:val="TableContents"/>
              <w:spacing w:before="0" w:after="283"/>
              <w:jc w:val="right"/>
              <w:rPr/>
            </w:pPr>
            <w:r>
              <w:rPr/>
              <w:t>1.42</w:t>
            </w:r>
          </w:p>
        </w:tc>
        <w:tc>
          <w:tcPr>
            <w:tcW w:w="114" w:type="dxa"/>
            <w:tcBorders/>
            <w:shd w:fill="auto" w:val="clear"/>
            <w:vAlign w:val="bottom"/>
          </w:tcPr>
          <w:p>
            <w:pPr>
              <w:pStyle w:val="TableContents"/>
              <w:spacing w:before="0" w:after="283"/>
              <w:rPr/>
            </w:pPr>
            <w:r>
              <w:rPr/>
              <w:t> </w:t>
            </w:r>
          </w:p>
        </w:tc>
      </w:tr>
      <w:tr>
        <w:trPr/>
        <w:tc>
          <w:tcPr>
            <w:tcW w:w="4940"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940" w:type="dxa"/>
            <w:tcBorders/>
            <w:shd w:fill="auto" w:val="clear"/>
            <w:vAlign w:val="bottom"/>
          </w:tcPr>
          <w:p>
            <w:pPr>
              <w:pStyle w:val="TableContents"/>
              <w:spacing w:before="0" w:after="0"/>
              <w:ind w:left="225" w:right="0" w:hanging="225"/>
              <w:rPr/>
            </w:pPr>
            <w:r>
              <w:rPr/>
              <w:t> </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940" w:type="dxa"/>
            <w:tcBorders/>
            <w:shd w:fill="CCEEFF" w:val="clear"/>
            <w:vAlign w:val="bottom"/>
          </w:tcPr>
          <w:p>
            <w:pPr>
              <w:pStyle w:val="TableContents"/>
              <w:spacing w:before="0" w:after="0"/>
              <w:ind w:left="225" w:right="0" w:hanging="225"/>
              <w:rPr/>
            </w:pPr>
            <w:r>
              <w:rPr/>
              <w:t>Potential common shares excluded from the calculation of diluted earnings per share</w:t>
            </w:r>
          </w:p>
        </w:tc>
        <w:tc>
          <w:tcPr>
            <w:tcW w:w="37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2</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15</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124</w:t>
            </w:r>
          </w:p>
        </w:tc>
        <w:tc>
          <w:tcPr>
            <w:tcW w:w="114"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D: Strategic Investments and Fair Value of Financial Instruments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we owned 16,644,640 ordinary shares of Albemarle &amp; Bond Holdings, PLC, representing almost 30% of its total outstanding shares. Our total cost for those shares was approximately $27.6 million. Albemarle &amp; Bond is primarily engaged in pawnbroking, retail jewelry sales, check cashing and lending in the United Kingdom. We account for the investment using the equity method. Since Albemarle &amp; Bonds fiscal year ends three months prior to ours, we report the income from this investment on a three-month lag. Albemarle &amp; Bond files semi-annual financial reports for its fiscal periods ending December 31 and June 30. The income reported for our fiscal year ended September 30, 2011 represents our percentage interest in the results of Albemarle &amp; Bonds operations from July 1, 2010 to June 30, 2011. In fiscal 2011, 2010 and 2009, we received dividends from Albemarle &amp; Bond of $3.2 million, $2.3 million and $1.6 million. Albemarle &amp; Bonds accumulated undistributed after-tax earnings included in our consolidated retained earnings were $23.5 million at September 30,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Conversion of Albemarle &amp; Bonds financial statements into US Generally Accepted Accounting Principles (GAAP) resulted in no material differences from those reported by Albemarle &amp; Bond following International Financial Reporting Standards (IFRS).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its functional currency of British pounds, Albemarle &amp; Bonds total assets increased 19% from June 30, 2010 to June 30, 2011 and its net income improved 6% for the year ended June 30, 2011. Below is summarized financial information for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Albemarle &amp; Bonds most recently reported results after translation to U.S. dollars (using the exchange rate as of June 30 of each year for balance sheet items and average exchange rates for the income statement items for the periods indicated): </w:t>
      </w:r>
    </w:p>
    <w:tbl>
      <w:tblPr>
        <w:tblW w:w="5000" w:type="pct"/>
        <w:jc w:val="center"/>
        <w:tblInd w:w="0" w:type="dxa"/>
        <w:tblCellMar>
          <w:top w:w="0" w:type="dxa"/>
          <w:left w:w="0" w:type="dxa"/>
          <w:bottom w:w="0" w:type="dxa"/>
          <w:right w:w="0" w:type="dxa"/>
        </w:tblCellMar>
      </w:tblPr>
      <w:tblGrid>
        <w:gridCol w:w="7117"/>
        <w:gridCol w:w="458"/>
        <w:gridCol w:w="153"/>
        <w:gridCol w:w="816"/>
        <w:gridCol w:w="114"/>
        <w:gridCol w:w="458"/>
        <w:gridCol w:w="153"/>
        <w:gridCol w:w="816"/>
        <w:gridCol w:w="120"/>
      </w:tblGrid>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June 30,</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Current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125,862</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97,476</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Non-current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64,325</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52,325</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190,187</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149,801</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Current liabilities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18,620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17,898</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Non-current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57,016</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42,078</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Shareholders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114,551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89,825</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liabilities and shareholders equity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190,187</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149,801</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712"/>
        <w:gridCol w:w="451"/>
        <w:gridCol w:w="150"/>
        <w:gridCol w:w="801"/>
        <w:gridCol w:w="112"/>
        <w:gridCol w:w="451"/>
        <w:gridCol w:w="150"/>
        <w:gridCol w:w="801"/>
        <w:gridCol w:w="112"/>
        <w:gridCol w:w="451"/>
        <w:gridCol w:w="150"/>
        <w:gridCol w:w="744"/>
        <w:gridCol w:w="120"/>
      </w:tblGrid>
      <w:tr>
        <w:trPr/>
        <w:tc>
          <w:tcPr>
            <w:tcW w:w="57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57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3922"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June 30,</w:t>
            </w:r>
          </w:p>
        </w:tc>
        <w:tc>
          <w:tcPr>
            <w:tcW w:w="120" w:type="dxa"/>
            <w:tcBorders/>
            <w:shd w:fill="auto" w:val="clear"/>
            <w:vAlign w:val="bottom"/>
          </w:tcPr>
          <w:p>
            <w:pPr>
              <w:pStyle w:val="TableContents"/>
              <w:spacing w:before="0" w:after="283"/>
              <w:rPr/>
            </w:pPr>
            <w:r>
              <w:rPr/>
              <w:t> </w:t>
            </w:r>
          </w:p>
        </w:tc>
      </w:tr>
      <w:tr>
        <w:trPr/>
        <w:tc>
          <w:tcPr>
            <w:tcW w:w="57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9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9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8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57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3922" w:type="dxa"/>
            <w:gridSpan w:val="10"/>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5712" w:type="dxa"/>
            <w:tcBorders/>
            <w:shd w:fill="CCEEFF" w:val="clear"/>
            <w:vAlign w:val="bottom"/>
          </w:tcPr>
          <w:p>
            <w:pPr>
              <w:pStyle w:val="TableContents"/>
              <w:spacing w:before="0" w:after="0"/>
              <w:ind w:left="225" w:right="0" w:hanging="225"/>
              <w:rPr/>
            </w:pPr>
            <w:r>
              <w:rPr/>
              <w:t>Gross revenues</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162,002</w:t>
            </w:r>
          </w:p>
        </w:tc>
        <w:tc>
          <w:tcPr>
            <w:tcW w:w="112"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129,794</w:t>
            </w:r>
          </w:p>
        </w:tc>
        <w:tc>
          <w:tcPr>
            <w:tcW w:w="112"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44" w:type="dxa"/>
            <w:tcBorders/>
            <w:shd w:fill="CCEEFF" w:val="clear"/>
            <w:vAlign w:val="bottom"/>
          </w:tcPr>
          <w:p>
            <w:pPr>
              <w:pStyle w:val="TableContents"/>
              <w:spacing w:before="0" w:after="283"/>
              <w:jc w:val="right"/>
              <w:rPr/>
            </w:pPr>
            <w:r>
              <w:rPr/>
              <w:t>89,712</w:t>
            </w:r>
          </w:p>
        </w:tc>
        <w:tc>
          <w:tcPr>
            <w:tcW w:w="120" w:type="dxa"/>
            <w:tcBorders/>
            <w:shd w:fill="CCEEFF" w:val="clear"/>
            <w:vAlign w:val="bottom"/>
          </w:tcPr>
          <w:p>
            <w:pPr>
              <w:pStyle w:val="TableContents"/>
              <w:spacing w:before="0" w:after="283"/>
              <w:rPr/>
            </w:pPr>
            <w:r>
              <w:rPr/>
              <w:t> </w:t>
            </w:r>
          </w:p>
        </w:tc>
      </w:tr>
      <w:tr>
        <w:trPr/>
        <w:tc>
          <w:tcPr>
            <w:tcW w:w="5712" w:type="dxa"/>
            <w:tcBorders/>
            <w:shd w:fill="auto" w:val="clear"/>
            <w:vAlign w:val="bottom"/>
          </w:tcPr>
          <w:p>
            <w:pPr>
              <w:pStyle w:val="TableContents"/>
              <w:spacing w:before="0" w:after="0"/>
              <w:ind w:left="225" w:right="0" w:hanging="225"/>
              <w:rPr/>
            </w:pPr>
            <w:r>
              <w:rPr/>
              <w:t>Gross profit</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97,197</w:t>
            </w:r>
          </w:p>
        </w:tc>
        <w:tc>
          <w:tcPr>
            <w:tcW w:w="1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84,850</w:t>
            </w:r>
          </w:p>
        </w:tc>
        <w:tc>
          <w:tcPr>
            <w:tcW w:w="11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pPr>
            <w:r>
              <w:rPr/>
              <w:t>68,572</w:t>
            </w:r>
          </w:p>
        </w:tc>
        <w:tc>
          <w:tcPr>
            <w:tcW w:w="120" w:type="dxa"/>
            <w:tcBorders/>
            <w:shd w:fill="auto" w:val="clear"/>
            <w:vAlign w:val="bottom"/>
          </w:tcPr>
          <w:p>
            <w:pPr>
              <w:pStyle w:val="TableContents"/>
              <w:spacing w:before="0" w:after="283"/>
              <w:rPr/>
            </w:pPr>
            <w:r>
              <w:rPr/>
              <w:t> </w:t>
            </w:r>
          </w:p>
        </w:tc>
      </w:tr>
      <w:tr>
        <w:trPr/>
        <w:tc>
          <w:tcPr>
            <w:tcW w:w="5712" w:type="dxa"/>
            <w:tcBorders/>
            <w:shd w:fill="CCEEFF" w:val="clear"/>
            <w:vAlign w:val="bottom"/>
          </w:tcPr>
          <w:p>
            <w:pPr>
              <w:pStyle w:val="TableContents"/>
              <w:spacing w:before="0" w:after="0"/>
              <w:ind w:left="225" w:right="0" w:hanging="225"/>
              <w:rPr/>
            </w:pPr>
            <w:r>
              <w:rPr/>
              <w:t>Profit for the year (net income)</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24,324</w:t>
            </w:r>
          </w:p>
        </w:tc>
        <w:tc>
          <w:tcPr>
            <w:tcW w:w="112"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22,792</w:t>
            </w:r>
          </w:p>
        </w:tc>
        <w:tc>
          <w:tcPr>
            <w:tcW w:w="112"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jc w:val="right"/>
              <w:rPr/>
            </w:pPr>
            <w:r>
              <w:rPr/>
              <w:t>17,239</w:t>
            </w:r>
          </w:p>
        </w:tc>
        <w:tc>
          <w:tcPr>
            <w:tcW w:w="120"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the recorded balance of our investment in Albemarle &amp; Bond, accounted for on the equity method, was $48.4 million. Because Albemarle &amp; Bond publicly reports its financial results only semi-annually as of June 30 and December 31, the latest Albemarle &amp; Bond figures available are as of June 30, 2011, at which point our equity in net assets of Albemarle &amp; Bond was $34.4 million. The difference between the recorded balance and our equity in Albemarle &amp; Bonds net assets represents the $10.0 million of unamortized goodwill, plus the cumulative difference resulting from Albemarle &amp; Bonds earnings, dividend payments and translation gains and losses since the dates of investment.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we owned 124,418,000 shares, or approximately 33% of the total ordinary shares of Cash Converters International Limited, which is a publicly traded company headquartered in Perth, Australia. We acquired the shares between November 2009 and May 2010 for approximately $57.8 million. Cash Converters franchises and operates a worldwide network of approximately 600 specialty financial services and retail stores that provide pawn loans, short-term unsecured loans and other consumer finance products, and buy and sell second-hand goods. Cash Converters has significant store concentrations in Australia and the United Kingdom.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account for our investment in Cash Converters using the equity method. Since Cash Converters fiscal year ends three months prior to ours, we report the income from this investment on a three-month lag. Cash Converters files semi-annual financial reports for its fiscal periods ending December 31 and June 30. Due to the three-month lag, income reported for our fiscal year ended September 30, 2011 represents our percentage interest in the results of cash Converters operations from July 1, 2010 to June 30, 2011. Our results for the twelve-month period ended September 30, 2010 include our percentage interest in Cash Converters 237 days of earnings from November 6, 2009 to June 30, 2010. This amount was estimated through daily proration of Cash Converters reported results for the twelve months ended June 30, 2010. In fiscal 2011 and 2010, we received dividends from Cash Converters of $4.1 and $1.5 million. Cash Converters accumulated undistributed after-tax earnings included in our consolidated retained earnings were $7.3 million at September 30,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Conversion of Cash Converters financial statements into US GAAP resulted in no material differences from those reported by Cash Converters following IFRS.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its functional currency of Australian dollars, Cash Converters total assets increased 18% from June 30, 2010 to June 30, 2011 and its net income improved 27% for the year ended June 30, 2011. Below is summarized financial information for Cash Converters most recently reported results after translation to U.S. dollars (using the exchange rate as of June 30 of each year for balance sheet items and average exchange rates for the income statement items for the periods indicated): </w:t>
      </w:r>
    </w:p>
    <w:tbl>
      <w:tblPr>
        <w:tblW w:w="5000" w:type="pct"/>
        <w:jc w:val="center"/>
        <w:tblInd w:w="0" w:type="dxa"/>
        <w:tblCellMar>
          <w:top w:w="0" w:type="dxa"/>
          <w:left w:w="0" w:type="dxa"/>
          <w:bottom w:w="0" w:type="dxa"/>
          <w:right w:w="0" w:type="dxa"/>
        </w:tblCellMar>
      </w:tblPr>
      <w:tblGrid>
        <w:gridCol w:w="7117"/>
        <w:gridCol w:w="458"/>
        <w:gridCol w:w="153"/>
        <w:gridCol w:w="816"/>
        <w:gridCol w:w="114"/>
        <w:gridCol w:w="458"/>
        <w:gridCol w:w="153"/>
        <w:gridCol w:w="816"/>
        <w:gridCol w:w="120"/>
      </w:tblGrid>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June 30,</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Current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119,633</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96,489</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Non-current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126,811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72,408</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246,444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168,897</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Current liabilities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38,235</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19,179</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Non-current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22,528</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10,199</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Shareholders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185,681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139,519</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liabilities and shareholders equity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246,444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168,897</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6971"/>
        <w:gridCol w:w="467"/>
        <w:gridCol w:w="162"/>
        <w:gridCol w:w="866"/>
        <w:gridCol w:w="119"/>
        <w:gridCol w:w="469"/>
        <w:gridCol w:w="162"/>
        <w:gridCol w:w="867"/>
        <w:gridCol w:w="122"/>
      </w:tblGrid>
      <w:tr>
        <w:trPr/>
        <w:tc>
          <w:tcPr>
            <w:tcW w:w="6971"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971"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645"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Years Ended June 30,</w:t>
            </w:r>
          </w:p>
        </w:tc>
        <w:tc>
          <w:tcPr>
            <w:tcW w:w="122" w:type="dxa"/>
            <w:tcBorders/>
            <w:shd w:fill="auto" w:val="clear"/>
            <w:vAlign w:val="bottom"/>
          </w:tcPr>
          <w:p>
            <w:pPr>
              <w:pStyle w:val="TableContents"/>
              <w:spacing w:before="0" w:after="283"/>
              <w:rPr/>
            </w:pPr>
            <w:r>
              <w:rPr/>
              <w:t> </w:t>
            </w:r>
          </w:p>
        </w:tc>
      </w:tr>
      <w:tr>
        <w:trPr/>
        <w:tc>
          <w:tcPr>
            <w:tcW w:w="6971"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02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9"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02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2" w:type="dxa"/>
            <w:tcBorders/>
            <w:shd w:fill="auto" w:val="clear"/>
            <w:vAlign w:val="bottom"/>
          </w:tcPr>
          <w:p>
            <w:pPr>
              <w:pStyle w:val="TableContents"/>
              <w:spacing w:before="0" w:after="283"/>
              <w:rPr/>
            </w:pPr>
            <w:r>
              <w:rPr/>
              <w:t> </w:t>
            </w:r>
          </w:p>
        </w:tc>
      </w:tr>
      <w:tr>
        <w:trPr/>
        <w:tc>
          <w:tcPr>
            <w:tcW w:w="6971"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645" w:type="dxa"/>
            <w:gridSpan w:val="6"/>
            <w:tcBorders/>
            <w:shd w:fill="auto" w:val="clear"/>
            <w:vAlign w:val="bottom"/>
          </w:tcPr>
          <w:p>
            <w:pPr>
              <w:pStyle w:val="TableContents"/>
              <w:spacing w:before="0" w:after="283"/>
              <w:jc w:val="center"/>
              <w:rPr>
                <w:i/>
              </w:rPr>
            </w:pPr>
            <w:r>
              <w:rPr>
                <w:i/>
              </w:rPr>
              <w:t>(In thousands)</w:t>
            </w:r>
          </w:p>
        </w:tc>
        <w:tc>
          <w:tcPr>
            <w:tcW w:w="122" w:type="dxa"/>
            <w:tcBorders/>
            <w:shd w:fill="auto" w:val="clear"/>
            <w:vAlign w:val="bottom"/>
          </w:tcPr>
          <w:p>
            <w:pPr>
              <w:pStyle w:val="TableContents"/>
              <w:spacing w:before="0" w:after="283"/>
              <w:rPr/>
            </w:pPr>
            <w:r>
              <w:rPr/>
              <w:t> </w:t>
            </w:r>
          </w:p>
        </w:tc>
      </w:tr>
      <w:tr>
        <w:trPr/>
        <w:tc>
          <w:tcPr>
            <w:tcW w:w="6971" w:type="dxa"/>
            <w:tcBorders/>
            <w:shd w:fill="CCEEFF" w:val="clear"/>
            <w:vAlign w:val="bottom"/>
          </w:tcPr>
          <w:p>
            <w:pPr>
              <w:pStyle w:val="TableContents"/>
              <w:spacing w:before="0" w:after="0"/>
              <w:ind w:left="225" w:right="0" w:hanging="225"/>
              <w:rPr/>
            </w:pPr>
            <w:r>
              <w:rPr/>
              <w:t>Gross revenues</w:t>
            </w:r>
          </w:p>
        </w:tc>
        <w:tc>
          <w:tcPr>
            <w:tcW w:w="4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66" w:type="dxa"/>
            <w:tcBorders/>
            <w:shd w:fill="CCEEFF" w:val="clear"/>
            <w:vAlign w:val="bottom"/>
          </w:tcPr>
          <w:p>
            <w:pPr>
              <w:pStyle w:val="TableContents"/>
              <w:spacing w:before="0" w:after="283"/>
              <w:jc w:val="right"/>
              <w:rPr/>
            </w:pPr>
            <w:r>
              <w:rPr/>
              <w:t>184,011</w:t>
            </w:r>
          </w:p>
        </w:tc>
        <w:tc>
          <w:tcPr>
            <w:tcW w:w="119"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67" w:type="dxa"/>
            <w:tcBorders/>
            <w:shd w:fill="CCEEFF" w:val="clear"/>
            <w:vAlign w:val="bottom"/>
          </w:tcPr>
          <w:p>
            <w:pPr>
              <w:pStyle w:val="TableContents"/>
              <w:spacing w:before="0" w:after="283"/>
              <w:jc w:val="right"/>
              <w:rPr/>
            </w:pPr>
            <w:r>
              <w:rPr/>
              <w:t>111,218</w:t>
            </w:r>
          </w:p>
        </w:tc>
        <w:tc>
          <w:tcPr>
            <w:tcW w:w="122" w:type="dxa"/>
            <w:tcBorders/>
            <w:shd w:fill="CCEEFF" w:val="clear"/>
            <w:vAlign w:val="bottom"/>
          </w:tcPr>
          <w:p>
            <w:pPr>
              <w:pStyle w:val="TableContents"/>
              <w:spacing w:before="0" w:after="283"/>
              <w:rPr/>
            </w:pPr>
            <w:r>
              <w:rPr/>
              <w:t> </w:t>
            </w:r>
          </w:p>
        </w:tc>
      </w:tr>
      <w:tr>
        <w:trPr/>
        <w:tc>
          <w:tcPr>
            <w:tcW w:w="6971" w:type="dxa"/>
            <w:tcBorders/>
            <w:shd w:fill="auto" w:val="clear"/>
            <w:vAlign w:val="bottom"/>
          </w:tcPr>
          <w:p>
            <w:pPr>
              <w:pStyle w:val="TableContents"/>
              <w:spacing w:before="0" w:after="0"/>
              <w:ind w:left="225" w:right="0" w:hanging="225"/>
              <w:rPr/>
            </w:pPr>
            <w:r>
              <w:rPr/>
              <w:t>Gross profit</w:t>
            </w:r>
          </w:p>
        </w:tc>
        <w:tc>
          <w:tcPr>
            <w:tcW w:w="46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138,997</w:t>
            </w:r>
          </w:p>
        </w:tc>
        <w:tc>
          <w:tcPr>
            <w:tcW w:w="119"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pPr>
            <w:r>
              <w:rPr/>
              <w:t>84,296</w:t>
            </w:r>
          </w:p>
        </w:tc>
        <w:tc>
          <w:tcPr>
            <w:tcW w:w="122" w:type="dxa"/>
            <w:tcBorders/>
            <w:shd w:fill="auto" w:val="clear"/>
            <w:vAlign w:val="bottom"/>
          </w:tcPr>
          <w:p>
            <w:pPr>
              <w:pStyle w:val="TableContents"/>
              <w:spacing w:before="0" w:after="283"/>
              <w:rPr/>
            </w:pPr>
            <w:r>
              <w:rPr/>
              <w:t> </w:t>
            </w:r>
          </w:p>
        </w:tc>
      </w:tr>
      <w:tr>
        <w:trPr/>
        <w:tc>
          <w:tcPr>
            <w:tcW w:w="6971" w:type="dxa"/>
            <w:tcBorders/>
            <w:shd w:fill="CCEEFF" w:val="clear"/>
            <w:vAlign w:val="bottom"/>
          </w:tcPr>
          <w:p>
            <w:pPr>
              <w:pStyle w:val="TableContents"/>
              <w:spacing w:before="0" w:after="0"/>
              <w:ind w:left="225" w:right="0" w:hanging="225"/>
              <w:rPr/>
            </w:pPr>
            <w:r>
              <w:rPr/>
              <w:t>Profit for the year (net income)</w:t>
            </w:r>
          </w:p>
        </w:tc>
        <w:tc>
          <w:tcPr>
            <w:tcW w:w="46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27,328</w:t>
            </w:r>
          </w:p>
        </w:tc>
        <w:tc>
          <w:tcPr>
            <w:tcW w:w="119"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19,122</w:t>
            </w:r>
          </w:p>
        </w:tc>
        <w:tc>
          <w:tcPr>
            <w:tcW w:w="122"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the recorded balance of our investment in Cash Converters, accounted for on the equity method, was $72.0 million. Because Cash Converters publicly reports its financial results only semi-annually as of June 30 and December 31, the latest Cash Converters figures available are as of June 30, 2011, at which point our equity in net assets of Cash Converters was $60.8 million. The difference between the recorded balance and our equity in Cash Converters net assets represents the $15.0 million of unamortized goodwill, plus the cumulative difference resulting from Cash Converters earnings, dividend payments and translation gains and losses since the dates of investment.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the recorded value and fair value of each of these strategic investments at the dates indicated. These fair values are considered level one estimates within the fair value hierarchy of FASB ASC 820-10-50, and were calculated as (a) the quoted stock price on each companys principal market multiplied by (b) the number of shares we owned multiplied by (c) the applicable foreign currency exchange rate at the dates indicated. We included no control premium for owning a large percentage of outstanding shares. </w:t>
      </w:r>
    </w:p>
    <w:tbl>
      <w:tblPr>
        <w:tblW w:w="5000" w:type="pct"/>
        <w:jc w:val="center"/>
        <w:tblInd w:w="0" w:type="dxa"/>
        <w:tblCellMar>
          <w:top w:w="0" w:type="dxa"/>
          <w:left w:w="0" w:type="dxa"/>
          <w:bottom w:w="0" w:type="dxa"/>
          <w:right w:w="0" w:type="dxa"/>
        </w:tblCellMar>
      </w:tblPr>
      <w:tblGrid>
        <w:gridCol w:w="6379"/>
        <w:gridCol w:w="423"/>
        <w:gridCol w:w="227"/>
        <w:gridCol w:w="1119"/>
        <w:gridCol w:w="141"/>
        <w:gridCol w:w="447"/>
        <w:gridCol w:w="227"/>
        <w:gridCol w:w="1121"/>
        <w:gridCol w:w="121"/>
      </w:tblGrid>
      <w:tr>
        <w:trPr/>
        <w:tc>
          <w:tcPr>
            <w:tcW w:w="6379"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3282"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21" w:type="dxa"/>
            <w:tcBorders/>
            <w:shd w:fill="auto"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34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4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3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1" w:type="dxa"/>
            <w:tcBorders/>
            <w:shd w:fill="auto"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3282" w:type="dxa"/>
            <w:gridSpan w:val="6"/>
            <w:tcBorders/>
            <w:shd w:fill="auto" w:val="clear"/>
            <w:vAlign w:val="bottom"/>
          </w:tcPr>
          <w:p>
            <w:pPr>
              <w:pStyle w:val="TableContents"/>
              <w:spacing w:before="0" w:after="283"/>
              <w:jc w:val="center"/>
              <w:rPr>
                <w:i/>
              </w:rPr>
            </w:pPr>
            <w:r>
              <w:rPr>
                <w:i/>
              </w:rPr>
              <w:t>(In thousands of U.S. dollars)</w:t>
            </w:r>
          </w:p>
        </w:tc>
        <w:tc>
          <w:tcPr>
            <w:tcW w:w="121" w:type="dxa"/>
            <w:tcBorders/>
            <w:shd w:fill="auto" w:val="clear"/>
            <w:vAlign w:val="bottom"/>
          </w:tcPr>
          <w:p>
            <w:pPr>
              <w:pStyle w:val="TableContents"/>
              <w:spacing w:before="0" w:after="283"/>
              <w:rPr/>
            </w:pPr>
            <w:r>
              <w:rPr/>
              <w:t> </w:t>
            </w:r>
          </w:p>
        </w:tc>
      </w:tr>
      <w:tr>
        <w:trPr/>
        <w:tc>
          <w:tcPr>
            <w:tcW w:w="6379" w:type="dxa"/>
            <w:tcBorders/>
            <w:shd w:fill="CCEEFF" w:val="clear"/>
            <w:vAlign w:val="bottom"/>
          </w:tcPr>
          <w:p>
            <w:pPr>
              <w:pStyle w:val="TableContents"/>
              <w:spacing w:before="0" w:after="0"/>
              <w:ind w:left="225" w:right="0" w:hanging="225"/>
              <w:rPr/>
            </w:pPr>
            <w:r>
              <w:rPr/>
              <w:t>Albemarle &amp; Bond:</w:t>
            </w:r>
          </w:p>
        </w:tc>
        <w:tc>
          <w:tcPr>
            <w:tcW w:w="423"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0"/>
              <w:ind w:left="450" w:right="0" w:hanging="225"/>
              <w:rPr/>
            </w:pPr>
            <w:r>
              <w:rPr/>
              <w:t>Recorded value</w:t>
            </w:r>
          </w:p>
        </w:tc>
        <w:tc>
          <w:tcPr>
            <w:tcW w:w="423"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jc w:val="left"/>
              <w:rPr/>
            </w:pPr>
            <w:r>
              <w:rPr/>
              <w:t>$</w:t>
            </w:r>
          </w:p>
        </w:tc>
        <w:tc>
          <w:tcPr>
            <w:tcW w:w="1119" w:type="dxa"/>
            <w:tcBorders/>
            <w:shd w:fill="auto" w:val="clear"/>
            <w:vAlign w:val="bottom"/>
          </w:tcPr>
          <w:p>
            <w:pPr>
              <w:pStyle w:val="TableContents"/>
              <w:spacing w:before="0" w:after="283"/>
              <w:jc w:val="right"/>
              <w:rPr/>
            </w:pPr>
            <w:r>
              <w:rPr/>
              <w:t>48,361</w:t>
            </w:r>
          </w:p>
        </w:tc>
        <w:tc>
          <w:tcPr>
            <w:tcW w:w="14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jc w:val="left"/>
              <w:rPr/>
            </w:pPr>
            <w:r>
              <w:rPr/>
              <w:t>$</w:t>
            </w:r>
          </w:p>
        </w:tc>
        <w:tc>
          <w:tcPr>
            <w:tcW w:w="1121" w:type="dxa"/>
            <w:tcBorders/>
            <w:shd w:fill="auto" w:val="clear"/>
            <w:vAlign w:val="bottom"/>
          </w:tcPr>
          <w:p>
            <w:pPr>
              <w:pStyle w:val="TableContents"/>
              <w:spacing w:before="0" w:after="283"/>
              <w:jc w:val="right"/>
              <w:rPr/>
            </w:pPr>
            <w:r>
              <w:rPr/>
              <w:t>43,127</w:t>
            </w:r>
          </w:p>
        </w:tc>
        <w:tc>
          <w:tcPr>
            <w:tcW w:w="121" w:type="dxa"/>
            <w:tcBorders/>
            <w:shd w:fill="auto" w:val="clear"/>
            <w:vAlign w:val="bottom"/>
          </w:tcPr>
          <w:p>
            <w:pPr>
              <w:pStyle w:val="TableContents"/>
              <w:spacing w:before="0" w:after="283"/>
              <w:rPr/>
            </w:pPr>
            <w:r>
              <w:rPr/>
              <w:t> </w:t>
            </w:r>
          </w:p>
        </w:tc>
      </w:tr>
      <w:tr>
        <w:trPr/>
        <w:tc>
          <w:tcPr>
            <w:tcW w:w="6379" w:type="dxa"/>
            <w:tcBorders/>
            <w:shd w:fill="CCEEFF" w:val="clear"/>
            <w:vAlign w:val="bottom"/>
          </w:tcPr>
          <w:p>
            <w:pPr>
              <w:pStyle w:val="TableContents"/>
              <w:spacing w:before="0" w:after="0"/>
              <w:ind w:left="450" w:right="0" w:hanging="225"/>
              <w:rPr/>
            </w:pPr>
            <w:r>
              <w:rPr/>
              <w:t>Fair value</w:t>
            </w:r>
          </w:p>
        </w:tc>
        <w:tc>
          <w:tcPr>
            <w:tcW w:w="423"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91,741</w:t>
            </w:r>
          </w:p>
        </w:tc>
        <w:tc>
          <w:tcPr>
            <w:tcW w:w="141"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75,520</w:t>
            </w:r>
          </w:p>
        </w:tc>
        <w:tc>
          <w:tcPr>
            <w:tcW w:w="121" w:type="dxa"/>
            <w:tcBorders/>
            <w:shd w:fill="CCEEFF"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0"/>
              <w:ind w:left="225" w:right="0" w:hanging="225"/>
              <w:rPr/>
            </w:pPr>
            <w:r>
              <w:rPr/>
              <w:t> </w:t>
            </w:r>
          </w:p>
        </w:tc>
        <w:tc>
          <w:tcPr>
            <w:tcW w:w="423"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0"/>
              <w:ind w:left="225" w:right="0" w:hanging="225"/>
              <w:rPr/>
            </w:pPr>
            <w:r>
              <w:rPr/>
              <w:t>Cash Converters:</w:t>
            </w:r>
          </w:p>
        </w:tc>
        <w:tc>
          <w:tcPr>
            <w:tcW w:w="423"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379" w:type="dxa"/>
            <w:tcBorders/>
            <w:shd w:fill="CCEEFF" w:val="clear"/>
            <w:vAlign w:val="bottom"/>
          </w:tcPr>
          <w:p>
            <w:pPr>
              <w:pStyle w:val="TableContents"/>
              <w:spacing w:before="0" w:after="0"/>
              <w:ind w:left="450" w:right="0" w:hanging="225"/>
              <w:rPr/>
            </w:pPr>
            <w:r>
              <w:rPr/>
              <w:t>Recorded value</w:t>
            </w:r>
          </w:p>
        </w:tc>
        <w:tc>
          <w:tcPr>
            <w:tcW w:w="423"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71,958</w:t>
            </w:r>
          </w:p>
        </w:tc>
        <w:tc>
          <w:tcPr>
            <w:tcW w:w="141"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58,259</w:t>
            </w:r>
          </w:p>
        </w:tc>
        <w:tc>
          <w:tcPr>
            <w:tcW w:w="121" w:type="dxa"/>
            <w:tcBorders/>
            <w:shd w:fill="CCEEFF" w:val="clear"/>
            <w:vAlign w:val="bottom"/>
          </w:tcPr>
          <w:p>
            <w:pPr>
              <w:pStyle w:val="TableContents"/>
              <w:spacing w:before="0" w:after="283"/>
              <w:rPr/>
            </w:pPr>
            <w:r>
              <w:rPr/>
              <w:t> </w:t>
            </w:r>
          </w:p>
        </w:tc>
      </w:tr>
      <w:tr>
        <w:trPr/>
        <w:tc>
          <w:tcPr>
            <w:tcW w:w="6379" w:type="dxa"/>
            <w:tcBorders/>
            <w:shd w:fill="auto" w:val="clear"/>
            <w:vAlign w:val="bottom"/>
          </w:tcPr>
          <w:p>
            <w:pPr>
              <w:pStyle w:val="TableContents"/>
              <w:spacing w:before="0" w:after="0"/>
              <w:ind w:left="450" w:right="0" w:hanging="225"/>
              <w:rPr/>
            </w:pPr>
            <w:r>
              <w:rPr/>
              <w:t>Fair value</w:t>
            </w:r>
          </w:p>
        </w:tc>
        <w:tc>
          <w:tcPr>
            <w:tcW w:w="423"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53,600</w:t>
            </w:r>
          </w:p>
        </w:tc>
        <w:tc>
          <w:tcPr>
            <w:tcW w:w="141"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70,005</w:t>
            </w:r>
          </w:p>
        </w:tc>
        <w:tc>
          <w:tcPr>
            <w:tcW w:w="121"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August 2011, legislation was proposed in Australia that would, among other things, limit the interest charged on certain consumer loans and prohibit loan extensions and refinancings. If this legislation is enacted in its currently proposed form, Cash Converters consumer loan business in Australia may be adversely affected, which could have the effect of decreasing Cash Converters revenues and earnings. Cash Converters has announced that it is considering a wide range of steps which it can implement to reduce the potential adverse impact if the proposed legislation is enacted and that it believes it may be able to substantially reduce the adverse effects. As of September 30, 2011, the fair value of our investment in Cash Converters (based on the market price of Cash Converters stock as of that date) was below our recorded value. In light of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Cash Converters statements regarding its ability to mitigate the potential impact of the proposed legislation, we consider this loss in value to be temporary.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Other Assets, net on our balance sheets are available for sale securities with a fair value of $5.4 million at September 30, 2011 and $4.9 million at September 30, 2010. This is considered to be a level one measurement of fair value as it is based on the ending market price for the securities at that date, as quoted on an active public securities exchange.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E: Property and Equipment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Major classifications of property and equipment were as follows: </w:t>
      </w:r>
    </w:p>
    <w:tbl>
      <w:tblPr>
        <w:tblW w:w="5000" w:type="pct"/>
        <w:jc w:val="center"/>
        <w:tblInd w:w="0" w:type="dxa"/>
        <w:tblCellMar>
          <w:top w:w="0" w:type="dxa"/>
          <w:left w:w="0" w:type="dxa"/>
          <w:bottom w:w="0" w:type="dxa"/>
          <w:right w:w="0" w:type="dxa"/>
        </w:tblCellMar>
      </w:tblPr>
      <w:tblGrid>
        <w:gridCol w:w="1837"/>
        <w:gridCol w:w="206"/>
        <w:gridCol w:w="151"/>
        <w:gridCol w:w="843"/>
        <w:gridCol w:w="82"/>
        <w:gridCol w:w="206"/>
        <w:gridCol w:w="182"/>
        <w:gridCol w:w="1105"/>
        <w:gridCol w:w="112"/>
        <w:gridCol w:w="206"/>
        <w:gridCol w:w="169"/>
        <w:gridCol w:w="833"/>
        <w:gridCol w:w="82"/>
        <w:gridCol w:w="206"/>
        <w:gridCol w:w="151"/>
        <w:gridCol w:w="843"/>
        <w:gridCol w:w="82"/>
        <w:gridCol w:w="206"/>
        <w:gridCol w:w="182"/>
        <w:gridCol w:w="1105"/>
        <w:gridCol w:w="112"/>
        <w:gridCol w:w="205"/>
        <w:gridCol w:w="170"/>
        <w:gridCol w:w="833"/>
        <w:gridCol w:w="96"/>
      </w:tblGrid>
      <w:tr>
        <w:trPr/>
        <w:tc>
          <w:tcPr>
            <w:tcW w:w="1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066" w:type="dxa"/>
            <w:gridSpan w:val="22"/>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96" w:type="dxa"/>
            <w:tcBorders/>
            <w:shd w:fill="auto"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889" w:type="dxa"/>
            <w:gridSpan w:val="10"/>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889" w:type="dxa"/>
            <w:gridSpan w:val="10"/>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96" w:type="dxa"/>
            <w:tcBorders/>
            <w:shd w:fill="auto"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066" w:type="dxa"/>
            <w:gridSpan w:val="22"/>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96" w:type="dxa"/>
            <w:tcBorders/>
            <w:shd w:fill="auto"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94" w:type="dxa"/>
            <w:gridSpan w:val="2"/>
            <w:tcBorders/>
            <w:shd w:fill="auto" w:val="clear"/>
            <w:vAlign w:val="bottom"/>
          </w:tcPr>
          <w:p>
            <w:pPr>
              <w:pStyle w:val="TableContents"/>
              <w:spacing w:before="0" w:after="283"/>
              <w:jc w:val="center"/>
              <w:rPr/>
            </w:pPr>
            <w:r>
              <w:rPr/>
              <w:t>Carrying</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87" w:type="dxa"/>
            <w:gridSpan w:val="2"/>
            <w:tcBorders/>
            <w:shd w:fill="auto" w:val="clear"/>
            <w:vAlign w:val="bottom"/>
          </w:tcPr>
          <w:p>
            <w:pPr>
              <w:pStyle w:val="TableContents"/>
              <w:spacing w:before="0" w:after="283"/>
              <w:jc w:val="center"/>
              <w:rPr/>
            </w:pPr>
            <w:r>
              <w:rPr/>
              <w:t>Accumulated</w:t>
            </w:r>
          </w:p>
        </w:tc>
        <w:tc>
          <w:tcPr>
            <w:tcW w:w="11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spacing w:before="0" w:after="283"/>
              <w:jc w:val="center"/>
              <w:rPr/>
            </w:pPr>
            <w:r>
              <w:rPr/>
              <w:t>Net Book</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94" w:type="dxa"/>
            <w:gridSpan w:val="2"/>
            <w:tcBorders/>
            <w:shd w:fill="auto" w:val="clear"/>
            <w:vAlign w:val="bottom"/>
          </w:tcPr>
          <w:p>
            <w:pPr>
              <w:pStyle w:val="TableContents"/>
              <w:spacing w:before="0" w:after="283"/>
              <w:jc w:val="center"/>
              <w:rPr/>
            </w:pPr>
            <w:r>
              <w:rPr/>
              <w:t>Carrying</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87" w:type="dxa"/>
            <w:gridSpan w:val="2"/>
            <w:tcBorders/>
            <w:shd w:fill="auto" w:val="clear"/>
            <w:vAlign w:val="bottom"/>
          </w:tcPr>
          <w:p>
            <w:pPr>
              <w:pStyle w:val="TableContents"/>
              <w:spacing w:before="0" w:after="283"/>
              <w:jc w:val="center"/>
              <w:rPr/>
            </w:pPr>
            <w:r>
              <w:rPr/>
              <w:t>Accumulated</w:t>
            </w:r>
          </w:p>
        </w:tc>
        <w:tc>
          <w:tcPr>
            <w:tcW w:w="11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03" w:type="dxa"/>
            <w:gridSpan w:val="2"/>
            <w:tcBorders/>
            <w:shd w:fill="auto" w:val="clear"/>
            <w:vAlign w:val="bottom"/>
          </w:tcPr>
          <w:p>
            <w:pPr>
              <w:pStyle w:val="TableContents"/>
              <w:spacing w:before="0" w:after="283"/>
              <w:jc w:val="center"/>
              <w:rPr/>
            </w:pPr>
            <w:r>
              <w:rPr/>
              <w:t>Net Book</w:t>
            </w:r>
          </w:p>
        </w:tc>
        <w:tc>
          <w:tcPr>
            <w:tcW w:w="96" w:type="dxa"/>
            <w:tcBorders/>
            <w:shd w:fill="auto"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94"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87" w:type="dxa"/>
            <w:gridSpan w:val="2"/>
            <w:tcBorders>
              <w:bottom w:val="single" w:sz="2" w:space="0" w:color="000000"/>
            </w:tcBorders>
            <w:shd w:fill="auto" w:val="clear"/>
            <w:tcMar>
              <w:bottom w:w="28" w:type="dxa"/>
            </w:tcMar>
            <w:vAlign w:val="bottom"/>
          </w:tcPr>
          <w:p>
            <w:pPr>
              <w:pStyle w:val="TableContents"/>
              <w:spacing w:before="0" w:after="283"/>
              <w:jc w:val="center"/>
              <w:rPr/>
            </w:pPr>
            <w:r>
              <w:rPr/>
              <w:t>Depreciation</w:t>
            </w:r>
          </w:p>
        </w:tc>
        <w:tc>
          <w:tcPr>
            <w:tcW w:w="11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02"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94"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87" w:type="dxa"/>
            <w:gridSpan w:val="2"/>
            <w:tcBorders>
              <w:bottom w:val="single" w:sz="2" w:space="0" w:color="000000"/>
            </w:tcBorders>
            <w:shd w:fill="auto" w:val="clear"/>
            <w:tcMar>
              <w:bottom w:w="28" w:type="dxa"/>
            </w:tcMar>
            <w:vAlign w:val="bottom"/>
          </w:tcPr>
          <w:p>
            <w:pPr>
              <w:pStyle w:val="TableContents"/>
              <w:spacing w:before="0" w:after="283"/>
              <w:jc w:val="center"/>
              <w:rPr/>
            </w:pPr>
            <w:r>
              <w:rPr/>
              <w:t>Depreciation</w:t>
            </w:r>
          </w:p>
        </w:tc>
        <w:tc>
          <w:tcPr>
            <w:tcW w:w="11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03"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96" w:type="dxa"/>
            <w:tcBorders/>
            <w:shd w:fill="auto" w:val="clear"/>
            <w:vAlign w:val="bottom"/>
          </w:tcPr>
          <w:p>
            <w:pPr>
              <w:pStyle w:val="TableContents"/>
              <w:spacing w:before="0" w:after="283"/>
              <w:rPr/>
            </w:pPr>
            <w:r>
              <w:rPr/>
              <w:t> </w:t>
            </w:r>
          </w:p>
        </w:tc>
      </w:tr>
      <w:tr>
        <w:trPr/>
        <w:tc>
          <w:tcPr>
            <w:tcW w:w="1837" w:type="dxa"/>
            <w:tcBorders/>
            <w:shd w:fill="CCEEFF" w:val="clear"/>
            <w:vAlign w:val="bottom"/>
          </w:tcPr>
          <w:p>
            <w:pPr>
              <w:pStyle w:val="TableContents"/>
              <w:spacing w:before="0" w:after="0"/>
              <w:ind w:left="225" w:right="0" w:hanging="225"/>
              <w:rPr/>
            </w:pPr>
            <w:r>
              <w:rPr/>
              <w:t>Land</w:t>
            </w:r>
          </w:p>
        </w:tc>
        <w:tc>
          <w:tcPr>
            <w:tcW w:w="2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43" w:type="dxa"/>
            <w:tcBorders/>
            <w:shd w:fill="CCEEFF" w:val="clear"/>
            <w:vAlign w:val="bottom"/>
          </w:tcPr>
          <w:p>
            <w:pPr>
              <w:pStyle w:val="TableContents"/>
              <w:spacing w:before="0" w:after="283"/>
              <w:jc w:val="right"/>
              <w:rPr/>
            </w:pPr>
            <w:r>
              <w:rPr/>
              <w:t>4</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105"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4</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43" w:type="dxa"/>
            <w:tcBorders/>
            <w:shd w:fill="CCEEFF" w:val="clear"/>
            <w:vAlign w:val="bottom"/>
          </w:tcPr>
          <w:p>
            <w:pPr>
              <w:pStyle w:val="TableContents"/>
              <w:spacing w:before="0" w:after="283"/>
              <w:jc w:val="right"/>
              <w:rPr/>
            </w:pPr>
            <w:r>
              <w:rPr/>
              <w:t></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105"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0"/>
              <w:ind w:left="225" w:right="0" w:hanging="225"/>
              <w:rPr/>
            </w:pPr>
            <w:r>
              <w:rPr/>
              <w:t>Buildings and improvements</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88,263</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1105" w:type="dxa"/>
            <w:tcBorders/>
            <w:shd w:fill="auto" w:val="clear"/>
            <w:vAlign w:val="bottom"/>
          </w:tcPr>
          <w:p>
            <w:pPr>
              <w:pStyle w:val="TableContents"/>
              <w:spacing w:before="0" w:after="283"/>
              <w:jc w:val="right"/>
              <w:rPr/>
            </w:pPr>
            <w:r>
              <w:rPr/>
              <w:t>(53,094</w:t>
            </w:r>
          </w:p>
        </w:tc>
        <w:tc>
          <w:tcPr>
            <w:tcW w:w="112" w:type="dxa"/>
            <w:tcBorders/>
            <w:shd w:fill="auto" w:val="clear"/>
            <w:vAlign w:val="bottom"/>
          </w:tcPr>
          <w:p>
            <w:pPr>
              <w:pStyle w:val="TableContents"/>
              <w:spacing w:before="0" w:after="283"/>
              <w:rPr/>
            </w:pPr>
            <w:r>
              <w:rPr/>
              <w:t>)</w:t>
            </w:r>
          </w:p>
        </w:tc>
        <w:tc>
          <w:tcPr>
            <w:tcW w:w="20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35,169</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78,997</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1105" w:type="dxa"/>
            <w:tcBorders/>
            <w:shd w:fill="auto" w:val="clear"/>
            <w:vAlign w:val="bottom"/>
          </w:tcPr>
          <w:p>
            <w:pPr>
              <w:pStyle w:val="TableContents"/>
              <w:spacing w:before="0" w:after="283"/>
              <w:jc w:val="right"/>
              <w:rPr/>
            </w:pPr>
            <w:r>
              <w:rPr/>
              <w:t>(47,851</w:t>
            </w:r>
          </w:p>
        </w:tc>
        <w:tc>
          <w:tcPr>
            <w:tcW w:w="112" w:type="dxa"/>
            <w:tcBorders/>
            <w:shd w:fill="auto" w:val="clear"/>
            <w:vAlign w:val="bottom"/>
          </w:tcPr>
          <w:p>
            <w:pPr>
              <w:pStyle w:val="TableContents"/>
              <w:spacing w:before="0" w:after="283"/>
              <w:rPr/>
            </w:pPr>
            <w:r>
              <w:rPr/>
              <w:t>)</w:t>
            </w:r>
          </w:p>
        </w:tc>
        <w:tc>
          <w:tcPr>
            <w:tcW w:w="20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31,146</w:t>
            </w:r>
          </w:p>
        </w:tc>
        <w:tc>
          <w:tcPr>
            <w:tcW w:w="96" w:type="dxa"/>
            <w:tcBorders/>
            <w:shd w:fill="auto" w:val="clear"/>
            <w:vAlign w:val="bottom"/>
          </w:tcPr>
          <w:p>
            <w:pPr>
              <w:pStyle w:val="TableContents"/>
              <w:spacing w:before="0" w:after="283"/>
              <w:rPr/>
            </w:pPr>
            <w:r>
              <w:rPr/>
              <w:t> </w:t>
            </w:r>
          </w:p>
        </w:tc>
      </w:tr>
      <w:tr>
        <w:trPr/>
        <w:tc>
          <w:tcPr>
            <w:tcW w:w="1837" w:type="dxa"/>
            <w:tcBorders/>
            <w:shd w:fill="CCEEFF" w:val="clear"/>
            <w:vAlign w:val="bottom"/>
          </w:tcPr>
          <w:p>
            <w:pPr>
              <w:pStyle w:val="TableContents"/>
              <w:spacing w:before="0" w:after="0"/>
              <w:ind w:left="225" w:right="0" w:hanging="225"/>
              <w:rPr/>
            </w:pPr>
            <w:r>
              <w:rPr/>
              <w:t>Furniture and equipment</w:t>
            </w:r>
          </w:p>
        </w:tc>
        <w:tc>
          <w:tcPr>
            <w:tcW w:w="2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85,654</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105" w:type="dxa"/>
            <w:tcBorders/>
            <w:shd w:fill="CCEEFF" w:val="clear"/>
            <w:vAlign w:val="bottom"/>
          </w:tcPr>
          <w:p>
            <w:pPr>
              <w:pStyle w:val="TableContents"/>
              <w:spacing w:before="0" w:after="283"/>
              <w:jc w:val="right"/>
              <w:rPr/>
            </w:pPr>
            <w:r>
              <w:rPr/>
              <w:t>(52,562</w:t>
            </w:r>
          </w:p>
        </w:tc>
        <w:tc>
          <w:tcPr>
            <w:tcW w:w="112" w:type="dxa"/>
            <w:tcBorders/>
            <w:shd w:fill="CCEEFF" w:val="clear"/>
            <w:vAlign w:val="bottom"/>
          </w:tcPr>
          <w:p>
            <w:pPr>
              <w:pStyle w:val="TableContents"/>
              <w:spacing w:before="0" w:after="283"/>
              <w:rPr/>
            </w:pPr>
            <w:r>
              <w:rPr/>
              <w:t>)</w:t>
            </w:r>
          </w:p>
        </w:tc>
        <w:tc>
          <w:tcPr>
            <w:tcW w:w="20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33,092</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70,419</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105" w:type="dxa"/>
            <w:tcBorders/>
            <w:shd w:fill="CCEEFF" w:val="clear"/>
            <w:vAlign w:val="bottom"/>
          </w:tcPr>
          <w:p>
            <w:pPr>
              <w:pStyle w:val="TableContents"/>
              <w:spacing w:before="0" w:after="283"/>
              <w:jc w:val="right"/>
              <w:rPr/>
            </w:pPr>
            <w:r>
              <w:rPr/>
              <w:t>(44,209</w:t>
            </w:r>
          </w:p>
        </w:tc>
        <w:tc>
          <w:tcPr>
            <w:tcW w:w="112" w:type="dxa"/>
            <w:tcBorders/>
            <w:shd w:fill="CCEEFF" w:val="clear"/>
            <w:vAlign w:val="bottom"/>
          </w:tcPr>
          <w:p>
            <w:pPr>
              <w:pStyle w:val="TableContents"/>
              <w:spacing w:before="0" w:after="283"/>
              <w:rPr/>
            </w:pPr>
            <w:r>
              <w:rPr/>
              <w:t>)</w:t>
            </w:r>
          </w:p>
        </w:tc>
        <w:tc>
          <w:tcPr>
            <w:tcW w:w="20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26,210</w:t>
            </w:r>
          </w:p>
        </w:tc>
        <w:tc>
          <w:tcPr>
            <w:tcW w:w="96" w:type="dxa"/>
            <w:tcBorders/>
            <w:shd w:fill="CCEEFF" w:val="clear"/>
            <w:vAlign w:val="bottom"/>
          </w:tcPr>
          <w:p>
            <w:pPr>
              <w:pStyle w:val="TableContents"/>
              <w:spacing w:before="0" w:after="283"/>
              <w:rPr/>
            </w:pPr>
            <w:r>
              <w:rPr/>
              <w:t> </w:t>
            </w:r>
          </w:p>
        </w:tc>
      </w:tr>
      <w:tr>
        <w:trPr/>
        <w:tc>
          <w:tcPr>
            <w:tcW w:w="1837" w:type="dxa"/>
            <w:tcBorders/>
            <w:shd w:fill="auto" w:val="clear"/>
            <w:vAlign w:val="bottom"/>
          </w:tcPr>
          <w:p>
            <w:pPr>
              <w:pStyle w:val="TableContents"/>
              <w:spacing w:before="0" w:after="0"/>
              <w:ind w:left="225" w:right="0" w:hanging="225"/>
              <w:rPr/>
            </w:pPr>
            <w:r>
              <w:rPr/>
              <w:t>Software</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28,653</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1105" w:type="dxa"/>
            <w:tcBorders/>
            <w:shd w:fill="auto" w:val="clear"/>
            <w:vAlign w:val="bottom"/>
          </w:tcPr>
          <w:p>
            <w:pPr>
              <w:pStyle w:val="TableContents"/>
              <w:spacing w:before="0" w:after="283"/>
              <w:jc w:val="right"/>
              <w:rPr/>
            </w:pPr>
            <w:r>
              <w:rPr/>
              <w:t>(23,238</w:t>
            </w:r>
          </w:p>
        </w:tc>
        <w:tc>
          <w:tcPr>
            <w:tcW w:w="112" w:type="dxa"/>
            <w:tcBorders/>
            <w:shd w:fill="auto" w:val="clear"/>
            <w:vAlign w:val="bottom"/>
          </w:tcPr>
          <w:p>
            <w:pPr>
              <w:pStyle w:val="TableContents"/>
              <w:spacing w:before="0" w:after="283"/>
              <w:rPr/>
            </w:pPr>
            <w:r>
              <w:rPr/>
              <w:t>)</w:t>
            </w:r>
          </w:p>
        </w:tc>
        <w:tc>
          <w:tcPr>
            <w:tcW w:w="20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5,415</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25,128</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1105" w:type="dxa"/>
            <w:tcBorders/>
            <w:shd w:fill="auto" w:val="clear"/>
            <w:vAlign w:val="bottom"/>
          </w:tcPr>
          <w:p>
            <w:pPr>
              <w:pStyle w:val="TableContents"/>
              <w:spacing w:before="0" w:after="283"/>
              <w:jc w:val="right"/>
              <w:rPr/>
            </w:pPr>
            <w:r>
              <w:rPr/>
              <w:t>(21,871</w:t>
            </w:r>
          </w:p>
        </w:tc>
        <w:tc>
          <w:tcPr>
            <w:tcW w:w="112" w:type="dxa"/>
            <w:tcBorders/>
            <w:shd w:fill="auto" w:val="clear"/>
            <w:vAlign w:val="bottom"/>
          </w:tcPr>
          <w:p>
            <w:pPr>
              <w:pStyle w:val="TableContents"/>
              <w:spacing w:before="0" w:after="283"/>
              <w:rPr/>
            </w:pPr>
            <w:r>
              <w:rPr/>
              <w:t>)</w:t>
            </w:r>
          </w:p>
        </w:tc>
        <w:tc>
          <w:tcPr>
            <w:tcW w:w="20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3,257</w:t>
            </w:r>
          </w:p>
        </w:tc>
        <w:tc>
          <w:tcPr>
            <w:tcW w:w="96" w:type="dxa"/>
            <w:tcBorders/>
            <w:shd w:fill="auto" w:val="clear"/>
            <w:vAlign w:val="bottom"/>
          </w:tcPr>
          <w:p>
            <w:pPr>
              <w:pStyle w:val="TableContents"/>
              <w:spacing w:before="0" w:after="283"/>
              <w:rPr/>
            </w:pPr>
            <w:r>
              <w:rPr/>
              <w:t> </w:t>
            </w:r>
          </w:p>
        </w:tc>
      </w:tr>
      <w:tr>
        <w:trPr/>
        <w:tc>
          <w:tcPr>
            <w:tcW w:w="1837" w:type="dxa"/>
            <w:tcBorders/>
            <w:shd w:fill="CCEEFF" w:val="clear"/>
            <w:vAlign w:val="bottom"/>
          </w:tcPr>
          <w:p>
            <w:pPr>
              <w:pStyle w:val="TableContents"/>
              <w:spacing w:before="0" w:after="0"/>
              <w:ind w:left="225" w:right="0" w:hanging="225"/>
              <w:rPr/>
            </w:pPr>
            <w:r>
              <w:rPr/>
              <w:t>Construction in progress</w:t>
            </w:r>
          </w:p>
        </w:tc>
        <w:tc>
          <w:tcPr>
            <w:tcW w:w="2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4,818</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4,818</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1,680</w:t>
            </w:r>
          </w:p>
        </w:tc>
        <w:tc>
          <w:tcPr>
            <w:tcW w:w="8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1,680</w:t>
            </w:r>
          </w:p>
        </w:tc>
        <w:tc>
          <w:tcPr>
            <w:tcW w:w="96" w:type="dxa"/>
            <w:tcBorders/>
            <w:shd w:fill="CCEEFF" w:val="clear"/>
            <w:vAlign w:val="bottom"/>
          </w:tcPr>
          <w:p>
            <w:pPr>
              <w:pStyle w:val="TableContents"/>
              <w:spacing w:before="0" w:after="283"/>
              <w:rPr/>
            </w:pPr>
            <w:r>
              <w:rPr/>
              <w:t> </w:t>
            </w:r>
          </w:p>
        </w:tc>
      </w:tr>
      <w:tr>
        <w:trPr/>
        <w:tc>
          <w:tcPr>
            <w:tcW w:w="1837" w:type="dxa"/>
            <w:tcBorders/>
            <w:shd w:fill="auto" w:val="clear"/>
            <w:vAlign w:val="center"/>
          </w:tcPr>
          <w:p>
            <w:pPr>
              <w:pStyle w:val="TableContents"/>
              <w:spacing w:before="0" w:after="0"/>
              <w:ind w:left="225" w:right="0" w:hanging="225"/>
              <w:rPr/>
            </w:pPr>
            <w:r>
              <w:rPr/>
              <w:t> </w:t>
            </w:r>
          </w:p>
        </w:tc>
        <w:tc>
          <w:tcPr>
            <w:tcW w:w="206" w:type="dxa"/>
            <w:tcBorders/>
            <w:shd w:fill="auto" w:val="clear"/>
            <w:vAlign w:val="center"/>
          </w:tcPr>
          <w:p>
            <w:pPr>
              <w:pStyle w:val="TableContents"/>
              <w:spacing w:before="0" w:after="283"/>
              <w:rPr/>
            </w:pPr>
            <w:r>
              <w:rPr/>
              <w:t> </w:t>
            </w:r>
          </w:p>
        </w:tc>
        <w:tc>
          <w:tcPr>
            <w:tcW w:w="9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9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r>
      <w:tr>
        <w:trPr/>
        <w:tc>
          <w:tcPr>
            <w:tcW w:w="1837" w:type="dxa"/>
            <w:tcBorders/>
            <w:shd w:fill="auto" w:val="clear"/>
            <w:vAlign w:val="bottom"/>
          </w:tcPr>
          <w:p>
            <w:pPr>
              <w:pStyle w:val="TableContents"/>
              <w:spacing w:before="0" w:after="0"/>
              <w:ind w:left="225" w:right="0" w:hanging="225"/>
              <w:rPr/>
            </w:pPr>
            <w:r>
              <w:rPr/>
              <w:t>Total</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43" w:type="dxa"/>
            <w:tcBorders/>
            <w:shd w:fill="auto" w:val="clear"/>
            <w:vAlign w:val="bottom"/>
          </w:tcPr>
          <w:p>
            <w:pPr>
              <w:pStyle w:val="TableContents"/>
              <w:spacing w:before="0" w:after="283"/>
              <w:jc w:val="right"/>
              <w:rPr/>
            </w:pPr>
            <w:r>
              <w:rPr/>
              <w:t>207,392</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105" w:type="dxa"/>
            <w:tcBorders/>
            <w:shd w:fill="auto" w:val="clear"/>
            <w:vAlign w:val="bottom"/>
          </w:tcPr>
          <w:p>
            <w:pPr>
              <w:pStyle w:val="TableContents"/>
              <w:spacing w:before="0" w:after="283"/>
              <w:jc w:val="right"/>
              <w:rPr/>
            </w:pPr>
            <w:r>
              <w:rPr/>
              <w:t>(128,894</w:t>
            </w:r>
          </w:p>
        </w:tc>
        <w:tc>
          <w:tcPr>
            <w:tcW w:w="112" w:type="dxa"/>
            <w:tcBorders/>
            <w:shd w:fill="auto" w:val="clear"/>
            <w:vAlign w:val="bottom"/>
          </w:tcPr>
          <w:p>
            <w:pPr>
              <w:pStyle w:val="TableContents"/>
              <w:spacing w:before="0" w:after="283"/>
              <w:rPr/>
            </w:pPr>
            <w:r>
              <w:rPr/>
              <w:t>)</w:t>
            </w:r>
          </w:p>
        </w:tc>
        <w:tc>
          <w:tcPr>
            <w:tcW w:w="20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78,498</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43" w:type="dxa"/>
            <w:tcBorders/>
            <w:shd w:fill="auto" w:val="clear"/>
            <w:vAlign w:val="bottom"/>
          </w:tcPr>
          <w:p>
            <w:pPr>
              <w:pStyle w:val="TableContents"/>
              <w:spacing w:before="0" w:after="283"/>
              <w:jc w:val="right"/>
              <w:rPr/>
            </w:pPr>
            <w:r>
              <w:rPr/>
              <w:t>176,224</w:t>
            </w:r>
          </w:p>
        </w:tc>
        <w:tc>
          <w:tcPr>
            <w:tcW w:w="8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105" w:type="dxa"/>
            <w:tcBorders/>
            <w:shd w:fill="auto" w:val="clear"/>
            <w:vAlign w:val="bottom"/>
          </w:tcPr>
          <w:p>
            <w:pPr>
              <w:pStyle w:val="TableContents"/>
              <w:spacing w:before="0" w:after="283"/>
              <w:jc w:val="right"/>
              <w:rPr/>
            </w:pPr>
            <w:r>
              <w:rPr/>
              <w:t>(113,931</w:t>
            </w:r>
          </w:p>
        </w:tc>
        <w:tc>
          <w:tcPr>
            <w:tcW w:w="112" w:type="dxa"/>
            <w:tcBorders/>
            <w:shd w:fill="auto" w:val="clear"/>
            <w:vAlign w:val="bottom"/>
          </w:tcPr>
          <w:p>
            <w:pPr>
              <w:pStyle w:val="TableContents"/>
              <w:spacing w:before="0" w:after="283"/>
              <w:rPr/>
            </w:pPr>
            <w:r>
              <w:rPr/>
              <w:t>)</w:t>
            </w:r>
          </w:p>
        </w:tc>
        <w:tc>
          <w:tcPr>
            <w:tcW w:w="20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62,293</w:t>
            </w:r>
          </w:p>
        </w:tc>
        <w:tc>
          <w:tcPr>
            <w:tcW w:w="96" w:type="dxa"/>
            <w:tcBorders/>
            <w:shd w:fill="auto" w:val="clear"/>
            <w:vAlign w:val="bottom"/>
          </w:tcPr>
          <w:p>
            <w:pPr>
              <w:pStyle w:val="TableContents"/>
              <w:spacing w:before="0" w:after="283"/>
              <w:rPr/>
            </w:pPr>
            <w:r>
              <w:rPr/>
              <w:t> </w:t>
            </w:r>
          </w:p>
        </w:tc>
      </w:tr>
      <w:tr>
        <w:trPr/>
        <w:tc>
          <w:tcPr>
            <w:tcW w:w="1837" w:type="dxa"/>
            <w:tcBorders/>
            <w:shd w:fill="auto" w:val="clear"/>
            <w:vAlign w:val="center"/>
          </w:tcPr>
          <w:p>
            <w:pPr>
              <w:pStyle w:val="TableContents"/>
              <w:spacing w:before="0" w:after="0"/>
              <w:ind w:left="225" w:right="0" w:hanging="225"/>
              <w:rPr/>
            </w:pPr>
            <w:r>
              <w:rPr/>
              <w:t> </w:t>
            </w:r>
          </w:p>
        </w:tc>
        <w:tc>
          <w:tcPr>
            <w:tcW w:w="206" w:type="dxa"/>
            <w:tcBorders/>
            <w:shd w:fill="auto" w:val="clear"/>
            <w:vAlign w:val="center"/>
          </w:tcPr>
          <w:p>
            <w:pPr>
              <w:pStyle w:val="TableContents"/>
              <w:spacing w:before="0" w:after="283"/>
              <w:rPr/>
            </w:pPr>
            <w:r>
              <w:rPr/>
              <w:t> </w:t>
            </w:r>
          </w:p>
        </w:tc>
        <w:tc>
          <w:tcPr>
            <w:tcW w:w="9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9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expense for fiscal 2011, 2010 and 2009 was $17.5 million, $14.0 million and $12.3 million. Included in these amounts for fiscal 2011, 2010 and 2009 is $1.4 million, $0.9 million and $1.0 million of depreciation expense related to capitalized computer software.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F: Goodwill and Other Intangible Assets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balance of each major class of indefinite-lived intangible asset at the specified dates: </w:t>
      </w:r>
    </w:p>
    <w:tbl>
      <w:tblPr>
        <w:tblW w:w="5000" w:type="pct"/>
        <w:jc w:val="center"/>
        <w:tblInd w:w="0" w:type="dxa"/>
        <w:tblCellMar>
          <w:top w:w="0" w:type="dxa"/>
          <w:left w:w="0" w:type="dxa"/>
          <w:bottom w:w="0" w:type="dxa"/>
          <w:right w:w="0" w:type="dxa"/>
        </w:tblCellMar>
      </w:tblPr>
      <w:tblGrid>
        <w:gridCol w:w="7089"/>
        <w:gridCol w:w="472"/>
        <w:gridCol w:w="153"/>
        <w:gridCol w:w="814"/>
        <w:gridCol w:w="116"/>
        <w:gridCol w:w="472"/>
        <w:gridCol w:w="153"/>
        <w:gridCol w:w="814"/>
        <w:gridCol w:w="122"/>
      </w:tblGrid>
      <w:tr>
        <w:trPr/>
        <w:tc>
          <w:tcPr>
            <w:tcW w:w="7089"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089"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522"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22" w:type="dxa"/>
            <w:tcBorders/>
            <w:shd w:fill="auto" w:val="clear"/>
            <w:vAlign w:val="bottom"/>
          </w:tcPr>
          <w:p>
            <w:pPr>
              <w:pStyle w:val="TableContents"/>
              <w:spacing w:before="0" w:after="283"/>
              <w:rPr/>
            </w:pPr>
            <w:r>
              <w:rPr/>
              <w:t> </w:t>
            </w:r>
          </w:p>
        </w:tc>
      </w:tr>
      <w:tr>
        <w:trPr/>
        <w:tc>
          <w:tcPr>
            <w:tcW w:w="7089"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96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6"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96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2" w:type="dxa"/>
            <w:tcBorders/>
            <w:shd w:fill="auto" w:val="clear"/>
            <w:vAlign w:val="bottom"/>
          </w:tcPr>
          <w:p>
            <w:pPr>
              <w:pStyle w:val="TableContents"/>
              <w:spacing w:before="0" w:after="283"/>
              <w:rPr/>
            </w:pPr>
            <w:r>
              <w:rPr/>
              <w:t> </w:t>
            </w:r>
          </w:p>
        </w:tc>
      </w:tr>
      <w:tr>
        <w:trPr/>
        <w:tc>
          <w:tcPr>
            <w:tcW w:w="7089"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522" w:type="dxa"/>
            <w:gridSpan w:val="6"/>
            <w:tcBorders/>
            <w:shd w:fill="auto" w:val="clear"/>
            <w:vAlign w:val="bottom"/>
          </w:tcPr>
          <w:p>
            <w:pPr>
              <w:pStyle w:val="TableContents"/>
              <w:spacing w:before="0" w:after="283"/>
              <w:jc w:val="center"/>
              <w:rPr>
                <w:i/>
              </w:rPr>
            </w:pPr>
            <w:r>
              <w:rPr>
                <w:i/>
              </w:rPr>
              <w:t>(In thousands)</w:t>
            </w:r>
          </w:p>
        </w:tc>
        <w:tc>
          <w:tcPr>
            <w:tcW w:w="122" w:type="dxa"/>
            <w:tcBorders/>
            <w:shd w:fill="auto" w:val="clear"/>
            <w:vAlign w:val="bottom"/>
          </w:tcPr>
          <w:p>
            <w:pPr>
              <w:pStyle w:val="TableContents"/>
              <w:spacing w:before="0" w:after="283"/>
              <w:rPr/>
            </w:pPr>
            <w:r>
              <w:rPr/>
              <w:t> </w:t>
            </w:r>
          </w:p>
        </w:tc>
      </w:tr>
      <w:tr>
        <w:trPr/>
        <w:tc>
          <w:tcPr>
            <w:tcW w:w="7089" w:type="dxa"/>
            <w:tcBorders/>
            <w:shd w:fill="CCEEFF" w:val="clear"/>
            <w:vAlign w:val="bottom"/>
          </w:tcPr>
          <w:p>
            <w:pPr>
              <w:pStyle w:val="TableContents"/>
              <w:spacing w:before="0" w:after="0"/>
              <w:ind w:left="225" w:right="0" w:hanging="225"/>
              <w:rPr/>
            </w:pPr>
            <w:r>
              <w:rPr/>
              <w:t>Pawn licenses</w:t>
            </w:r>
          </w:p>
        </w:tc>
        <w:tc>
          <w:tcPr>
            <w:tcW w:w="47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8,836</w:t>
            </w:r>
          </w:p>
        </w:tc>
        <w:tc>
          <w:tcPr>
            <w:tcW w:w="116"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8,836</w:t>
            </w:r>
          </w:p>
        </w:tc>
        <w:tc>
          <w:tcPr>
            <w:tcW w:w="122" w:type="dxa"/>
            <w:tcBorders/>
            <w:shd w:fill="CCEEFF" w:val="clear"/>
            <w:vAlign w:val="bottom"/>
          </w:tcPr>
          <w:p>
            <w:pPr>
              <w:pStyle w:val="TableContents"/>
              <w:spacing w:before="0" w:after="283"/>
              <w:rPr/>
            </w:pPr>
            <w:r>
              <w:rPr/>
              <w:t> </w:t>
            </w:r>
          </w:p>
        </w:tc>
      </w:tr>
      <w:tr>
        <w:trPr/>
        <w:tc>
          <w:tcPr>
            <w:tcW w:w="7089" w:type="dxa"/>
            <w:tcBorders/>
            <w:shd w:fill="auto" w:val="clear"/>
            <w:vAlign w:val="bottom"/>
          </w:tcPr>
          <w:p>
            <w:pPr>
              <w:pStyle w:val="TableContents"/>
              <w:spacing w:before="0" w:after="0"/>
              <w:ind w:left="225" w:right="0" w:hanging="225"/>
              <w:rPr/>
            </w:pPr>
            <w:r>
              <w:rPr/>
              <w:t>Trade name</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4,870</w:t>
            </w:r>
          </w:p>
        </w:tc>
        <w:tc>
          <w:tcPr>
            <w:tcW w:w="116"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4,870</w:t>
            </w:r>
          </w:p>
        </w:tc>
        <w:tc>
          <w:tcPr>
            <w:tcW w:w="122" w:type="dxa"/>
            <w:tcBorders/>
            <w:shd w:fill="auto" w:val="clear"/>
            <w:vAlign w:val="bottom"/>
          </w:tcPr>
          <w:p>
            <w:pPr>
              <w:pStyle w:val="TableContents"/>
              <w:spacing w:before="0" w:after="283"/>
              <w:rPr/>
            </w:pPr>
            <w:r>
              <w:rPr/>
              <w:t> </w:t>
            </w:r>
          </w:p>
        </w:tc>
      </w:tr>
      <w:tr>
        <w:trPr/>
        <w:tc>
          <w:tcPr>
            <w:tcW w:w="7089" w:type="dxa"/>
            <w:tcBorders/>
            <w:shd w:fill="CCEEFF" w:val="clear"/>
            <w:vAlign w:val="bottom"/>
          </w:tcPr>
          <w:p>
            <w:pPr>
              <w:pStyle w:val="TableContents"/>
              <w:spacing w:before="0" w:after="0"/>
              <w:ind w:left="225" w:right="0" w:hanging="225"/>
              <w:rPr/>
            </w:pPr>
            <w:r>
              <w:rPr/>
              <w:t>Goodwill</w:t>
            </w:r>
          </w:p>
        </w:tc>
        <w:tc>
          <w:tcPr>
            <w:tcW w:w="47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173,206</w:t>
            </w:r>
          </w:p>
        </w:tc>
        <w:tc>
          <w:tcPr>
            <w:tcW w:w="116"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117,305</w:t>
            </w:r>
          </w:p>
        </w:tc>
        <w:tc>
          <w:tcPr>
            <w:tcW w:w="122" w:type="dxa"/>
            <w:tcBorders/>
            <w:shd w:fill="CCEEFF" w:val="clear"/>
            <w:vAlign w:val="bottom"/>
          </w:tcPr>
          <w:p>
            <w:pPr>
              <w:pStyle w:val="TableContents"/>
              <w:spacing w:before="0" w:after="283"/>
              <w:rPr/>
            </w:pPr>
            <w:r>
              <w:rPr/>
              <w:t> </w:t>
            </w:r>
          </w:p>
        </w:tc>
      </w:tr>
      <w:tr>
        <w:trPr/>
        <w:tc>
          <w:tcPr>
            <w:tcW w:w="7089" w:type="dxa"/>
            <w:tcBorders/>
            <w:shd w:fill="auto" w:val="clear"/>
            <w:vAlign w:val="center"/>
          </w:tcPr>
          <w:p>
            <w:pPr>
              <w:pStyle w:val="TableContents"/>
              <w:spacing w:before="0" w:after="0"/>
              <w:ind w:left="225" w:right="0" w:hanging="225"/>
              <w:rPr/>
            </w:pPr>
            <w:r>
              <w:rPr/>
              <w:t> </w:t>
            </w:r>
          </w:p>
        </w:tc>
        <w:tc>
          <w:tcPr>
            <w:tcW w:w="47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7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7089" w:type="dxa"/>
            <w:tcBorders/>
            <w:shd w:fill="auto" w:val="clear"/>
            <w:vAlign w:val="bottom"/>
          </w:tcPr>
          <w:p>
            <w:pPr>
              <w:pStyle w:val="TableContents"/>
              <w:spacing w:before="0" w:after="0"/>
              <w:ind w:left="225" w:right="0" w:hanging="225"/>
              <w:rPr/>
            </w:pPr>
            <w:r>
              <w:rPr/>
              <w:t>Total</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186,912</w:t>
            </w:r>
          </w:p>
        </w:tc>
        <w:tc>
          <w:tcPr>
            <w:tcW w:w="116"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131,011</w:t>
            </w:r>
          </w:p>
        </w:tc>
        <w:tc>
          <w:tcPr>
            <w:tcW w:w="122" w:type="dxa"/>
            <w:tcBorders/>
            <w:shd w:fill="auto" w:val="clear"/>
            <w:vAlign w:val="bottom"/>
          </w:tcPr>
          <w:p>
            <w:pPr>
              <w:pStyle w:val="TableContents"/>
              <w:spacing w:before="0" w:after="283"/>
              <w:rPr/>
            </w:pPr>
            <w:r>
              <w:rPr/>
              <w:t> </w:t>
            </w:r>
          </w:p>
        </w:tc>
      </w:tr>
      <w:tr>
        <w:trPr/>
        <w:tc>
          <w:tcPr>
            <w:tcW w:w="7089" w:type="dxa"/>
            <w:tcBorders/>
            <w:shd w:fill="auto" w:val="clear"/>
            <w:vAlign w:val="center"/>
          </w:tcPr>
          <w:p>
            <w:pPr>
              <w:pStyle w:val="TableContents"/>
              <w:spacing w:before="0" w:after="0"/>
              <w:ind w:left="225" w:right="0" w:hanging="225"/>
              <w:rPr/>
            </w:pPr>
            <w:r>
              <w:rPr/>
              <w:t> </w:t>
            </w:r>
          </w:p>
        </w:tc>
        <w:tc>
          <w:tcPr>
            <w:tcW w:w="47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7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changes in the carrying value of goodwill, by segment, for the fiscal years ended September 30, 2011 and 2010: </w:t>
      </w:r>
    </w:p>
    <w:tbl>
      <w:tblPr>
        <w:tblW w:w="5000" w:type="pct"/>
        <w:jc w:val="center"/>
        <w:tblInd w:w="0" w:type="dxa"/>
        <w:tblCellMar>
          <w:top w:w="0" w:type="dxa"/>
          <w:left w:w="0" w:type="dxa"/>
          <w:bottom w:w="0" w:type="dxa"/>
          <w:right w:w="0" w:type="dxa"/>
        </w:tblCellMar>
      </w:tblPr>
      <w:tblGrid>
        <w:gridCol w:w="3497"/>
        <w:gridCol w:w="289"/>
        <w:gridCol w:w="189"/>
        <w:gridCol w:w="1049"/>
        <w:gridCol w:w="101"/>
        <w:gridCol w:w="289"/>
        <w:gridCol w:w="194"/>
        <w:gridCol w:w="826"/>
        <w:gridCol w:w="133"/>
        <w:gridCol w:w="288"/>
        <w:gridCol w:w="502"/>
        <w:gridCol w:w="886"/>
        <w:gridCol w:w="101"/>
        <w:gridCol w:w="289"/>
        <w:gridCol w:w="217"/>
        <w:gridCol w:w="1211"/>
        <w:gridCol w:w="144"/>
      </w:tblGrid>
      <w:tr>
        <w:trPr/>
        <w:tc>
          <w:tcPr>
            <w:tcW w:w="349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20" w:type="dxa"/>
            <w:gridSpan w:val="2"/>
            <w:tcBorders/>
            <w:shd w:fill="auto" w:val="clear"/>
            <w:vAlign w:val="bottom"/>
          </w:tcPr>
          <w:p>
            <w:pPr>
              <w:pStyle w:val="TableContents"/>
              <w:spacing w:before="0" w:after="283"/>
              <w:jc w:val="center"/>
              <w:rPr/>
            </w:pPr>
            <w:r>
              <w:rPr/>
              <w:t>Empeño</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88"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28" w:type="dxa"/>
            <w:gridSpan w:val="2"/>
            <w:tcBorders/>
            <w:shd w:fill="auto" w:val="clear"/>
            <w:vAlign w:val="bottom"/>
          </w:tcPr>
          <w:p>
            <w:pPr>
              <w:pStyle w:val="TableContents"/>
              <w:spacing w:before="0" w:after="283"/>
              <w:jc w:val="center"/>
              <w:rPr/>
            </w:pPr>
            <w:r>
              <w:rPr/>
              <w:t> </w:t>
            </w:r>
          </w:p>
        </w:tc>
        <w:tc>
          <w:tcPr>
            <w:tcW w:w="144" w:type="dxa"/>
            <w:tcBorders/>
            <w:shd w:fill="auto"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38"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20"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88"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28"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44" w:type="dxa"/>
            <w:tcBorders/>
            <w:shd w:fill="auto"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829" w:type="dxa"/>
            <w:gridSpan w:val="6"/>
            <w:tcBorders/>
            <w:shd w:fill="auto" w:val="clear"/>
            <w:vAlign w:val="bottom"/>
          </w:tcPr>
          <w:p>
            <w:pPr>
              <w:pStyle w:val="TableContents"/>
              <w:spacing w:before="0" w:after="283"/>
              <w:jc w:val="center"/>
              <w:rPr>
                <w:i/>
              </w:rPr>
            </w:pPr>
            <w:r>
              <w:rPr>
                <w:i/>
              </w:rPr>
              <w:t>(In thousands)</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3497" w:type="dxa"/>
            <w:tcBorders/>
            <w:shd w:fill="CCEEFF" w:val="clear"/>
            <w:vAlign w:val="bottom"/>
          </w:tcPr>
          <w:p>
            <w:pPr>
              <w:pStyle w:val="TableContents"/>
              <w:spacing w:before="0" w:after="0"/>
              <w:ind w:left="225" w:right="0" w:hanging="225"/>
              <w:rPr/>
            </w:pPr>
            <w:r>
              <w:rPr/>
              <w:t>Balance at September 30, 2009</w:t>
            </w:r>
          </w:p>
        </w:tc>
        <w:tc>
          <w:tcPr>
            <w:tcW w:w="28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w:t>
            </w:r>
          </w:p>
        </w:tc>
        <w:tc>
          <w:tcPr>
            <w:tcW w:w="1049" w:type="dxa"/>
            <w:tcBorders/>
            <w:shd w:fill="CCEEFF" w:val="clear"/>
            <w:vAlign w:val="bottom"/>
          </w:tcPr>
          <w:p>
            <w:pPr>
              <w:pStyle w:val="TableContents"/>
              <w:spacing w:before="0" w:after="283"/>
              <w:jc w:val="right"/>
              <w:rPr/>
            </w:pPr>
            <w:r>
              <w:rPr/>
              <w:t>94,192</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6,527</w:t>
            </w:r>
          </w:p>
        </w:tc>
        <w:tc>
          <w:tcPr>
            <w:tcW w:w="133"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left"/>
              <w:rPr/>
            </w:pPr>
            <w:r>
              <w:rPr/>
              <w:t>$</w:t>
            </w:r>
          </w:p>
        </w:tc>
        <w:tc>
          <w:tcPr>
            <w:tcW w:w="88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1211" w:type="dxa"/>
            <w:tcBorders/>
            <w:shd w:fill="CCEEFF" w:val="clear"/>
            <w:vAlign w:val="bottom"/>
          </w:tcPr>
          <w:p>
            <w:pPr>
              <w:pStyle w:val="TableContents"/>
              <w:spacing w:before="0" w:after="283"/>
              <w:jc w:val="right"/>
              <w:rPr/>
            </w:pPr>
            <w:r>
              <w:rPr/>
              <w:t>100,719</w:t>
            </w:r>
          </w:p>
        </w:tc>
        <w:tc>
          <w:tcPr>
            <w:tcW w:w="144" w:type="dxa"/>
            <w:tcBorders/>
            <w:shd w:fill="CCEEFF"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0"/>
              <w:ind w:left="225" w:right="0" w:hanging="225"/>
              <w:rPr/>
            </w:pPr>
            <w:r>
              <w:rPr/>
              <w:t>Acquisitions</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15,871</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15,871</w:t>
            </w:r>
          </w:p>
        </w:tc>
        <w:tc>
          <w:tcPr>
            <w:tcW w:w="144" w:type="dxa"/>
            <w:tcBorders/>
            <w:shd w:fill="auto" w:val="clear"/>
            <w:vAlign w:val="bottom"/>
          </w:tcPr>
          <w:p>
            <w:pPr>
              <w:pStyle w:val="TableContents"/>
              <w:spacing w:before="0" w:after="283"/>
              <w:rPr/>
            </w:pPr>
            <w:r>
              <w:rPr/>
              <w:t> </w:t>
            </w:r>
          </w:p>
        </w:tc>
      </w:tr>
      <w:tr>
        <w:trPr/>
        <w:tc>
          <w:tcPr>
            <w:tcW w:w="3497" w:type="dxa"/>
            <w:tcBorders/>
            <w:shd w:fill="CCEEFF" w:val="clear"/>
            <w:vAlign w:val="bottom"/>
          </w:tcPr>
          <w:p>
            <w:pPr>
              <w:pStyle w:val="TableContents"/>
              <w:spacing w:before="0" w:after="0"/>
              <w:ind w:left="225" w:right="0" w:hanging="225"/>
              <w:rPr/>
            </w:pPr>
            <w:r>
              <w:rPr/>
              <w:t>Post-closing purchase price allocation adjustments for prior year acquisitions</w:t>
            </w:r>
          </w:p>
        </w:tc>
        <w:tc>
          <w:tcPr>
            <w:tcW w:w="28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192</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192</w:t>
            </w:r>
          </w:p>
        </w:tc>
        <w:tc>
          <w:tcPr>
            <w:tcW w:w="144" w:type="dxa"/>
            <w:tcBorders/>
            <w:shd w:fill="CCEEFF"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0"/>
              <w:ind w:left="225" w:right="0" w:hanging="225"/>
              <w:rPr/>
            </w:pPr>
            <w:r>
              <w:rPr/>
              <w:t>Effect of foreign currency translation changes</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523</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523</w:t>
            </w:r>
          </w:p>
        </w:tc>
        <w:tc>
          <w:tcPr>
            <w:tcW w:w="144" w:type="dxa"/>
            <w:tcBorders/>
            <w:shd w:fill="auto" w:val="clear"/>
            <w:vAlign w:val="bottom"/>
          </w:tcPr>
          <w:p>
            <w:pPr>
              <w:pStyle w:val="TableContents"/>
              <w:spacing w:before="0" w:after="283"/>
              <w:rPr/>
            </w:pPr>
            <w:r>
              <w:rPr/>
              <w:t> </w:t>
            </w:r>
          </w:p>
        </w:tc>
      </w:tr>
      <w:tr>
        <w:trPr/>
        <w:tc>
          <w:tcPr>
            <w:tcW w:w="3497"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3497" w:type="dxa"/>
            <w:tcBorders/>
            <w:shd w:fill="CCEEFF" w:val="clear"/>
            <w:vAlign w:val="bottom"/>
          </w:tcPr>
          <w:p>
            <w:pPr>
              <w:pStyle w:val="TableContents"/>
              <w:spacing w:before="0" w:after="0"/>
              <w:ind w:left="225" w:right="0" w:hanging="225"/>
              <w:rPr/>
            </w:pPr>
            <w:r>
              <w:rPr/>
              <w:t>Balance at September 30, 2010</w:t>
            </w:r>
          </w:p>
        </w:tc>
        <w:tc>
          <w:tcPr>
            <w:tcW w:w="28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110,255</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7,050</w:t>
            </w:r>
          </w:p>
        </w:tc>
        <w:tc>
          <w:tcPr>
            <w:tcW w:w="133"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117,305</w:t>
            </w:r>
          </w:p>
        </w:tc>
        <w:tc>
          <w:tcPr>
            <w:tcW w:w="144" w:type="dxa"/>
            <w:tcBorders/>
            <w:shd w:fill="CCEEFF" w:val="clear"/>
            <w:vAlign w:val="bottom"/>
          </w:tcPr>
          <w:p>
            <w:pPr>
              <w:pStyle w:val="TableContents"/>
              <w:spacing w:before="0" w:after="283"/>
              <w:rPr/>
            </w:pPr>
            <w:r>
              <w:rPr/>
              <w:t> </w:t>
            </w:r>
          </w:p>
        </w:tc>
      </w:tr>
      <w:tr>
        <w:trPr/>
        <w:tc>
          <w:tcPr>
            <w:tcW w:w="3497"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3497" w:type="dxa"/>
            <w:tcBorders/>
            <w:shd w:fill="auto" w:val="clear"/>
            <w:vAlign w:val="bottom"/>
          </w:tcPr>
          <w:p>
            <w:pPr>
              <w:pStyle w:val="TableContents"/>
              <w:spacing w:before="0" w:after="0"/>
              <w:ind w:left="225" w:right="0" w:hanging="225"/>
              <w:rPr/>
            </w:pPr>
            <w:r>
              <w:rPr/>
              <w:t>Acquisitions</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53,642</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3,148</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56,790</w:t>
            </w:r>
          </w:p>
        </w:tc>
        <w:tc>
          <w:tcPr>
            <w:tcW w:w="144" w:type="dxa"/>
            <w:tcBorders/>
            <w:shd w:fill="auto" w:val="clear"/>
            <w:vAlign w:val="bottom"/>
          </w:tcPr>
          <w:p>
            <w:pPr>
              <w:pStyle w:val="TableContents"/>
              <w:spacing w:before="0" w:after="283"/>
              <w:rPr/>
            </w:pPr>
            <w:r>
              <w:rPr/>
              <w:t> </w:t>
            </w:r>
          </w:p>
        </w:tc>
      </w:tr>
      <w:tr>
        <w:trPr/>
        <w:tc>
          <w:tcPr>
            <w:tcW w:w="3497" w:type="dxa"/>
            <w:tcBorders/>
            <w:shd w:fill="CCEEFF" w:val="clear"/>
            <w:vAlign w:val="bottom"/>
          </w:tcPr>
          <w:p>
            <w:pPr>
              <w:pStyle w:val="TableContents"/>
              <w:spacing w:before="0" w:after="0"/>
              <w:ind w:left="225" w:right="0" w:hanging="225"/>
              <w:rPr/>
            </w:pPr>
            <w:r>
              <w:rPr/>
              <w:t>Effect of foreign currency translation changes</w:t>
            </w:r>
          </w:p>
        </w:tc>
        <w:tc>
          <w:tcPr>
            <w:tcW w:w="28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(889</w:t>
            </w:r>
          </w:p>
        </w:tc>
        <w:tc>
          <w:tcPr>
            <w:tcW w:w="133" w:type="dxa"/>
            <w:tcBorders/>
            <w:shd w:fill="CCEEFF" w:val="clear"/>
            <w:vAlign w:val="bottom"/>
          </w:tcPr>
          <w:p>
            <w:pPr>
              <w:pStyle w:val="TableContents"/>
              <w:spacing w:before="0" w:after="283"/>
              <w:rPr/>
            </w:pPr>
            <w:r>
              <w:rPr/>
              <w:t>)</w:t>
            </w:r>
          </w:p>
        </w:tc>
        <w:tc>
          <w:tcPr>
            <w:tcW w:w="288"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 </w:t>
            </w:r>
          </w:p>
        </w:tc>
        <w:tc>
          <w:tcPr>
            <w:tcW w:w="1211" w:type="dxa"/>
            <w:tcBorders/>
            <w:shd w:fill="CCEEFF" w:val="clear"/>
            <w:vAlign w:val="bottom"/>
          </w:tcPr>
          <w:p>
            <w:pPr>
              <w:pStyle w:val="TableContents"/>
              <w:spacing w:before="0" w:after="283"/>
              <w:jc w:val="right"/>
              <w:rPr/>
            </w:pPr>
            <w:r>
              <w:rPr/>
              <w:t>(889</w:t>
            </w:r>
          </w:p>
        </w:tc>
        <w:tc>
          <w:tcPr>
            <w:tcW w:w="144" w:type="dxa"/>
            <w:tcBorders/>
            <w:shd w:fill="CCEEFF" w:val="clear"/>
            <w:vAlign w:val="bottom"/>
          </w:tcPr>
          <w:p>
            <w:pPr>
              <w:pStyle w:val="TableContents"/>
              <w:spacing w:before="0" w:after="283"/>
              <w:rPr/>
            </w:pPr>
            <w:r>
              <w:rPr/>
              <w:t>)</w:t>
            </w:r>
          </w:p>
        </w:tc>
      </w:tr>
      <w:tr>
        <w:trPr/>
        <w:tc>
          <w:tcPr>
            <w:tcW w:w="3497"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3497" w:type="dxa"/>
            <w:tcBorders/>
            <w:shd w:fill="auto" w:val="clear"/>
            <w:vAlign w:val="bottom"/>
          </w:tcPr>
          <w:p>
            <w:pPr>
              <w:pStyle w:val="TableContents"/>
              <w:spacing w:before="0" w:after="0"/>
              <w:ind w:left="225" w:right="0" w:hanging="225"/>
              <w:rPr/>
            </w:pPr>
            <w:r>
              <w:rPr/>
              <w:t>Balance at September 30, 2011</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w:t>
            </w:r>
          </w:p>
        </w:tc>
        <w:tc>
          <w:tcPr>
            <w:tcW w:w="1049" w:type="dxa"/>
            <w:tcBorders/>
            <w:shd w:fill="auto" w:val="clear"/>
            <w:vAlign w:val="bottom"/>
          </w:tcPr>
          <w:p>
            <w:pPr>
              <w:pStyle w:val="TableContents"/>
              <w:spacing w:before="0" w:after="283"/>
              <w:jc w:val="right"/>
              <w:rPr/>
            </w:pPr>
            <w:r>
              <w:rPr/>
              <w:t>163,897</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9,309</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211" w:type="dxa"/>
            <w:tcBorders/>
            <w:shd w:fill="auto" w:val="clear"/>
            <w:vAlign w:val="bottom"/>
          </w:tcPr>
          <w:p>
            <w:pPr>
              <w:pStyle w:val="TableContents"/>
              <w:spacing w:before="0" w:after="283"/>
              <w:jc w:val="right"/>
              <w:rPr/>
            </w:pPr>
            <w:r>
              <w:rPr/>
              <w:t>173,206</w:t>
            </w:r>
          </w:p>
        </w:tc>
        <w:tc>
          <w:tcPr>
            <w:tcW w:w="144" w:type="dxa"/>
            <w:tcBorders/>
            <w:shd w:fill="auto" w:val="clear"/>
            <w:vAlign w:val="bottom"/>
          </w:tcPr>
          <w:p>
            <w:pPr>
              <w:pStyle w:val="TableContents"/>
              <w:spacing w:before="0" w:after="283"/>
              <w:rPr/>
            </w:pPr>
            <w:r>
              <w:rPr/>
              <w:t> </w:t>
            </w:r>
          </w:p>
        </w:tc>
      </w:tr>
      <w:tr>
        <w:trPr/>
        <w:tc>
          <w:tcPr>
            <w:tcW w:w="3497"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gross carrying amount and accumulated amortization for each major class of definite-lived intangible asset at the specified dates: </w:t>
      </w:r>
    </w:p>
    <w:tbl>
      <w:tblPr>
        <w:tblW w:w="5000" w:type="pct"/>
        <w:jc w:val="center"/>
        <w:tblInd w:w="0" w:type="dxa"/>
        <w:tblCellMar>
          <w:top w:w="0" w:type="dxa"/>
          <w:left w:w="0" w:type="dxa"/>
          <w:bottom w:w="0" w:type="dxa"/>
          <w:right w:w="0" w:type="dxa"/>
        </w:tblCellMar>
      </w:tblPr>
      <w:tblGrid>
        <w:gridCol w:w="1847"/>
        <w:gridCol w:w="214"/>
        <w:gridCol w:w="180"/>
        <w:gridCol w:w="756"/>
        <w:gridCol w:w="84"/>
        <w:gridCol w:w="214"/>
        <w:gridCol w:w="231"/>
        <w:gridCol w:w="1067"/>
        <w:gridCol w:w="114"/>
        <w:gridCol w:w="214"/>
        <w:gridCol w:w="196"/>
        <w:gridCol w:w="818"/>
        <w:gridCol w:w="84"/>
        <w:gridCol w:w="214"/>
        <w:gridCol w:w="179"/>
        <w:gridCol w:w="756"/>
        <w:gridCol w:w="84"/>
        <w:gridCol w:w="214"/>
        <w:gridCol w:w="231"/>
        <w:gridCol w:w="1067"/>
        <w:gridCol w:w="114"/>
        <w:gridCol w:w="214"/>
        <w:gridCol w:w="196"/>
        <w:gridCol w:w="818"/>
        <w:gridCol w:w="99"/>
      </w:tblGrid>
      <w:tr>
        <w:trPr/>
        <w:tc>
          <w:tcPr>
            <w:tcW w:w="184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045" w:type="dxa"/>
            <w:gridSpan w:val="22"/>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99" w:type="dxa"/>
            <w:tcBorders/>
            <w:shd w:fill="auto"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874" w:type="dxa"/>
            <w:gridSpan w:val="10"/>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873" w:type="dxa"/>
            <w:gridSpan w:val="10"/>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99" w:type="dxa"/>
            <w:tcBorders/>
            <w:shd w:fill="auto"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6" w:type="dxa"/>
            <w:gridSpan w:val="2"/>
            <w:tcBorders/>
            <w:shd w:fill="auto" w:val="clear"/>
            <w:vAlign w:val="bottom"/>
          </w:tcPr>
          <w:p>
            <w:pPr>
              <w:pStyle w:val="TableContents"/>
              <w:spacing w:before="0" w:after="283"/>
              <w:jc w:val="center"/>
              <w:rPr/>
            </w:pPr>
            <w:r>
              <w:rPr/>
              <w:t>Carrying</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298" w:type="dxa"/>
            <w:gridSpan w:val="2"/>
            <w:tcBorders/>
            <w:shd w:fill="auto" w:val="clear"/>
            <w:vAlign w:val="bottom"/>
          </w:tcPr>
          <w:p>
            <w:pPr>
              <w:pStyle w:val="TableContents"/>
              <w:spacing w:before="0" w:after="283"/>
              <w:jc w:val="center"/>
              <w:rPr/>
            </w:pPr>
            <w:r>
              <w:rPr/>
              <w:t>Accumulated</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14" w:type="dxa"/>
            <w:gridSpan w:val="2"/>
            <w:tcBorders/>
            <w:shd w:fill="auto" w:val="clear"/>
            <w:vAlign w:val="bottom"/>
          </w:tcPr>
          <w:p>
            <w:pPr>
              <w:pStyle w:val="TableContents"/>
              <w:spacing w:before="0" w:after="283"/>
              <w:jc w:val="center"/>
              <w:rPr/>
            </w:pPr>
            <w:r>
              <w:rPr/>
              <w:t>Net Book</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pPr>
            <w:r>
              <w:rPr/>
              <w:t>Carrying</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298" w:type="dxa"/>
            <w:gridSpan w:val="2"/>
            <w:tcBorders/>
            <w:shd w:fill="auto" w:val="clear"/>
            <w:vAlign w:val="bottom"/>
          </w:tcPr>
          <w:p>
            <w:pPr>
              <w:pStyle w:val="TableContents"/>
              <w:spacing w:before="0" w:after="283"/>
              <w:jc w:val="center"/>
              <w:rPr/>
            </w:pPr>
            <w:r>
              <w:rPr/>
              <w:t>Accumulated</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14" w:type="dxa"/>
            <w:gridSpan w:val="2"/>
            <w:tcBorders/>
            <w:shd w:fill="auto" w:val="clear"/>
            <w:vAlign w:val="bottom"/>
          </w:tcPr>
          <w:p>
            <w:pPr>
              <w:pStyle w:val="TableContents"/>
              <w:spacing w:before="0" w:after="283"/>
              <w:jc w:val="center"/>
              <w:rPr/>
            </w:pPr>
            <w:r>
              <w:rPr/>
              <w:t>Net Book</w:t>
            </w:r>
          </w:p>
        </w:tc>
        <w:tc>
          <w:tcPr>
            <w:tcW w:w="99" w:type="dxa"/>
            <w:tcBorders/>
            <w:shd w:fill="auto"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6"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298"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14"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298"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14"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99" w:type="dxa"/>
            <w:tcBorders/>
            <w:shd w:fill="auto"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045" w:type="dxa"/>
            <w:gridSpan w:val="22"/>
            <w:tcBorders/>
            <w:shd w:fill="auto" w:val="clear"/>
            <w:vAlign w:val="bottom"/>
          </w:tcPr>
          <w:p>
            <w:pPr>
              <w:pStyle w:val="TableContents"/>
              <w:spacing w:before="0" w:after="283"/>
              <w:jc w:val="center"/>
              <w:rPr>
                <w:i/>
              </w:rPr>
            </w:pPr>
            <w:r>
              <w:rPr>
                <w:i/>
              </w:rPr>
              <w:t>(In thousands)</w:t>
            </w:r>
          </w:p>
        </w:tc>
        <w:tc>
          <w:tcPr>
            <w:tcW w:w="99" w:type="dxa"/>
            <w:tcBorders/>
            <w:shd w:fill="auto" w:val="clear"/>
            <w:vAlign w:val="bottom"/>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225" w:right="0" w:hanging="225"/>
              <w:rPr/>
            </w:pPr>
            <w:r>
              <w:rPr/>
              <w:t>Real estate finders fees</w:t>
            </w:r>
          </w:p>
        </w:tc>
        <w:tc>
          <w:tcPr>
            <w:tcW w:w="21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w:t>
            </w:r>
          </w:p>
        </w:tc>
        <w:tc>
          <w:tcPr>
            <w:tcW w:w="756" w:type="dxa"/>
            <w:tcBorders/>
            <w:shd w:fill="CCEEFF" w:val="clear"/>
            <w:vAlign w:val="bottom"/>
          </w:tcPr>
          <w:p>
            <w:pPr>
              <w:pStyle w:val="TableContents"/>
              <w:spacing w:before="0" w:after="283"/>
              <w:jc w:val="right"/>
              <w:rPr/>
            </w:pPr>
            <w:r>
              <w:rPr/>
              <w:t>1,157</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(479</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678</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756" w:type="dxa"/>
            <w:tcBorders/>
            <w:shd w:fill="CCEEFF" w:val="clear"/>
            <w:vAlign w:val="bottom"/>
          </w:tcPr>
          <w:p>
            <w:pPr>
              <w:pStyle w:val="TableContents"/>
              <w:spacing w:before="0" w:after="283"/>
              <w:jc w:val="right"/>
              <w:rPr/>
            </w:pPr>
            <w:r>
              <w:rPr/>
              <w:t>948</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(401</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547</w:t>
            </w:r>
          </w:p>
        </w:tc>
        <w:tc>
          <w:tcPr>
            <w:tcW w:w="99" w:type="dxa"/>
            <w:tcBorders/>
            <w:shd w:fill="CCEEFF"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0"/>
              <w:ind w:left="225" w:right="0" w:hanging="225"/>
              <w:rPr/>
            </w:pPr>
            <w:r>
              <w:rPr/>
              <w:t>Non-compete agreements</w:t>
            </w:r>
          </w:p>
        </w:tc>
        <w:tc>
          <w:tcPr>
            <w:tcW w:w="21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3,722</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(2,459</w:t>
            </w:r>
          </w:p>
        </w:tc>
        <w:tc>
          <w:tcPr>
            <w:tcW w:w="114" w:type="dxa"/>
            <w:tcBorders/>
            <w:shd w:fill="auto" w:val="clear"/>
            <w:vAlign w:val="bottom"/>
          </w:tcPr>
          <w:p>
            <w:pPr>
              <w:pStyle w:val="TableContents"/>
              <w:spacing w:before="0" w:after="283"/>
              <w:rPr/>
            </w:pPr>
            <w:r>
              <w:rPr/>
              <w:t>)</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1,263</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3,081</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(1,834</w:t>
            </w:r>
          </w:p>
        </w:tc>
        <w:tc>
          <w:tcPr>
            <w:tcW w:w="114" w:type="dxa"/>
            <w:tcBorders/>
            <w:shd w:fill="auto" w:val="clear"/>
            <w:vAlign w:val="bottom"/>
          </w:tcPr>
          <w:p>
            <w:pPr>
              <w:pStyle w:val="TableContents"/>
              <w:spacing w:before="0" w:after="283"/>
              <w:rPr/>
            </w:pPr>
            <w:r>
              <w:rPr/>
              <w:t>)</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1,247</w:t>
            </w:r>
          </w:p>
        </w:tc>
        <w:tc>
          <w:tcPr>
            <w:tcW w:w="99" w:type="dxa"/>
            <w:tcBorders/>
            <w:shd w:fill="auto" w:val="clear"/>
            <w:vAlign w:val="bottom"/>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225" w:right="0" w:hanging="225"/>
              <w:rPr/>
            </w:pPr>
            <w:r>
              <w:rPr/>
              <w:t>Favorable lease</w:t>
            </w:r>
          </w:p>
        </w:tc>
        <w:tc>
          <w:tcPr>
            <w:tcW w:w="21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755</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(322</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433</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644</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(219</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425</w:t>
            </w:r>
          </w:p>
        </w:tc>
        <w:tc>
          <w:tcPr>
            <w:tcW w:w="99" w:type="dxa"/>
            <w:tcBorders/>
            <w:shd w:fill="CCEEFF"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0"/>
              <w:ind w:left="225" w:right="0" w:hanging="225"/>
              <w:rPr/>
            </w:pPr>
            <w:r>
              <w:rPr/>
              <w:t>Franchise Rights</w:t>
            </w:r>
          </w:p>
        </w:tc>
        <w:tc>
          <w:tcPr>
            <w:tcW w:w="21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1,547</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(32</w:t>
            </w:r>
          </w:p>
        </w:tc>
        <w:tc>
          <w:tcPr>
            <w:tcW w:w="114" w:type="dxa"/>
            <w:tcBorders/>
            <w:shd w:fill="auto" w:val="clear"/>
            <w:vAlign w:val="bottom"/>
          </w:tcPr>
          <w:p>
            <w:pPr>
              <w:pStyle w:val="TableContents"/>
              <w:spacing w:before="0" w:after="283"/>
              <w:rPr/>
            </w:pPr>
            <w:r>
              <w:rPr/>
              <w:t>)</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1,515</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225" w:right="0" w:hanging="225"/>
              <w:rPr/>
            </w:pPr>
            <w:r>
              <w:rPr/>
              <w:t>Deferred financing costs</w:t>
            </w:r>
          </w:p>
        </w:tc>
        <w:tc>
          <w:tcPr>
            <w:tcW w:w="21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2,411</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(262</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2,149</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1,469</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(982</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487</w:t>
            </w:r>
          </w:p>
        </w:tc>
        <w:tc>
          <w:tcPr>
            <w:tcW w:w="99" w:type="dxa"/>
            <w:tcBorders/>
            <w:shd w:fill="CCEEFF"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0"/>
              <w:ind w:left="225" w:right="0" w:hanging="225"/>
              <w:rPr/>
            </w:pPr>
            <w:r>
              <w:rPr/>
              <w:t>Other</w:t>
            </w:r>
          </w:p>
        </w:tc>
        <w:tc>
          <w:tcPr>
            <w:tcW w:w="21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58</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(12</w:t>
            </w:r>
          </w:p>
        </w:tc>
        <w:tc>
          <w:tcPr>
            <w:tcW w:w="114" w:type="dxa"/>
            <w:tcBorders/>
            <w:shd w:fill="auto" w:val="clear"/>
            <w:vAlign w:val="bottom"/>
          </w:tcPr>
          <w:p>
            <w:pPr>
              <w:pStyle w:val="TableContents"/>
              <w:spacing w:before="0" w:after="283"/>
              <w:rPr/>
            </w:pPr>
            <w:r>
              <w:rPr/>
              <w:t>)</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46</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48</w:t>
            </w:r>
          </w:p>
        </w:tc>
        <w:tc>
          <w:tcPr>
            <w:tcW w:w="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(6</w:t>
            </w:r>
          </w:p>
        </w:tc>
        <w:tc>
          <w:tcPr>
            <w:tcW w:w="114" w:type="dxa"/>
            <w:tcBorders/>
            <w:shd w:fill="auto" w:val="clear"/>
            <w:vAlign w:val="bottom"/>
          </w:tcPr>
          <w:p>
            <w:pPr>
              <w:pStyle w:val="TableContents"/>
              <w:spacing w:before="0" w:after="283"/>
              <w:rPr/>
            </w:pPr>
            <w:r>
              <w:rPr/>
              <w:t>)</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42</w:t>
            </w:r>
          </w:p>
        </w:tc>
        <w:tc>
          <w:tcPr>
            <w:tcW w:w="99" w:type="dxa"/>
            <w:tcBorders/>
            <w:shd w:fill="auto" w:val="clear"/>
            <w:vAlign w:val="bottom"/>
          </w:tcPr>
          <w:p>
            <w:pPr>
              <w:pStyle w:val="TableContents"/>
              <w:spacing w:before="0" w:after="283"/>
              <w:rPr/>
            </w:pPr>
            <w:r>
              <w:rPr/>
              <w:t> </w:t>
            </w:r>
          </w:p>
        </w:tc>
      </w:tr>
      <w:tr>
        <w:trPr/>
        <w:tc>
          <w:tcPr>
            <w:tcW w:w="1847" w:type="dxa"/>
            <w:tcBorders/>
            <w:shd w:fill="auto" w:val="clear"/>
            <w:vAlign w:val="center"/>
          </w:tcPr>
          <w:p>
            <w:pPr>
              <w:pStyle w:val="TableContents"/>
              <w:spacing w:before="0" w:after="0"/>
              <w:ind w:left="225" w:right="0" w:hanging="225"/>
              <w:rPr/>
            </w:pPr>
            <w:r>
              <w:rPr/>
              <w:t> </w:t>
            </w:r>
          </w:p>
        </w:tc>
        <w:tc>
          <w:tcPr>
            <w:tcW w:w="214" w:type="dxa"/>
            <w:tcBorders/>
            <w:shd w:fill="auto" w:val="clear"/>
            <w:vAlign w:val="center"/>
          </w:tcPr>
          <w:p>
            <w:pPr>
              <w:pStyle w:val="TableContents"/>
              <w:spacing w:before="0" w:after="283"/>
              <w:rPr/>
            </w:pPr>
            <w:r>
              <w:rPr/>
              <w:t> </w:t>
            </w:r>
          </w:p>
        </w:tc>
        <w:tc>
          <w:tcPr>
            <w:tcW w:w="9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225" w:right="0" w:hanging="225"/>
              <w:rPr/>
            </w:pPr>
            <w:r>
              <w:rPr/>
              <w:t>Total</w:t>
            </w:r>
          </w:p>
        </w:tc>
        <w:tc>
          <w:tcPr>
            <w:tcW w:w="21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w:t>
            </w:r>
          </w:p>
        </w:tc>
        <w:tc>
          <w:tcPr>
            <w:tcW w:w="756" w:type="dxa"/>
            <w:tcBorders/>
            <w:shd w:fill="CCEEFF" w:val="clear"/>
            <w:vAlign w:val="bottom"/>
          </w:tcPr>
          <w:p>
            <w:pPr>
              <w:pStyle w:val="TableContents"/>
              <w:spacing w:before="0" w:after="283"/>
              <w:jc w:val="right"/>
              <w:rPr/>
            </w:pPr>
            <w:r>
              <w:rPr/>
              <w:t>9,650</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(3,566</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6,084</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756" w:type="dxa"/>
            <w:tcBorders/>
            <w:shd w:fill="CCEEFF" w:val="clear"/>
            <w:vAlign w:val="bottom"/>
          </w:tcPr>
          <w:p>
            <w:pPr>
              <w:pStyle w:val="TableContents"/>
              <w:spacing w:before="0" w:after="283"/>
              <w:jc w:val="right"/>
              <w:rPr/>
            </w:pPr>
            <w:r>
              <w:rPr/>
              <w:t>6,190</w:t>
            </w:r>
          </w:p>
        </w:tc>
        <w:tc>
          <w:tcPr>
            <w:tcW w:w="8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(3,442</w:t>
            </w:r>
          </w:p>
        </w:tc>
        <w:tc>
          <w:tcPr>
            <w:tcW w:w="114"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2,748</w:t>
            </w:r>
          </w:p>
        </w:tc>
        <w:tc>
          <w:tcPr>
            <w:tcW w:w="99" w:type="dxa"/>
            <w:tcBorders/>
            <w:shd w:fill="CCEEFF" w:val="clear"/>
            <w:vAlign w:val="bottom"/>
          </w:tcPr>
          <w:p>
            <w:pPr>
              <w:pStyle w:val="TableContents"/>
              <w:spacing w:before="0" w:after="283"/>
              <w:rPr/>
            </w:pPr>
            <w:r>
              <w:rPr/>
              <w:t> </w:t>
            </w:r>
          </w:p>
        </w:tc>
      </w:tr>
      <w:tr>
        <w:trPr/>
        <w:tc>
          <w:tcPr>
            <w:tcW w:w="1847" w:type="dxa"/>
            <w:tcBorders/>
            <w:shd w:fill="auto" w:val="clear"/>
            <w:vAlign w:val="center"/>
          </w:tcPr>
          <w:p>
            <w:pPr>
              <w:pStyle w:val="TableContents"/>
              <w:spacing w:before="0" w:after="0"/>
              <w:ind w:left="225" w:right="0" w:hanging="225"/>
              <w:rPr/>
            </w:pPr>
            <w:r>
              <w:rPr/>
              <w:t> </w:t>
            </w:r>
          </w:p>
        </w:tc>
        <w:tc>
          <w:tcPr>
            <w:tcW w:w="214" w:type="dxa"/>
            <w:tcBorders/>
            <w:shd w:fill="auto" w:val="clear"/>
            <w:vAlign w:val="center"/>
          </w:tcPr>
          <w:p>
            <w:pPr>
              <w:pStyle w:val="TableContents"/>
              <w:spacing w:before="0" w:after="283"/>
              <w:rPr/>
            </w:pPr>
            <w:r>
              <w:rPr/>
              <w:t> </w:t>
            </w:r>
          </w:p>
        </w:tc>
        <w:tc>
          <w:tcPr>
            <w:tcW w:w="9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amortization of most definite lived intangible assets is recorded as amortization expense. The favorable lease asset and other intangibles are amortized to operations expense (rent expense) over the related lease terms. The deferred financing costs are amortized to interest expense over the life of our credit agreement. The following table presents the amount and classification of amortization recognized as expense in each of the periods presented: </w:t>
      </w:r>
    </w:p>
    <w:tbl>
      <w:tblPr>
        <w:tblW w:w="5000" w:type="pct"/>
        <w:jc w:val="center"/>
        <w:tblInd w:w="0" w:type="dxa"/>
        <w:tblCellMar>
          <w:top w:w="0" w:type="dxa"/>
          <w:left w:w="0" w:type="dxa"/>
          <w:bottom w:w="0" w:type="dxa"/>
          <w:right w:w="0" w:type="dxa"/>
        </w:tblCellMar>
      </w:tblPr>
      <w:tblGrid>
        <w:gridCol w:w="4988"/>
        <w:gridCol w:w="373"/>
        <w:gridCol w:w="228"/>
        <w:gridCol w:w="980"/>
        <w:gridCol w:w="135"/>
        <w:gridCol w:w="397"/>
        <w:gridCol w:w="277"/>
        <w:gridCol w:w="1176"/>
        <w:gridCol w:w="135"/>
        <w:gridCol w:w="397"/>
        <w:gridCol w:w="228"/>
        <w:gridCol w:w="774"/>
        <w:gridCol w:w="117"/>
      </w:tblGrid>
      <w:tr>
        <w:trPr/>
        <w:tc>
          <w:tcPr>
            <w:tcW w:w="4988"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988"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4727"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17" w:type="dxa"/>
            <w:tcBorders/>
            <w:shd w:fill="auto" w:val="clear"/>
            <w:vAlign w:val="bottom"/>
          </w:tcPr>
          <w:p>
            <w:pPr>
              <w:pStyle w:val="TableContents"/>
              <w:spacing w:before="0" w:after="283"/>
              <w:rPr/>
            </w:pPr>
            <w:r>
              <w:rPr/>
              <w:t> </w:t>
            </w:r>
          </w:p>
        </w:tc>
      </w:tr>
      <w:tr>
        <w:trPr/>
        <w:tc>
          <w:tcPr>
            <w:tcW w:w="4988"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20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5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00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7" w:type="dxa"/>
            <w:tcBorders/>
            <w:shd w:fill="auto" w:val="clear"/>
            <w:vAlign w:val="bottom"/>
          </w:tcPr>
          <w:p>
            <w:pPr>
              <w:pStyle w:val="TableContents"/>
              <w:spacing w:before="0" w:after="283"/>
              <w:rPr/>
            </w:pPr>
            <w:r>
              <w:rPr/>
              <w:t> </w:t>
            </w:r>
          </w:p>
        </w:tc>
      </w:tr>
      <w:tr>
        <w:trPr/>
        <w:tc>
          <w:tcPr>
            <w:tcW w:w="4988"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53" w:type="dxa"/>
            <w:gridSpan w:val="2"/>
            <w:tcBorders/>
            <w:shd w:fill="auto" w:val="clear"/>
            <w:vAlign w:val="bottom"/>
          </w:tcPr>
          <w:p>
            <w:pPr>
              <w:pStyle w:val="TableContents"/>
              <w:spacing w:before="0" w:after="283"/>
              <w:jc w:val="center"/>
              <w:rPr>
                <w:i/>
              </w:rPr>
            </w:pPr>
            <w:r>
              <w:rPr>
                <w:i/>
              </w:rPr>
              <w:t>(In thousands)</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988" w:type="dxa"/>
            <w:tcBorders/>
            <w:shd w:fill="CCEEFF" w:val="clear"/>
            <w:vAlign w:val="bottom"/>
          </w:tcPr>
          <w:p>
            <w:pPr>
              <w:pStyle w:val="TableContents"/>
              <w:spacing w:before="0" w:after="0"/>
              <w:ind w:left="225" w:right="0" w:hanging="225"/>
              <w:rPr/>
            </w:pPr>
            <w:r>
              <w:rPr/>
              <w:t>Amortization expense</w:t>
            </w:r>
          </w:p>
        </w:tc>
        <w:tc>
          <w:tcPr>
            <w:tcW w:w="373"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855</w:t>
            </w:r>
          </w:p>
        </w:tc>
        <w:tc>
          <w:tcPr>
            <w:tcW w:w="13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jc w:val="left"/>
              <w:rPr/>
            </w:pPr>
            <w:r>
              <w:rPr/>
              <w:t>$</w:t>
            </w:r>
          </w:p>
        </w:tc>
        <w:tc>
          <w:tcPr>
            <w:tcW w:w="1176" w:type="dxa"/>
            <w:tcBorders/>
            <w:shd w:fill="CCEEFF" w:val="clear"/>
            <w:vAlign w:val="bottom"/>
          </w:tcPr>
          <w:p>
            <w:pPr>
              <w:pStyle w:val="TableContents"/>
              <w:spacing w:before="0" w:after="283"/>
              <w:jc w:val="right"/>
              <w:rPr/>
            </w:pPr>
            <w:r>
              <w:rPr/>
              <w:t>631</w:t>
            </w:r>
          </w:p>
        </w:tc>
        <w:tc>
          <w:tcPr>
            <w:tcW w:w="13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774" w:type="dxa"/>
            <w:tcBorders/>
            <w:shd w:fill="CCEEFF" w:val="clear"/>
            <w:vAlign w:val="bottom"/>
          </w:tcPr>
          <w:p>
            <w:pPr>
              <w:pStyle w:val="TableContents"/>
              <w:spacing w:before="0" w:after="283"/>
              <w:jc w:val="right"/>
              <w:rPr/>
            </w:pPr>
            <w:r>
              <w:rPr/>
              <w:t>485</w:t>
            </w:r>
          </w:p>
        </w:tc>
        <w:tc>
          <w:tcPr>
            <w:tcW w:w="117" w:type="dxa"/>
            <w:tcBorders/>
            <w:shd w:fill="CCEEFF" w:val="clear"/>
            <w:vAlign w:val="bottom"/>
          </w:tcPr>
          <w:p>
            <w:pPr>
              <w:pStyle w:val="TableContents"/>
              <w:spacing w:before="0" w:after="283"/>
              <w:rPr/>
            </w:pPr>
            <w:r>
              <w:rPr/>
              <w:t> </w:t>
            </w:r>
          </w:p>
        </w:tc>
      </w:tr>
      <w:tr>
        <w:trPr/>
        <w:tc>
          <w:tcPr>
            <w:tcW w:w="4988" w:type="dxa"/>
            <w:tcBorders/>
            <w:shd w:fill="auto" w:val="clear"/>
            <w:vAlign w:val="bottom"/>
          </w:tcPr>
          <w:p>
            <w:pPr>
              <w:pStyle w:val="TableContents"/>
              <w:spacing w:before="0" w:after="0"/>
              <w:ind w:left="225" w:right="0" w:hanging="225"/>
              <w:rPr/>
            </w:pPr>
            <w:r>
              <w:rPr/>
              <w:t>Operations expense</w:t>
            </w:r>
          </w:p>
        </w:tc>
        <w:tc>
          <w:tcPr>
            <w:tcW w:w="37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111</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129</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95</w:t>
            </w:r>
          </w:p>
        </w:tc>
        <w:tc>
          <w:tcPr>
            <w:tcW w:w="117" w:type="dxa"/>
            <w:tcBorders/>
            <w:shd w:fill="auto" w:val="clear"/>
            <w:vAlign w:val="bottom"/>
          </w:tcPr>
          <w:p>
            <w:pPr>
              <w:pStyle w:val="TableContents"/>
              <w:spacing w:before="0" w:after="283"/>
              <w:rPr/>
            </w:pPr>
            <w:r>
              <w:rPr/>
              <w:t> </w:t>
            </w:r>
          </w:p>
        </w:tc>
      </w:tr>
      <w:tr>
        <w:trPr/>
        <w:tc>
          <w:tcPr>
            <w:tcW w:w="4988" w:type="dxa"/>
            <w:tcBorders/>
            <w:shd w:fill="CCEEFF" w:val="clear"/>
            <w:vAlign w:val="bottom"/>
          </w:tcPr>
          <w:p>
            <w:pPr>
              <w:pStyle w:val="TableContents"/>
              <w:spacing w:before="0" w:after="0"/>
              <w:ind w:left="225" w:right="0" w:hanging="225"/>
              <w:rPr/>
            </w:pPr>
            <w:r>
              <w:rPr/>
              <w:t>Interest expense</w:t>
            </w:r>
          </w:p>
        </w:tc>
        <w:tc>
          <w:tcPr>
            <w:tcW w:w="373"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615</w:t>
            </w:r>
          </w:p>
        </w:tc>
        <w:tc>
          <w:tcPr>
            <w:tcW w:w="13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403</w:t>
            </w:r>
          </w:p>
        </w:tc>
        <w:tc>
          <w:tcPr>
            <w:tcW w:w="13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296</w:t>
            </w:r>
          </w:p>
        </w:tc>
        <w:tc>
          <w:tcPr>
            <w:tcW w:w="117" w:type="dxa"/>
            <w:tcBorders/>
            <w:shd w:fill="CCEEFF" w:val="clear"/>
            <w:vAlign w:val="bottom"/>
          </w:tcPr>
          <w:p>
            <w:pPr>
              <w:pStyle w:val="TableContents"/>
              <w:spacing w:before="0" w:after="283"/>
              <w:rPr/>
            </w:pPr>
            <w:r>
              <w:rPr/>
              <w:t> </w:t>
            </w:r>
          </w:p>
        </w:tc>
      </w:tr>
      <w:tr>
        <w:trPr/>
        <w:tc>
          <w:tcPr>
            <w:tcW w:w="4988" w:type="dxa"/>
            <w:tcBorders/>
            <w:shd w:fill="auto" w:val="clear"/>
            <w:vAlign w:val="center"/>
          </w:tcPr>
          <w:p>
            <w:pPr>
              <w:pStyle w:val="TableContents"/>
              <w:spacing w:before="0" w:after="0"/>
              <w:ind w:left="225" w:right="0" w:hanging="225"/>
              <w:rPr/>
            </w:pPr>
            <w:r>
              <w:rPr/>
              <w:t> </w:t>
            </w:r>
          </w:p>
        </w:tc>
        <w:tc>
          <w:tcPr>
            <w:tcW w:w="373" w:type="dxa"/>
            <w:tcBorders/>
            <w:shd w:fill="auto" w:val="clear"/>
            <w:vAlign w:val="center"/>
          </w:tcPr>
          <w:p>
            <w:pPr>
              <w:pStyle w:val="TableContents"/>
              <w:spacing w:before="0" w:after="283"/>
              <w:rPr/>
            </w:pPr>
            <w:r>
              <w:rPr/>
              <w:t> </w:t>
            </w:r>
          </w:p>
        </w:tc>
        <w:tc>
          <w:tcPr>
            <w:tcW w:w="12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4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988" w:type="dxa"/>
            <w:tcBorders/>
            <w:shd w:fill="auto" w:val="clear"/>
            <w:vAlign w:val="bottom"/>
          </w:tcPr>
          <w:p>
            <w:pPr>
              <w:pStyle w:val="TableContents"/>
              <w:spacing w:before="0" w:after="0"/>
              <w:ind w:left="225" w:right="0" w:hanging="225"/>
              <w:rPr/>
            </w:pPr>
            <w:r>
              <w:rPr/>
              <w:t>Total expense from the amortization of definite-lived intangible assets</w:t>
            </w:r>
          </w:p>
        </w:tc>
        <w:tc>
          <w:tcPr>
            <w:tcW w:w="37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1,581</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jc w:val="left"/>
              <w:rPr/>
            </w:pPr>
            <w:r>
              <w:rPr/>
              <w:t>$</w:t>
            </w:r>
          </w:p>
        </w:tc>
        <w:tc>
          <w:tcPr>
            <w:tcW w:w="1176" w:type="dxa"/>
            <w:tcBorders/>
            <w:shd w:fill="auto" w:val="clear"/>
            <w:vAlign w:val="bottom"/>
          </w:tcPr>
          <w:p>
            <w:pPr>
              <w:pStyle w:val="TableContents"/>
              <w:spacing w:before="0" w:after="283"/>
              <w:jc w:val="right"/>
              <w:rPr/>
            </w:pPr>
            <w:r>
              <w:rPr/>
              <w:t>1,163</w:t>
            </w:r>
          </w:p>
        </w:tc>
        <w:tc>
          <w:tcPr>
            <w:tcW w:w="13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774" w:type="dxa"/>
            <w:tcBorders/>
            <w:shd w:fill="auto" w:val="clear"/>
            <w:vAlign w:val="bottom"/>
          </w:tcPr>
          <w:p>
            <w:pPr>
              <w:pStyle w:val="TableContents"/>
              <w:spacing w:before="0" w:after="283"/>
              <w:jc w:val="right"/>
              <w:rPr/>
            </w:pPr>
            <w:r>
              <w:rPr/>
              <w:t>876</w:t>
            </w:r>
          </w:p>
        </w:tc>
        <w:tc>
          <w:tcPr>
            <w:tcW w:w="117" w:type="dxa"/>
            <w:tcBorders/>
            <w:shd w:fill="auto" w:val="clear"/>
            <w:vAlign w:val="bottom"/>
          </w:tcPr>
          <w:p>
            <w:pPr>
              <w:pStyle w:val="TableContents"/>
              <w:spacing w:before="0" w:after="283"/>
              <w:rPr/>
            </w:pPr>
            <w:r>
              <w:rPr/>
              <w:t> </w:t>
            </w:r>
          </w:p>
        </w:tc>
      </w:tr>
      <w:tr>
        <w:trPr/>
        <w:tc>
          <w:tcPr>
            <w:tcW w:w="4988" w:type="dxa"/>
            <w:tcBorders/>
            <w:shd w:fill="auto" w:val="clear"/>
            <w:vAlign w:val="center"/>
          </w:tcPr>
          <w:p>
            <w:pPr>
              <w:pStyle w:val="TableContents"/>
              <w:spacing w:before="0" w:after="0"/>
              <w:ind w:left="225" w:right="0" w:hanging="225"/>
              <w:rPr/>
            </w:pPr>
            <w:r>
              <w:rPr/>
              <w:t> </w:t>
            </w:r>
          </w:p>
        </w:tc>
        <w:tc>
          <w:tcPr>
            <w:tcW w:w="373" w:type="dxa"/>
            <w:tcBorders/>
            <w:shd w:fill="auto" w:val="clear"/>
            <w:vAlign w:val="center"/>
          </w:tcPr>
          <w:p>
            <w:pPr>
              <w:pStyle w:val="TableContents"/>
              <w:spacing w:before="0" w:after="283"/>
              <w:rPr/>
            </w:pPr>
            <w:r>
              <w:rPr/>
              <w:t> </w:t>
            </w:r>
          </w:p>
        </w:tc>
        <w:tc>
          <w:tcPr>
            <w:tcW w:w="12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4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our estimate of amortization expense for definite-lived intangible assets: </w:t>
      </w:r>
    </w:p>
    <w:tbl>
      <w:tblPr>
        <w:tblW w:w="5000" w:type="pct"/>
        <w:jc w:val="center"/>
        <w:tblInd w:w="0" w:type="dxa"/>
        <w:tblCellMar>
          <w:top w:w="0" w:type="dxa"/>
          <w:left w:w="0" w:type="dxa"/>
          <w:bottom w:w="0" w:type="dxa"/>
          <w:right w:w="0" w:type="dxa"/>
        </w:tblCellMar>
      </w:tblPr>
      <w:tblGrid>
        <w:gridCol w:w="3913"/>
        <w:gridCol w:w="111"/>
        <w:gridCol w:w="576"/>
        <w:gridCol w:w="1590"/>
        <w:gridCol w:w="69"/>
        <w:gridCol w:w="111"/>
        <w:gridCol w:w="673"/>
        <w:gridCol w:w="1286"/>
        <w:gridCol w:w="69"/>
        <w:gridCol w:w="111"/>
        <w:gridCol w:w="428"/>
        <w:gridCol w:w="1190"/>
        <w:gridCol w:w="78"/>
      </w:tblGrid>
      <w:tr>
        <w:trPr/>
        <w:tc>
          <w:tcPr>
            <w:tcW w:w="391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r>
      <w:tr>
        <w:trPr/>
        <w:tc>
          <w:tcPr>
            <w:tcW w:w="3913" w:type="dxa"/>
            <w:tcBorders>
              <w:bottom w:val="single" w:sz="2" w:space="0" w:color="000000"/>
            </w:tcBorders>
            <w:shd w:fill="auto" w:val="clear"/>
            <w:tcMar>
              <w:bottom w:w="28" w:type="dxa"/>
            </w:tcMar>
            <w:vAlign w:val="bottom"/>
          </w:tcPr>
          <w:p>
            <w:pPr>
              <w:pStyle w:val="TableContents"/>
              <w:spacing w:before="0" w:after="283"/>
              <w:jc w:val="left"/>
              <w:rPr/>
            </w:pPr>
            <w:r>
              <w:rPr/>
              <w:t>Fiscal Years Ended September 30,</w:t>
            </w:r>
          </w:p>
        </w:tc>
        <w:tc>
          <w:tcPr>
            <w:tcW w:w="111" w:type="dxa"/>
            <w:tcBorders/>
            <w:shd w:fill="auto" w:val="clear"/>
            <w:vAlign w:val="bottom"/>
          </w:tcPr>
          <w:p>
            <w:pPr>
              <w:pStyle w:val="TableContents"/>
              <w:spacing w:before="0" w:after="283"/>
              <w:rPr/>
            </w:pPr>
            <w:r>
              <w:rPr/>
              <w:t> </w:t>
            </w:r>
          </w:p>
        </w:tc>
        <w:tc>
          <w:tcPr>
            <w:tcW w:w="2166"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 Expense</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95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 Expense</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618" w:type="dxa"/>
            <w:gridSpan w:val="2"/>
            <w:tcBorders>
              <w:bottom w:val="single" w:sz="2" w:space="0" w:color="000000"/>
            </w:tcBorders>
            <w:shd w:fill="auto" w:val="clear"/>
            <w:tcMar>
              <w:bottom w:w="28" w:type="dxa"/>
            </w:tcMar>
            <w:vAlign w:val="bottom"/>
          </w:tcPr>
          <w:p>
            <w:pPr>
              <w:pStyle w:val="TableContents"/>
              <w:spacing w:before="0" w:after="283"/>
              <w:jc w:val="center"/>
              <w:rPr/>
            </w:pPr>
            <w:r>
              <w:rPr/>
              <w:t>Interest Expense</w:t>
            </w:r>
          </w:p>
        </w:tc>
        <w:tc>
          <w:tcPr>
            <w:tcW w:w="78" w:type="dxa"/>
            <w:tcBorders/>
            <w:shd w:fill="auto" w:val="clear"/>
            <w:vAlign w:val="bottom"/>
          </w:tcPr>
          <w:p>
            <w:pPr>
              <w:pStyle w:val="TableContents"/>
              <w:spacing w:before="0" w:after="283"/>
              <w:rPr/>
            </w:pPr>
            <w:r>
              <w:rPr/>
              <w:t> </w:t>
            </w:r>
          </w:p>
        </w:tc>
      </w:tr>
      <w:tr>
        <w:trPr/>
        <w:tc>
          <w:tcPr>
            <w:tcW w:w="391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959" w:type="dxa"/>
            <w:gridSpan w:val="2"/>
            <w:tcBorders/>
            <w:shd w:fill="auto" w:val="clear"/>
            <w:vAlign w:val="bottom"/>
          </w:tcPr>
          <w:p>
            <w:pPr>
              <w:pStyle w:val="TableContents"/>
              <w:spacing w:before="0" w:after="283"/>
              <w:jc w:val="center"/>
              <w:rPr>
                <w:i/>
              </w:rPr>
            </w:pPr>
            <w:r>
              <w:rPr>
                <w:i/>
              </w:rPr>
              <w:t>(In thousands)</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r>
      <w:tr>
        <w:trPr/>
        <w:tc>
          <w:tcPr>
            <w:tcW w:w="3913" w:type="dxa"/>
            <w:tcBorders/>
            <w:shd w:fill="CCEEFF" w:val="clear"/>
            <w:vAlign w:val="bottom"/>
          </w:tcPr>
          <w:p>
            <w:pPr>
              <w:pStyle w:val="TableContents"/>
              <w:spacing w:before="0" w:after="0"/>
              <w:ind w:left="225" w:right="0" w:hanging="225"/>
              <w:rPr/>
            </w:pPr>
            <w:r>
              <w:rPr/>
              <w:t>2012</w:t>
            </w:r>
          </w:p>
        </w:tc>
        <w:tc>
          <w:tcPr>
            <w:tcW w:w="111" w:type="dxa"/>
            <w:tcBorders/>
            <w:shd w:fill="CCEEFF" w:val="clear"/>
            <w:vAlign w:val="bottom"/>
          </w:tcPr>
          <w:p>
            <w:pPr>
              <w:pStyle w:val="TableContents"/>
              <w:spacing w:before="0" w:after="283"/>
              <w:rPr/>
            </w:pPr>
            <w:r>
              <w:rPr/>
              <w:t> </w:t>
            </w:r>
          </w:p>
        </w:tc>
        <w:tc>
          <w:tcPr>
            <w:tcW w:w="576" w:type="dxa"/>
            <w:tcBorders/>
            <w:shd w:fill="CCEEFF" w:val="clear"/>
            <w:vAlign w:val="bottom"/>
          </w:tcPr>
          <w:p>
            <w:pPr>
              <w:pStyle w:val="TableContents"/>
              <w:spacing w:before="0" w:after="283"/>
              <w:jc w:val="left"/>
              <w:rPr/>
            </w:pPr>
            <w:r>
              <w:rPr/>
              <w:t>$</w:t>
            </w:r>
          </w:p>
        </w:tc>
        <w:tc>
          <w:tcPr>
            <w:tcW w:w="1590" w:type="dxa"/>
            <w:tcBorders/>
            <w:shd w:fill="CCEEFF" w:val="clear"/>
            <w:vAlign w:val="bottom"/>
          </w:tcPr>
          <w:p>
            <w:pPr>
              <w:pStyle w:val="TableContents"/>
              <w:spacing w:before="0" w:after="283"/>
              <w:jc w:val="right"/>
              <w:rPr/>
            </w:pPr>
            <w:r>
              <w:rPr/>
              <w:t>784</w:t>
            </w:r>
          </w:p>
        </w:tc>
        <w:tc>
          <w:tcPr>
            <w:tcW w:w="6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left"/>
              <w:rPr/>
            </w:pPr>
            <w:r>
              <w:rPr/>
              <w:t>$</w:t>
            </w:r>
          </w:p>
        </w:tc>
        <w:tc>
          <w:tcPr>
            <w:tcW w:w="1286" w:type="dxa"/>
            <w:tcBorders/>
            <w:shd w:fill="CCEEFF" w:val="clear"/>
            <w:vAlign w:val="bottom"/>
          </w:tcPr>
          <w:p>
            <w:pPr>
              <w:pStyle w:val="TableContents"/>
              <w:spacing w:before="0" w:after="283"/>
              <w:jc w:val="right"/>
              <w:rPr/>
            </w:pPr>
            <w:r>
              <w:rPr/>
              <w:t>92</w:t>
            </w:r>
          </w:p>
        </w:tc>
        <w:tc>
          <w:tcPr>
            <w:tcW w:w="6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left"/>
              <w:rPr/>
            </w:pPr>
            <w:r>
              <w:rPr/>
              <w:t>$</w:t>
            </w:r>
          </w:p>
        </w:tc>
        <w:tc>
          <w:tcPr>
            <w:tcW w:w="1190" w:type="dxa"/>
            <w:tcBorders/>
            <w:shd w:fill="CCEEFF" w:val="clear"/>
            <w:vAlign w:val="bottom"/>
          </w:tcPr>
          <w:p>
            <w:pPr>
              <w:pStyle w:val="TableContents"/>
              <w:spacing w:before="0" w:after="283"/>
              <w:jc w:val="right"/>
              <w:rPr/>
            </w:pPr>
            <w:r>
              <w:rPr/>
              <w:t>599</w:t>
            </w:r>
          </w:p>
        </w:tc>
        <w:tc>
          <w:tcPr>
            <w:tcW w:w="78" w:type="dxa"/>
            <w:tcBorders/>
            <w:shd w:fill="CCEEFF" w:val="clear"/>
            <w:vAlign w:val="bottom"/>
          </w:tcPr>
          <w:p>
            <w:pPr>
              <w:pStyle w:val="TableContents"/>
              <w:spacing w:before="0" w:after="283"/>
              <w:rPr/>
            </w:pPr>
            <w:r>
              <w:rPr/>
              <w:t> </w:t>
            </w:r>
          </w:p>
        </w:tc>
      </w:tr>
      <w:tr>
        <w:trPr/>
        <w:tc>
          <w:tcPr>
            <w:tcW w:w="3913" w:type="dxa"/>
            <w:tcBorders/>
            <w:shd w:fill="auto" w:val="clear"/>
            <w:vAlign w:val="bottom"/>
          </w:tcPr>
          <w:p>
            <w:pPr>
              <w:pStyle w:val="TableContents"/>
              <w:spacing w:before="0" w:after="0"/>
              <w:ind w:left="225" w:right="0" w:hanging="225"/>
              <w:rPr/>
            </w:pPr>
            <w:r>
              <w:rPr/>
              <w:t>2013</w:t>
            </w:r>
          </w:p>
        </w:tc>
        <w:tc>
          <w:tcPr>
            <w:tcW w:w="111" w:type="dxa"/>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pPr>
            <w:r>
              <w:rPr/>
              <w:t>346</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jc w:val="right"/>
              <w:rPr/>
            </w:pPr>
            <w:r>
              <w:rPr/>
              <w:t>76</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599</w:t>
            </w:r>
          </w:p>
        </w:tc>
        <w:tc>
          <w:tcPr>
            <w:tcW w:w="78" w:type="dxa"/>
            <w:tcBorders/>
            <w:shd w:fill="auto" w:val="clear"/>
            <w:vAlign w:val="bottom"/>
          </w:tcPr>
          <w:p>
            <w:pPr>
              <w:pStyle w:val="TableContents"/>
              <w:spacing w:before="0" w:after="283"/>
              <w:rPr/>
            </w:pPr>
            <w:r>
              <w:rPr/>
              <w:t> </w:t>
            </w:r>
          </w:p>
        </w:tc>
      </w:tr>
      <w:tr>
        <w:trPr/>
        <w:tc>
          <w:tcPr>
            <w:tcW w:w="3913" w:type="dxa"/>
            <w:tcBorders/>
            <w:shd w:fill="CCEEFF" w:val="clear"/>
            <w:vAlign w:val="bottom"/>
          </w:tcPr>
          <w:p>
            <w:pPr>
              <w:pStyle w:val="TableContents"/>
              <w:spacing w:before="0" w:after="0"/>
              <w:ind w:left="225" w:right="0" w:hanging="225"/>
              <w:rPr/>
            </w:pPr>
            <w:r>
              <w:rPr/>
              <w:t>2014</w:t>
            </w:r>
          </w:p>
        </w:tc>
        <w:tc>
          <w:tcPr>
            <w:tcW w:w="111" w:type="dxa"/>
            <w:tcBorders/>
            <w:shd w:fill="CCEEFF" w:val="clear"/>
            <w:vAlign w:val="bottom"/>
          </w:tcPr>
          <w:p>
            <w:pPr>
              <w:pStyle w:val="TableContents"/>
              <w:spacing w:before="0" w:after="283"/>
              <w:rPr/>
            </w:pPr>
            <w:r>
              <w:rPr/>
              <w:t> </w:t>
            </w:r>
          </w:p>
        </w:tc>
        <w:tc>
          <w:tcPr>
            <w:tcW w:w="576"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pPr>
            <w:r>
              <w:rPr/>
              <w:t>271</w:t>
            </w:r>
          </w:p>
        </w:tc>
        <w:tc>
          <w:tcPr>
            <w:tcW w:w="6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283"/>
              <w:jc w:val="right"/>
              <w:rPr/>
            </w:pPr>
            <w:r>
              <w:rPr/>
              <w:t>62</w:t>
            </w:r>
          </w:p>
        </w:tc>
        <w:tc>
          <w:tcPr>
            <w:tcW w:w="6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599</w:t>
            </w:r>
          </w:p>
        </w:tc>
        <w:tc>
          <w:tcPr>
            <w:tcW w:w="78" w:type="dxa"/>
            <w:tcBorders/>
            <w:shd w:fill="CCEEFF" w:val="clear"/>
            <w:vAlign w:val="bottom"/>
          </w:tcPr>
          <w:p>
            <w:pPr>
              <w:pStyle w:val="TableContents"/>
              <w:spacing w:before="0" w:after="283"/>
              <w:rPr/>
            </w:pPr>
            <w:r>
              <w:rPr/>
              <w:t> </w:t>
            </w:r>
          </w:p>
        </w:tc>
      </w:tr>
      <w:tr>
        <w:trPr/>
        <w:tc>
          <w:tcPr>
            <w:tcW w:w="3913" w:type="dxa"/>
            <w:tcBorders/>
            <w:shd w:fill="auto" w:val="clear"/>
            <w:vAlign w:val="bottom"/>
          </w:tcPr>
          <w:p>
            <w:pPr>
              <w:pStyle w:val="TableContents"/>
              <w:spacing w:before="0" w:after="0"/>
              <w:ind w:left="225" w:right="0" w:hanging="225"/>
              <w:rPr/>
            </w:pPr>
            <w:r>
              <w:rPr/>
              <w:t>2015</w:t>
            </w:r>
          </w:p>
        </w:tc>
        <w:tc>
          <w:tcPr>
            <w:tcW w:w="111" w:type="dxa"/>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pPr>
            <w:r>
              <w:rPr/>
              <w:t>234</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jc w:val="right"/>
              <w:rPr/>
            </w:pPr>
            <w:r>
              <w:rPr/>
              <w:t>51</w:t>
            </w:r>
          </w:p>
        </w:tc>
        <w:tc>
          <w:tcPr>
            <w:tcW w:w="6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352</w:t>
            </w:r>
          </w:p>
        </w:tc>
        <w:tc>
          <w:tcPr>
            <w:tcW w:w="78" w:type="dxa"/>
            <w:tcBorders/>
            <w:shd w:fill="auto" w:val="clear"/>
            <w:vAlign w:val="bottom"/>
          </w:tcPr>
          <w:p>
            <w:pPr>
              <w:pStyle w:val="TableContents"/>
              <w:spacing w:before="0" w:after="283"/>
              <w:rPr/>
            </w:pPr>
            <w:r>
              <w:rPr/>
              <w:t> </w:t>
            </w:r>
          </w:p>
        </w:tc>
      </w:tr>
      <w:tr>
        <w:trPr/>
        <w:tc>
          <w:tcPr>
            <w:tcW w:w="3913" w:type="dxa"/>
            <w:tcBorders/>
            <w:shd w:fill="CCEEFF" w:val="clear"/>
            <w:vAlign w:val="bottom"/>
          </w:tcPr>
          <w:p>
            <w:pPr>
              <w:pStyle w:val="TableContents"/>
              <w:spacing w:before="0" w:after="0"/>
              <w:ind w:left="225" w:right="0" w:hanging="225"/>
              <w:rPr/>
            </w:pPr>
            <w:r>
              <w:rPr/>
              <w:t>2016</w:t>
            </w:r>
          </w:p>
        </w:tc>
        <w:tc>
          <w:tcPr>
            <w:tcW w:w="111" w:type="dxa"/>
            <w:tcBorders/>
            <w:shd w:fill="CCEEFF" w:val="clear"/>
            <w:vAlign w:val="bottom"/>
          </w:tcPr>
          <w:p>
            <w:pPr>
              <w:pStyle w:val="TableContents"/>
              <w:spacing w:before="0" w:after="283"/>
              <w:rPr/>
            </w:pPr>
            <w:r>
              <w:rPr/>
              <w:t> </w:t>
            </w:r>
          </w:p>
        </w:tc>
        <w:tc>
          <w:tcPr>
            <w:tcW w:w="576"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pPr>
            <w:r>
              <w:rPr/>
              <w:t>193</w:t>
            </w:r>
          </w:p>
        </w:tc>
        <w:tc>
          <w:tcPr>
            <w:tcW w:w="6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283"/>
              <w:jc w:val="right"/>
              <w:rPr/>
            </w:pPr>
            <w:r>
              <w:rPr/>
              <w:t>48</w:t>
            </w:r>
          </w:p>
        </w:tc>
        <w:tc>
          <w:tcPr>
            <w:tcW w:w="6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w:t>
            </w:r>
          </w:p>
        </w:tc>
        <w:tc>
          <w:tcPr>
            <w:tcW w:w="78"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acquisitions and dispositions occur in the future, amortization expense may vary from these estimates.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G: Accounts Payable and Other Accrued Expenses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Accounts payable and other accrued expenses consisted of the following: </w:t>
      </w:r>
    </w:p>
    <w:tbl>
      <w:tblPr>
        <w:tblW w:w="5000" w:type="pct"/>
        <w:jc w:val="center"/>
        <w:tblInd w:w="0" w:type="dxa"/>
        <w:tblCellMar>
          <w:top w:w="0" w:type="dxa"/>
          <w:left w:w="0" w:type="dxa"/>
          <w:bottom w:w="0" w:type="dxa"/>
          <w:right w:w="0" w:type="dxa"/>
        </w:tblCellMar>
      </w:tblPr>
      <w:tblGrid>
        <w:gridCol w:w="7314"/>
        <w:gridCol w:w="482"/>
        <w:gridCol w:w="142"/>
        <w:gridCol w:w="706"/>
        <w:gridCol w:w="113"/>
        <w:gridCol w:w="482"/>
        <w:gridCol w:w="142"/>
        <w:gridCol w:w="706"/>
        <w:gridCol w:w="118"/>
      </w:tblGrid>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91"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91" w:type="dxa"/>
            <w:gridSpan w:val="6"/>
            <w:tcBorders/>
            <w:shd w:fill="auto" w:val="clear"/>
            <w:vAlign w:val="bottom"/>
          </w:tcPr>
          <w:p>
            <w:pPr>
              <w:pStyle w:val="TableContents"/>
              <w:spacing w:before="0" w:after="283"/>
              <w:jc w:val="center"/>
              <w:rPr>
                <w:i/>
              </w:rPr>
            </w:pPr>
            <w:r>
              <w:rPr>
                <w:i/>
              </w:rPr>
              <w:t>(In thousands)</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Trade accounts payable</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706" w:type="dxa"/>
            <w:tcBorders/>
            <w:shd w:fill="CCEEFF" w:val="clear"/>
            <w:vAlign w:val="bottom"/>
          </w:tcPr>
          <w:p>
            <w:pPr>
              <w:pStyle w:val="TableContents"/>
              <w:spacing w:before="0" w:after="283"/>
              <w:jc w:val="right"/>
              <w:rPr/>
            </w:pPr>
            <w:r>
              <w:rPr/>
              <w:t>9,949</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706" w:type="dxa"/>
            <w:tcBorders/>
            <w:shd w:fill="CCEEFF" w:val="clear"/>
            <w:vAlign w:val="bottom"/>
          </w:tcPr>
          <w:p>
            <w:pPr>
              <w:pStyle w:val="TableContents"/>
              <w:spacing w:before="0" w:after="283"/>
              <w:jc w:val="right"/>
              <w:rPr/>
            </w:pPr>
            <w:r>
              <w:rPr/>
              <w:t>9,135</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Accrued payroll and related expenses</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22,326</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20,838</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Accrued interest</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13</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94</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Accrued rent and property taxes</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10,728</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9,121</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Accrual for expected losses on credit service letters of credit</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1,795</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1,699</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Collected funds payable to unaffiliated lenders under credit service programs</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1,705</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823</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Other accrued expenses</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10,884</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7,953</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center"/>
          </w:tcPr>
          <w:p>
            <w:pPr>
              <w:pStyle w:val="TableContents"/>
              <w:spacing w:before="0" w:after="0"/>
              <w:ind w:left="225" w:right="0" w:hanging="225"/>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w:t>
            </w:r>
          </w:p>
        </w:tc>
        <w:tc>
          <w:tcPr>
            <w:tcW w:w="706" w:type="dxa"/>
            <w:tcBorders/>
            <w:shd w:fill="auto" w:val="clear"/>
            <w:vAlign w:val="bottom"/>
          </w:tcPr>
          <w:p>
            <w:pPr>
              <w:pStyle w:val="TableContents"/>
              <w:spacing w:before="0" w:after="283"/>
              <w:jc w:val="right"/>
              <w:rPr/>
            </w:pPr>
            <w:r>
              <w:rPr/>
              <w:t>57,400</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w:t>
            </w:r>
          </w:p>
        </w:tc>
        <w:tc>
          <w:tcPr>
            <w:tcW w:w="706" w:type="dxa"/>
            <w:tcBorders/>
            <w:shd w:fill="auto" w:val="clear"/>
            <w:vAlign w:val="bottom"/>
          </w:tcPr>
          <w:p>
            <w:pPr>
              <w:pStyle w:val="TableContents"/>
              <w:spacing w:before="0" w:after="283"/>
              <w:jc w:val="right"/>
              <w:rPr/>
            </w:pPr>
            <w:r>
              <w:rPr/>
              <w:t>49,663</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center"/>
          </w:tcPr>
          <w:p>
            <w:pPr>
              <w:pStyle w:val="TableContents"/>
              <w:spacing w:before="0" w:after="0"/>
              <w:ind w:left="225" w:right="0" w:hanging="225"/>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H: Long-Term Debt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May 10, 2011, we entered into a new senior secured credit agreement with a syndicate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our $17.5 million outstanding debt. The new credit facility increases our available credit and provides greater flexibility to make investments and acquisitions both domestically and internationally.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credit agreement, we may choose to pay interest to the lenders for outstanding borrowings at LIBOR plus 200 to 275 basis points or the banks base rate plus 100 to 175 basis points, depending on our leverage ratio computed at the end of each calendar quarter. On the unused amount of the credit facility, we pay a commitment fee of 37.5 to 50 basis points depending on our leverage ratio calculated at the end of each quarter. From the closing date to approximately October 31, 2011, we paid a minimum interest rate of LIBOR plus 250 basis points or the banks base rate plus 150 basis points, at our option, and a commitment fee of 50 basis points on the unused portion of the credit line. Terms of the credit agreement require, among other things, that we meet certain financial covenants. At September 30, 2011, we were in compliance with all covenants. We expect the recorded value of our debt to approximate its fair value as it is all variable rate debt and carries no pre-payment penalty.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$17.5 million was outstanding under our revolving credit agreement. We also issued $5.0 million of bank letters of credit, leaving $152.5 million available on our revolving credit facility. The outstanding bank letters of credit secure our obligations under letters of credit we issue to unaffiliated lenders as part of our credit service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the credit agreement we expensed $0.1 million of unamortized deferred financing costs related to our former credit agreement and recorded approximately $2.3 million deferred financing costs related to our new facility. These costs are included in intangible assets, net on the balance sheet and are being amortized to interest expense over their four-year estimated useful life.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I: Common Stock, Options, and Stock Compensation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information on newly registered shares of our Class A Common Stock issued as acquisition consideration: </w:t>
      </w:r>
    </w:p>
    <w:tbl>
      <w:tblPr>
        <w:tblW w:w="5000" w:type="pct"/>
        <w:jc w:val="center"/>
        <w:tblInd w:w="0" w:type="dxa"/>
        <w:tblCellMar>
          <w:top w:w="0" w:type="dxa"/>
          <w:left w:w="0" w:type="dxa"/>
          <w:bottom w:w="0" w:type="dxa"/>
          <w:right w:w="0" w:type="dxa"/>
        </w:tblCellMar>
      </w:tblPr>
      <w:tblGrid>
        <w:gridCol w:w="5060"/>
        <w:gridCol w:w="387"/>
        <w:gridCol w:w="130"/>
        <w:gridCol w:w="1168"/>
        <w:gridCol w:w="130"/>
        <w:gridCol w:w="403"/>
        <w:gridCol w:w="155"/>
        <w:gridCol w:w="632"/>
        <w:gridCol w:w="130"/>
        <w:gridCol w:w="403"/>
        <w:gridCol w:w="130"/>
        <w:gridCol w:w="1356"/>
        <w:gridCol w:w="121"/>
      </w:tblGrid>
      <w:tr>
        <w:trPr/>
        <w:tc>
          <w:tcPr>
            <w:tcW w:w="50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5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4637"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21" w:type="dxa"/>
            <w:tcBorders/>
            <w:shd w:fill="auto"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29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78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48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1" w:type="dxa"/>
            <w:tcBorders/>
            <w:shd w:fill="auto"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before="0" w:after="0"/>
              <w:ind w:left="225" w:right="0" w:hanging="225"/>
              <w:rPr/>
            </w:pPr>
            <w:r>
              <w:rPr/>
              <w:t>Shares issued due to acquisitions</w:t>
            </w:r>
          </w:p>
        </w:tc>
        <w:tc>
          <w:tcPr>
            <w:tcW w:w="38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208,763</w:t>
            </w:r>
          </w:p>
        </w:tc>
        <w:tc>
          <w:tcPr>
            <w:tcW w:w="13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56" w:type="dxa"/>
            <w:tcBorders/>
            <w:shd w:fill="auto" w:val="clear"/>
            <w:vAlign w:val="bottom"/>
          </w:tcPr>
          <w:p>
            <w:pPr>
              <w:pStyle w:val="TableContents"/>
              <w:spacing w:before="0" w:after="283"/>
              <w:jc w:val="right"/>
              <w:rPr/>
            </w:pPr>
            <w:r>
              <w:rPr/>
              <w:t>5,174,900</w:t>
            </w:r>
          </w:p>
        </w:tc>
        <w:tc>
          <w:tcPr>
            <w:tcW w:w="121"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account for stock compensation in accordance with the fair value recognition and measurement provisions of FASB ASC 718-10-25 (Compensation-Stock Compensation). Compensation cost recognized includes compensation cost for all unvested stock compensation payments, based on the closing market price of our stock on the date of grant. We amortize the fair value of grants to compensation expense on a ratable basis over the vesting period for both cliff vesting and pro-rata vesting grants. We have not granted any stock options since fiscal 2007.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net income includes the following compensation costs related to our stock compensation arrangements: </w:t>
      </w:r>
    </w:p>
    <w:tbl>
      <w:tblPr>
        <w:tblW w:w="5000" w:type="pct"/>
        <w:jc w:val="center"/>
        <w:tblInd w:w="0" w:type="dxa"/>
        <w:tblCellMar>
          <w:top w:w="0" w:type="dxa"/>
          <w:left w:w="0" w:type="dxa"/>
          <w:bottom w:w="0" w:type="dxa"/>
          <w:right w:w="0" w:type="dxa"/>
        </w:tblCellMar>
      </w:tblPr>
      <w:tblGrid>
        <w:gridCol w:w="4990"/>
        <w:gridCol w:w="370"/>
        <w:gridCol w:w="191"/>
        <w:gridCol w:w="941"/>
        <w:gridCol w:w="150"/>
        <w:gridCol w:w="380"/>
        <w:gridCol w:w="249"/>
        <w:gridCol w:w="1164"/>
        <w:gridCol w:w="150"/>
        <w:gridCol w:w="380"/>
        <w:gridCol w:w="191"/>
        <w:gridCol w:w="906"/>
        <w:gridCol w:w="143"/>
      </w:tblGrid>
      <w:tr>
        <w:trPr/>
        <w:tc>
          <w:tcPr>
            <w:tcW w:w="499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499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4702"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43" w:type="dxa"/>
            <w:tcBorders/>
            <w:shd w:fill="auto" w:val="clear"/>
            <w:vAlign w:val="bottom"/>
          </w:tcPr>
          <w:p>
            <w:pPr>
              <w:pStyle w:val="TableContents"/>
              <w:spacing w:before="0" w:after="283"/>
              <w:rPr/>
            </w:pPr>
            <w:r>
              <w:rPr/>
              <w:t> </w:t>
            </w:r>
          </w:p>
        </w:tc>
      </w:tr>
      <w:tr>
        <w:trPr/>
        <w:tc>
          <w:tcPr>
            <w:tcW w:w="499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13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41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09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3" w:type="dxa"/>
            <w:tcBorders/>
            <w:shd w:fill="auto" w:val="clear"/>
            <w:vAlign w:val="bottom"/>
          </w:tcPr>
          <w:p>
            <w:pPr>
              <w:pStyle w:val="TableContents"/>
              <w:spacing w:before="0" w:after="283"/>
              <w:rPr/>
            </w:pPr>
            <w:r>
              <w:rPr/>
              <w:t> </w:t>
            </w:r>
          </w:p>
        </w:tc>
      </w:tr>
      <w:tr>
        <w:trPr/>
        <w:tc>
          <w:tcPr>
            <w:tcW w:w="499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413" w:type="dxa"/>
            <w:gridSpan w:val="2"/>
            <w:tcBorders/>
            <w:shd w:fill="auto" w:val="clear"/>
            <w:vAlign w:val="bottom"/>
          </w:tcPr>
          <w:p>
            <w:pPr>
              <w:pStyle w:val="TableContents"/>
              <w:spacing w:before="0" w:after="283"/>
              <w:jc w:val="center"/>
              <w:rPr>
                <w:i/>
              </w:rPr>
            </w:pPr>
            <w:r>
              <w:rPr>
                <w:i/>
              </w:rPr>
              <w:t>(In thousands)</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4990" w:type="dxa"/>
            <w:tcBorders/>
            <w:shd w:fill="CCEEFF" w:val="clear"/>
            <w:vAlign w:val="bottom"/>
          </w:tcPr>
          <w:p>
            <w:pPr>
              <w:pStyle w:val="TableContents"/>
              <w:spacing w:before="0" w:after="0"/>
              <w:ind w:left="225" w:right="0" w:hanging="225"/>
              <w:rPr/>
            </w:pPr>
            <w:r>
              <w:rPr/>
              <w:t>Gross compensation costs</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r>
      <w:tr>
        <w:trPr/>
        <w:tc>
          <w:tcPr>
            <w:tcW w:w="4990" w:type="dxa"/>
            <w:tcBorders/>
            <w:shd w:fill="auto" w:val="clear"/>
            <w:vAlign w:val="bottom"/>
          </w:tcPr>
          <w:p>
            <w:pPr>
              <w:pStyle w:val="TableContents"/>
              <w:spacing w:before="0" w:after="0"/>
              <w:ind w:left="450" w:right="0" w:hanging="225"/>
              <w:rPr/>
            </w:pPr>
            <w:r>
              <w:rPr/>
              <w:t>Stock options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jc w:val="left"/>
              <w:rPr/>
            </w:pPr>
            <w:r>
              <w:rPr/>
              <w:t>$</w:t>
            </w:r>
          </w:p>
        </w:tc>
        <w:tc>
          <w:tcPr>
            <w:tcW w:w="1164" w:type="dxa"/>
            <w:tcBorders/>
            <w:shd w:fill="auto" w:val="clear"/>
            <w:vAlign w:val="bottom"/>
          </w:tcPr>
          <w:p>
            <w:pPr>
              <w:pStyle w:val="TableContents"/>
              <w:spacing w:before="0" w:after="283"/>
              <w:jc w:val="right"/>
              <w:rPr/>
            </w:pPr>
            <w:r>
              <w:rPr/>
              <w:t>4</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06" w:type="dxa"/>
            <w:tcBorders/>
            <w:shd w:fill="auto" w:val="clear"/>
            <w:vAlign w:val="bottom"/>
          </w:tcPr>
          <w:p>
            <w:pPr>
              <w:pStyle w:val="TableContents"/>
              <w:spacing w:before="0" w:after="283"/>
              <w:jc w:val="right"/>
              <w:rPr/>
            </w:pPr>
            <w:r>
              <w:rPr/>
              <w:t>63</w:t>
            </w:r>
          </w:p>
        </w:tc>
        <w:tc>
          <w:tcPr>
            <w:tcW w:w="143" w:type="dxa"/>
            <w:tcBorders/>
            <w:shd w:fill="auto" w:val="clear"/>
            <w:vAlign w:val="bottom"/>
          </w:tcPr>
          <w:p>
            <w:pPr>
              <w:pStyle w:val="TableContents"/>
              <w:spacing w:before="0" w:after="283"/>
              <w:rPr/>
            </w:pPr>
            <w:r>
              <w:rPr/>
              <w:t> </w:t>
            </w:r>
          </w:p>
        </w:tc>
      </w:tr>
      <w:tr>
        <w:trPr/>
        <w:tc>
          <w:tcPr>
            <w:tcW w:w="4990" w:type="dxa"/>
            <w:tcBorders/>
            <w:shd w:fill="CCEEFF" w:val="clear"/>
            <w:vAlign w:val="bottom"/>
          </w:tcPr>
          <w:p>
            <w:pPr>
              <w:pStyle w:val="TableContents"/>
              <w:spacing w:before="0" w:after="0"/>
              <w:ind w:left="450" w:right="0" w:hanging="225"/>
              <w:rPr/>
            </w:pPr>
            <w:r>
              <w:rPr/>
              <w:t>Restricted stock</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13,208</w:t>
            </w:r>
          </w:p>
        </w:tc>
        <w:tc>
          <w:tcPr>
            <w:tcW w:w="15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4,508</w:t>
            </w:r>
          </w:p>
        </w:tc>
        <w:tc>
          <w:tcPr>
            <w:tcW w:w="15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3,638</w:t>
            </w:r>
          </w:p>
        </w:tc>
        <w:tc>
          <w:tcPr>
            <w:tcW w:w="143" w:type="dxa"/>
            <w:tcBorders/>
            <w:shd w:fill="CCEEFF" w:val="clear"/>
            <w:vAlign w:val="bottom"/>
          </w:tcPr>
          <w:p>
            <w:pPr>
              <w:pStyle w:val="TableContents"/>
              <w:spacing w:before="0" w:after="283"/>
              <w:rPr/>
            </w:pPr>
            <w:r>
              <w:rPr/>
              <w:t> </w:t>
            </w:r>
          </w:p>
        </w:tc>
      </w:tr>
      <w:tr>
        <w:trPr/>
        <w:tc>
          <w:tcPr>
            <w:tcW w:w="4990"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14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10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4990" w:type="dxa"/>
            <w:tcBorders/>
            <w:shd w:fill="auto" w:val="clear"/>
            <w:vAlign w:val="bottom"/>
          </w:tcPr>
          <w:p>
            <w:pPr>
              <w:pStyle w:val="TableContents"/>
              <w:spacing w:before="0" w:after="0"/>
              <w:ind w:left="450" w:right="0" w:hanging="225"/>
              <w:rPr/>
            </w:pPr>
            <w:r>
              <w:rPr/>
              <w:t>Total gross compensation costs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13,208</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4,512</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3,701</w:t>
            </w:r>
          </w:p>
        </w:tc>
        <w:tc>
          <w:tcPr>
            <w:tcW w:w="143" w:type="dxa"/>
            <w:tcBorders/>
            <w:shd w:fill="auto" w:val="clear"/>
            <w:vAlign w:val="bottom"/>
          </w:tcPr>
          <w:p>
            <w:pPr>
              <w:pStyle w:val="TableContents"/>
              <w:spacing w:before="0" w:after="283"/>
              <w:rPr/>
            </w:pPr>
            <w:r>
              <w:rPr/>
              <w:t> </w:t>
            </w:r>
          </w:p>
        </w:tc>
      </w:tr>
      <w:tr>
        <w:trPr/>
        <w:tc>
          <w:tcPr>
            <w:tcW w:w="4990"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4990" w:type="dxa"/>
            <w:tcBorders/>
            <w:shd w:fill="CCEEFF" w:val="clear"/>
            <w:vAlign w:val="bottom"/>
          </w:tcPr>
          <w:p>
            <w:pPr>
              <w:pStyle w:val="TableContents"/>
              <w:spacing w:before="0" w:after="0"/>
              <w:ind w:left="225" w:right="0" w:hanging="225"/>
              <w:rPr/>
            </w:pPr>
            <w:r>
              <w:rPr/>
              <w:t>Income tax benefits</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r>
      <w:tr>
        <w:trPr/>
        <w:tc>
          <w:tcPr>
            <w:tcW w:w="4990" w:type="dxa"/>
            <w:tcBorders/>
            <w:shd w:fill="auto" w:val="clear"/>
            <w:vAlign w:val="bottom"/>
          </w:tcPr>
          <w:p>
            <w:pPr>
              <w:pStyle w:val="TableContents"/>
              <w:spacing w:before="0" w:after="0"/>
              <w:ind w:left="450" w:right="0" w:hanging="225"/>
              <w:rPr/>
            </w:pPr>
            <w:r>
              <w:rPr/>
              <w:t>Stock options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941" w:type="dxa"/>
            <w:tcBorders/>
            <w:shd w:fill="auto" w:val="clear"/>
            <w:vAlign w:val="bottom"/>
          </w:tcPr>
          <w:p>
            <w:pPr>
              <w:pStyle w:val="TableContents"/>
              <w:spacing w:before="0" w:after="283"/>
              <w:jc w:val="right"/>
              <w:rPr/>
            </w:pPr>
            <w:r>
              <w:rPr/>
              <w:t>(1</w:t>
            </w:r>
          </w:p>
        </w:tc>
        <w:tc>
          <w:tcPr>
            <w:tcW w:w="150" w:type="dxa"/>
            <w:tcBorders/>
            <w:shd w:fill="auto" w:val="clear"/>
            <w:vAlign w:val="bottom"/>
          </w:tcPr>
          <w:p>
            <w:pPr>
              <w:pStyle w:val="TableContents"/>
              <w:spacing w:before="0" w:after="283"/>
              <w:rPr/>
            </w:pPr>
            <w:r>
              <w:rPr/>
              <w:t>)</w:t>
            </w:r>
          </w:p>
        </w:tc>
        <w:tc>
          <w:tcPr>
            <w:tcW w:w="38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jc w:val="left"/>
              <w:rPr/>
            </w:pPr>
            <w:r>
              <w:rPr/>
              <w:t> </w:t>
            </w:r>
          </w:p>
        </w:tc>
        <w:tc>
          <w:tcPr>
            <w:tcW w:w="1164" w:type="dxa"/>
            <w:tcBorders/>
            <w:shd w:fill="auto" w:val="clear"/>
            <w:vAlign w:val="bottom"/>
          </w:tcPr>
          <w:p>
            <w:pPr>
              <w:pStyle w:val="TableContents"/>
              <w:spacing w:before="0" w:after="283"/>
              <w:jc w:val="right"/>
              <w:rPr/>
            </w:pPr>
            <w:r>
              <w:rPr/>
              <w:t>(56</w:t>
            </w:r>
          </w:p>
        </w:tc>
        <w:tc>
          <w:tcPr>
            <w:tcW w:w="150" w:type="dxa"/>
            <w:tcBorders/>
            <w:shd w:fill="auto" w:val="clear"/>
            <w:vAlign w:val="bottom"/>
          </w:tcPr>
          <w:p>
            <w:pPr>
              <w:pStyle w:val="TableContents"/>
              <w:spacing w:before="0" w:after="283"/>
              <w:rPr/>
            </w:pPr>
            <w:r>
              <w:rPr/>
              <w:t>)</w:t>
            </w:r>
          </w:p>
        </w:tc>
        <w:tc>
          <w:tcPr>
            <w:tcW w:w="38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283"/>
              <w:jc w:val="right"/>
              <w:rPr/>
            </w:pPr>
            <w:r>
              <w:rPr/>
              <w:t>(32</w:t>
            </w:r>
          </w:p>
        </w:tc>
        <w:tc>
          <w:tcPr>
            <w:tcW w:w="143" w:type="dxa"/>
            <w:tcBorders/>
            <w:shd w:fill="auto" w:val="clear"/>
            <w:vAlign w:val="bottom"/>
          </w:tcPr>
          <w:p>
            <w:pPr>
              <w:pStyle w:val="TableContents"/>
              <w:spacing w:before="0" w:after="283"/>
              <w:rPr/>
            </w:pPr>
            <w:r>
              <w:rPr/>
              <w:t>)</w:t>
            </w:r>
          </w:p>
        </w:tc>
      </w:tr>
      <w:tr>
        <w:trPr/>
        <w:tc>
          <w:tcPr>
            <w:tcW w:w="4990" w:type="dxa"/>
            <w:tcBorders/>
            <w:shd w:fill="CCEEFF" w:val="clear"/>
            <w:vAlign w:val="bottom"/>
          </w:tcPr>
          <w:p>
            <w:pPr>
              <w:pStyle w:val="TableContents"/>
              <w:spacing w:before="0" w:after="0"/>
              <w:ind w:left="450" w:right="0" w:hanging="225"/>
              <w:rPr/>
            </w:pPr>
            <w:r>
              <w:rPr/>
              <w:t>Restricted stock</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 </w:t>
            </w:r>
          </w:p>
        </w:tc>
        <w:tc>
          <w:tcPr>
            <w:tcW w:w="941" w:type="dxa"/>
            <w:tcBorders/>
            <w:shd w:fill="CCEEFF" w:val="clear"/>
            <w:vAlign w:val="bottom"/>
          </w:tcPr>
          <w:p>
            <w:pPr>
              <w:pStyle w:val="TableContents"/>
              <w:spacing w:before="0" w:after="283"/>
              <w:jc w:val="right"/>
              <w:rPr/>
            </w:pPr>
            <w:r>
              <w:rPr/>
              <w:t>(4,508</w:t>
            </w:r>
          </w:p>
        </w:tc>
        <w:tc>
          <w:tcPr>
            <w:tcW w:w="150" w:type="dxa"/>
            <w:tcBorders/>
            <w:shd w:fill="CCEEFF" w:val="clear"/>
            <w:vAlign w:val="bottom"/>
          </w:tcPr>
          <w:p>
            <w:pPr>
              <w:pStyle w:val="TableContents"/>
              <w:spacing w:before="0" w:after="283"/>
              <w:rPr/>
            </w:pPr>
            <w:r>
              <w:rPr/>
              <w:t>)</w:t>
            </w:r>
          </w:p>
        </w:tc>
        <w:tc>
          <w:tcPr>
            <w:tcW w:w="38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pPr>
            <w:r>
              <w:rPr/>
              <w:t>(1,517</w:t>
            </w:r>
          </w:p>
        </w:tc>
        <w:tc>
          <w:tcPr>
            <w:tcW w:w="150" w:type="dxa"/>
            <w:tcBorders/>
            <w:shd w:fill="CCEEFF" w:val="clear"/>
            <w:vAlign w:val="bottom"/>
          </w:tcPr>
          <w:p>
            <w:pPr>
              <w:pStyle w:val="TableContents"/>
              <w:spacing w:before="0" w:after="283"/>
              <w:rPr/>
            </w:pPr>
            <w:r>
              <w:rPr/>
              <w:t>)</w:t>
            </w:r>
          </w:p>
        </w:tc>
        <w:tc>
          <w:tcPr>
            <w:tcW w:w="38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 </w:t>
            </w:r>
          </w:p>
        </w:tc>
        <w:tc>
          <w:tcPr>
            <w:tcW w:w="906" w:type="dxa"/>
            <w:tcBorders/>
            <w:shd w:fill="CCEEFF" w:val="clear"/>
            <w:vAlign w:val="bottom"/>
          </w:tcPr>
          <w:p>
            <w:pPr>
              <w:pStyle w:val="TableContents"/>
              <w:spacing w:before="0" w:after="283"/>
              <w:jc w:val="right"/>
              <w:rPr/>
            </w:pPr>
            <w:r>
              <w:rPr/>
              <w:t>(1,208</w:t>
            </w:r>
          </w:p>
        </w:tc>
        <w:tc>
          <w:tcPr>
            <w:tcW w:w="143" w:type="dxa"/>
            <w:tcBorders/>
            <w:shd w:fill="CCEEFF" w:val="clear"/>
            <w:vAlign w:val="bottom"/>
          </w:tcPr>
          <w:p>
            <w:pPr>
              <w:pStyle w:val="TableContents"/>
              <w:spacing w:before="0" w:after="283"/>
              <w:rPr/>
            </w:pPr>
            <w:r>
              <w:rPr/>
              <w:t>)</w:t>
            </w:r>
          </w:p>
        </w:tc>
      </w:tr>
      <w:tr>
        <w:trPr/>
        <w:tc>
          <w:tcPr>
            <w:tcW w:w="4990"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14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10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4990" w:type="dxa"/>
            <w:tcBorders/>
            <w:shd w:fill="auto" w:val="clear"/>
            <w:vAlign w:val="bottom"/>
          </w:tcPr>
          <w:p>
            <w:pPr>
              <w:pStyle w:val="TableContents"/>
              <w:spacing w:before="0" w:after="0"/>
              <w:ind w:left="450" w:right="0" w:hanging="225"/>
              <w:rPr/>
            </w:pPr>
            <w:r>
              <w:rPr/>
              <w:t>Total income tax benefits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941" w:type="dxa"/>
            <w:tcBorders/>
            <w:shd w:fill="auto" w:val="clear"/>
            <w:vAlign w:val="bottom"/>
          </w:tcPr>
          <w:p>
            <w:pPr>
              <w:pStyle w:val="TableContents"/>
              <w:spacing w:before="0" w:after="283"/>
              <w:jc w:val="right"/>
              <w:rPr/>
            </w:pPr>
            <w:r>
              <w:rPr/>
              <w:t>(4,509</w:t>
            </w:r>
          </w:p>
        </w:tc>
        <w:tc>
          <w:tcPr>
            <w:tcW w:w="150" w:type="dxa"/>
            <w:tcBorders/>
            <w:shd w:fill="auto" w:val="clear"/>
            <w:vAlign w:val="bottom"/>
          </w:tcPr>
          <w:p>
            <w:pPr>
              <w:pStyle w:val="TableContents"/>
              <w:spacing w:before="0" w:after="283"/>
              <w:rPr/>
            </w:pPr>
            <w:r>
              <w:rPr/>
              <w:t>)</w:t>
            </w:r>
          </w:p>
        </w:tc>
        <w:tc>
          <w:tcPr>
            <w:tcW w:w="38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jc w:val="left"/>
              <w:rPr/>
            </w:pPr>
            <w:r>
              <w:rPr/>
              <w:t> </w:t>
            </w:r>
          </w:p>
        </w:tc>
        <w:tc>
          <w:tcPr>
            <w:tcW w:w="1164" w:type="dxa"/>
            <w:tcBorders/>
            <w:shd w:fill="auto" w:val="clear"/>
            <w:vAlign w:val="bottom"/>
          </w:tcPr>
          <w:p>
            <w:pPr>
              <w:pStyle w:val="TableContents"/>
              <w:spacing w:before="0" w:after="283"/>
              <w:jc w:val="right"/>
              <w:rPr/>
            </w:pPr>
            <w:r>
              <w:rPr/>
              <w:t>(1,573</w:t>
            </w:r>
          </w:p>
        </w:tc>
        <w:tc>
          <w:tcPr>
            <w:tcW w:w="150" w:type="dxa"/>
            <w:tcBorders/>
            <w:shd w:fill="auto" w:val="clear"/>
            <w:vAlign w:val="bottom"/>
          </w:tcPr>
          <w:p>
            <w:pPr>
              <w:pStyle w:val="TableContents"/>
              <w:spacing w:before="0" w:after="283"/>
              <w:rPr/>
            </w:pPr>
            <w:r>
              <w:rPr/>
              <w:t>)</w:t>
            </w:r>
          </w:p>
        </w:tc>
        <w:tc>
          <w:tcPr>
            <w:tcW w:w="38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283"/>
              <w:jc w:val="right"/>
              <w:rPr/>
            </w:pPr>
            <w:r>
              <w:rPr/>
              <w:t>(1,240</w:t>
            </w:r>
          </w:p>
        </w:tc>
        <w:tc>
          <w:tcPr>
            <w:tcW w:w="143" w:type="dxa"/>
            <w:tcBorders/>
            <w:shd w:fill="auto" w:val="clear"/>
            <w:vAlign w:val="bottom"/>
          </w:tcPr>
          <w:p>
            <w:pPr>
              <w:pStyle w:val="TableContents"/>
              <w:spacing w:before="0" w:after="283"/>
              <w:rPr/>
            </w:pPr>
            <w:r>
              <w:rPr/>
              <w:t>)</w:t>
            </w:r>
          </w:p>
        </w:tc>
      </w:tr>
      <w:tr>
        <w:trPr/>
        <w:tc>
          <w:tcPr>
            <w:tcW w:w="4990"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14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10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4990"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4990" w:type="dxa"/>
            <w:tcBorders/>
            <w:shd w:fill="CCEEFF" w:val="clear"/>
            <w:vAlign w:val="bottom"/>
          </w:tcPr>
          <w:p>
            <w:pPr>
              <w:pStyle w:val="TableContents"/>
              <w:spacing w:before="0" w:after="0"/>
              <w:ind w:left="225" w:right="0" w:hanging="225"/>
              <w:rPr/>
            </w:pPr>
            <w:r>
              <w:rPr/>
              <w:t>Net compensation expense</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941" w:type="dxa"/>
            <w:tcBorders/>
            <w:shd w:fill="CCEEFF" w:val="clear"/>
            <w:vAlign w:val="bottom"/>
          </w:tcPr>
          <w:p>
            <w:pPr>
              <w:pStyle w:val="TableContents"/>
              <w:spacing w:before="0" w:after="283"/>
              <w:jc w:val="right"/>
              <w:rPr/>
            </w:pPr>
            <w:r>
              <w:rPr/>
              <w:t>8,699</w:t>
            </w:r>
          </w:p>
        </w:tc>
        <w:tc>
          <w:tcPr>
            <w:tcW w:w="15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jc w:val="left"/>
              <w:rPr/>
            </w:pPr>
            <w:r>
              <w:rPr/>
              <w:t>$</w:t>
            </w:r>
          </w:p>
        </w:tc>
        <w:tc>
          <w:tcPr>
            <w:tcW w:w="1164" w:type="dxa"/>
            <w:tcBorders/>
            <w:shd w:fill="CCEEFF" w:val="clear"/>
            <w:vAlign w:val="bottom"/>
          </w:tcPr>
          <w:p>
            <w:pPr>
              <w:pStyle w:val="TableContents"/>
              <w:spacing w:before="0" w:after="283"/>
              <w:jc w:val="right"/>
              <w:rPr/>
            </w:pPr>
            <w:r>
              <w:rPr/>
              <w:t>2,939</w:t>
            </w:r>
          </w:p>
        </w:tc>
        <w:tc>
          <w:tcPr>
            <w:tcW w:w="15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906" w:type="dxa"/>
            <w:tcBorders/>
            <w:shd w:fill="CCEEFF" w:val="clear"/>
            <w:vAlign w:val="bottom"/>
          </w:tcPr>
          <w:p>
            <w:pPr>
              <w:pStyle w:val="TableContents"/>
              <w:spacing w:before="0" w:after="283"/>
              <w:jc w:val="right"/>
              <w:rPr/>
            </w:pPr>
            <w:r>
              <w:rPr/>
              <w:t>2,461</w:t>
            </w:r>
          </w:p>
        </w:tc>
        <w:tc>
          <w:tcPr>
            <w:tcW w:w="143" w:type="dxa"/>
            <w:tcBorders/>
            <w:shd w:fill="CCEEFF" w:val="clear"/>
            <w:vAlign w:val="bottom"/>
          </w:tcPr>
          <w:p>
            <w:pPr>
              <w:pStyle w:val="TableContents"/>
              <w:spacing w:before="0" w:after="283"/>
              <w:rPr/>
            </w:pPr>
            <w:r>
              <w:rPr/>
              <w:t> </w:t>
            </w:r>
          </w:p>
        </w:tc>
      </w:tr>
      <w:tr>
        <w:trPr/>
        <w:tc>
          <w:tcPr>
            <w:tcW w:w="4990"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141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10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options and restricted stock relate to our Class A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non-employee directors have been granted restricted stock awards and non-qualified stock options that vest in one to two years from grant, with the options expiring in ten years. Restricted stock awards, non-qualified options and incentive stock options have been granted to our officers and employees under our 1998, 2003, 2006 and 2010 Incentive Plans. Most options have a contractual life of ten years and provide for pro-rata vesting over five years, but some provide for cliff vesting. Outstanding options have been granted with strike prices ranging from $0.86 per share to $4.05 per share. These were granted at or above the market price at the time of grant, and had no intrinsic value on the grant date.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May 1, 2010 our Board of Directors approved the adoption of the EZCORP, Inc. 2010 Long-Term Incentive Plan (the 2010 Plan). The 2010 Plan permits grants of options, restricted stock awards (RSAs) and stock appreciation rights covering up to 1,575,750 shares of our Class A Common Stock, including 75,750 shares that remained available for issuance under the previous plan. Awards that expire or are canceled without delivery of shares under the 2010 Incentive Plan generally become available for issuance in new grants. We generally issue new shares to satisfy stock option exercises, but used 10,000 treasury shares to satisfy one option exercise in fiscal 2009. We no longer hold any treasury shares. At September 30, 2011, 779,750 shares were available for grant under the 2010 Plan.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measure the fair value of RSAs based upon the closing market price of our common stock as of the grant date. A summary of the RSA activity as follows: </w:t>
      </w:r>
    </w:p>
    <w:tbl>
      <w:tblPr>
        <w:tblW w:w="5000" w:type="pct"/>
        <w:jc w:val="center"/>
        <w:tblInd w:w="0" w:type="dxa"/>
        <w:tblCellMar>
          <w:top w:w="0" w:type="dxa"/>
          <w:left w:w="0" w:type="dxa"/>
          <w:bottom w:w="0" w:type="dxa"/>
          <w:right w:w="0" w:type="dxa"/>
        </w:tblCellMar>
      </w:tblPr>
      <w:tblGrid>
        <w:gridCol w:w="5299"/>
        <w:gridCol w:w="346"/>
        <w:gridCol w:w="155"/>
        <w:gridCol w:w="2014"/>
        <w:gridCol w:w="213"/>
        <w:gridCol w:w="391"/>
        <w:gridCol w:w="319"/>
        <w:gridCol w:w="1352"/>
        <w:gridCol w:w="116"/>
      </w:tblGrid>
      <w:tr>
        <w:trPr/>
        <w:tc>
          <w:tcPr>
            <w:tcW w:w="5299"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5299"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4444"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 2011</w:t>
            </w:r>
          </w:p>
        </w:tc>
        <w:tc>
          <w:tcPr>
            <w:tcW w:w="116" w:type="dxa"/>
            <w:tcBorders/>
            <w:shd w:fill="auto" w:val="clear"/>
            <w:vAlign w:val="bottom"/>
          </w:tcPr>
          <w:p>
            <w:pPr>
              <w:pStyle w:val="TableContents"/>
              <w:spacing w:before="0" w:after="283"/>
              <w:rPr/>
            </w:pPr>
            <w:r>
              <w:rPr/>
              <w:t> </w:t>
            </w:r>
          </w:p>
        </w:tc>
      </w:tr>
      <w:tr>
        <w:trPr/>
        <w:tc>
          <w:tcPr>
            <w:tcW w:w="5299"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671" w:type="dxa"/>
            <w:gridSpan w:val="2"/>
            <w:tcBorders/>
            <w:shd w:fill="auto" w:val="clear"/>
            <w:vAlign w:val="bottom"/>
          </w:tcPr>
          <w:p>
            <w:pPr>
              <w:pStyle w:val="TableContents"/>
              <w:spacing w:before="0" w:after="283"/>
              <w:jc w:val="center"/>
              <w:rPr/>
            </w:pPr>
            <w:r>
              <w:rPr/>
              <w:t>Weighted</w:t>
            </w:r>
          </w:p>
        </w:tc>
        <w:tc>
          <w:tcPr>
            <w:tcW w:w="116" w:type="dxa"/>
            <w:tcBorders/>
            <w:shd w:fill="auto" w:val="clear"/>
            <w:vAlign w:val="bottom"/>
          </w:tcPr>
          <w:p>
            <w:pPr>
              <w:pStyle w:val="TableContents"/>
              <w:spacing w:before="0" w:after="283"/>
              <w:rPr/>
            </w:pPr>
            <w:r>
              <w:rPr/>
              <w:t> </w:t>
            </w:r>
          </w:p>
        </w:tc>
      </w:tr>
      <w:tr>
        <w:trPr/>
        <w:tc>
          <w:tcPr>
            <w:tcW w:w="5299"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671" w:type="dxa"/>
            <w:gridSpan w:val="2"/>
            <w:tcBorders/>
            <w:shd w:fill="auto" w:val="clear"/>
            <w:vAlign w:val="bottom"/>
          </w:tcPr>
          <w:p>
            <w:pPr>
              <w:pStyle w:val="TableContents"/>
              <w:spacing w:before="0" w:after="283"/>
              <w:jc w:val="center"/>
              <w:rPr/>
            </w:pPr>
            <w:r>
              <w:rPr/>
              <w:t>Average Grant</w:t>
            </w:r>
          </w:p>
        </w:tc>
        <w:tc>
          <w:tcPr>
            <w:tcW w:w="116" w:type="dxa"/>
            <w:tcBorders/>
            <w:shd w:fill="auto" w:val="clear"/>
            <w:vAlign w:val="bottom"/>
          </w:tcPr>
          <w:p>
            <w:pPr>
              <w:pStyle w:val="TableContents"/>
              <w:spacing w:before="0" w:after="283"/>
              <w:rPr/>
            </w:pPr>
            <w:r>
              <w:rPr/>
              <w:t> </w:t>
            </w:r>
          </w:p>
        </w:tc>
      </w:tr>
      <w:tr>
        <w:trPr/>
        <w:tc>
          <w:tcPr>
            <w:tcW w:w="5299"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169" w:type="dxa"/>
            <w:gridSpan w:val="2"/>
            <w:tcBorders>
              <w:bottom w:val="single" w:sz="2" w:space="0" w:color="000000"/>
            </w:tcBorders>
            <w:shd w:fill="auto" w:val="clear"/>
            <w:tcMar>
              <w:bottom w:w="28" w:type="dxa"/>
            </w:tcMar>
            <w:vAlign w:val="bottom"/>
          </w:tcPr>
          <w:p>
            <w:pPr>
              <w:pStyle w:val="TableContents"/>
              <w:spacing w:before="0" w:after="283"/>
              <w:jc w:val="center"/>
              <w:rPr/>
            </w:pPr>
            <w:r>
              <w:rPr/>
              <w:t>Shares</w:t>
            </w:r>
          </w:p>
        </w:tc>
        <w:tc>
          <w:tcPr>
            <w:tcW w:w="2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671" w:type="dxa"/>
            <w:gridSpan w:val="2"/>
            <w:tcBorders>
              <w:bottom w:val="single" w:sz="2" w:space="0" w:color="000000"/>
            </w:tcBorders>
            <w:shd w:fill="auto" w:val="clear"/>
            <w:tcMar>
              <w:bottom w:w="28" w:type="dxa"/>
            </w:tcMar>
            <w:vAlign w:val="bottom"/>
          </w:tcPr>
          <w:p>
            <w:pPr>
              <w:pStyle w:val="TableContents"/>
              <w:spacing w:before="0" w:after="283"/>
              <w:jc w:val="center"/>
              <w:rPr/>
            </w:pPr>
            <w:r>
              <w:rPr/>
              <w:t>Date Fair Value</w:t>
            </w:r>
          </w:p>
        </w:tc>
        <w:tc>
          <w:tcPr>
            <w:tcW w:w="116" w:type="dxa"/>
            <w:tcBorders/>
            <w:shd w:fill="auto" w:val="clear"/>
            <w:vAlign w:val="bottom"/>
          </w:tcPr>
          <w:p>
            <w:pPr>
              <w:pStyle w:val="TableContents"/>
              <w:spacing w:before="0" w:after="283"/>
              <w:rPr/>
            </w:pPr>
            <w:r>
              <w:rPr/>
              <w:t> </w:t>
            </w:r>
          </w:p>
        </w:tc>
      </w:tr>
      <w:tr>
        <w:trPr/>
        <w:tc>
          <w:tcPr>
            <w:tcW w:w="5299" w:type="dxa"/>
            <w:tcBorders/>
            <w:shd w:fill="CCEEFF" w:val="clear"/>
            <w:vAlign w:val="bottom"/>
          </w:tcPr>
          <w:p>
            <w:pPr>
              <w:pStyle w:val="TableContents"/>
              <w:spacing w:before="0" w:after="0"/>
              <w:ind w:left="225" w:right="0" w:hanging="225"/>
              <w:rPr/>
            </w:pPr>
            <w:r>
              <w:rPr/>
              <w:t>Outstanding at beginning of year</w:t>
            </w:r>
          </w:p>
        </w:tc>
        <w:tc>
          <w:tcPr>
            <w:tcW w:w="34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2014" w:type="dxa"/>
            <w:tcBorders/>
            <w:shd w:fill="CCEEFF" w:val="clear"/>
            <w:vAlign w:val="bottom"/>
          </w:tcPr>
          <w:p>
            <w:pPr>
              <w:pStyle w:val="TableContents"/>
              <w:spacing w:before="0" w:after="283"/>
              <w:jc w:val="right"/>
              <w:rPr/>
            </w:pPr>
            <w:r>
              <w:rPr/>
              <w:t>1,781,250</w:t>
            </w:r>
          </w:p>
        </w:tc>
        <w:tc>
          <w:tcPr>
            <w:tcW w:w="2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jc w:val="left"/>
              <w:rPr/>
            </w:pPr>
            <w:r>
              <w:rPr/>
              <w:t>$</w:t>
            </w:r>
          </w:p>
        </w:tc>
        <w:tc>
          <w:tcPr>
            <w:tcW w:w="1352" w:type="dxa"/>
            <w:tcBorders/>
            <w:shd w:fill="CCEEFF" w:val="clear"/>
            <w:vAlign w:val="bottom"/>
          </w:tcPr>
          <w:p>
            <w:pPr>
              <w:pStyle w:val="TableContents"/>
              <w:spacing w:before="0" w:after="283"/>
              <w:jc w:val="right"/>
              <w:rPr/>
            </w:pPr>
            <w:r>
              <w:rPr/>
              <w:t>13.50</w:t>
            </w:r>
          </w:p>
        </w:tc>
        <w:tc>
          <w:tcPr>
            <w:tcW w:w="116" w:type="dxa"/>
            <w:tcBorders/>
            <w:shd w:fill="CCEEFF" w:val="clear"/>
            <w:vAlign w:val="bottom"/>
          </w:tcPr>
          <w:p>
            <w:pPr>
              <w:pStyle w:val="TableContents"/>
              <w:spacing w:before="0" w:after="283"/>
              <w:rPr/>
            </w:pPr>
            <w:r>
              <w:rPr/>
              <w:t> </w:t>
            </w:r>
          </w:p>
        </w:tc>
      </w:tr>
      <w:tr>
        <w:trPr/>
        <w:tc>
          <w:tcPr>
            <w:tcW w:w="5299" w:type="dxa"/>
            <w:tcBorders/>
            <w:shd w:fill="auto" w:val="clear"/>
            <w:vAlign w:val="bottom"/>
          </w:tcPr>
          <w:p>
            <w:pPr>
              <w:pStyle w:val="TableContents"/>
              <w:spacing w:before="0" w:after="0"/>
              <w:ind w:left="450" w:right="0" w:hanging="225"/>
              <w:rPr/>
            </w:pPr>
            <w:r>
              <w:rPr/>
              <w:t>Granted</w:t>
            </w:r>
          </w:p>
        </w:tc>
        <w:tc>
          <w:tcPr>
            <w:tcW w:w="34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jc w:val="right"/>
              <w:rPr/>
            </w:pPr>
            <w:r>
              <w:rPr/>
              <w:t>868,500</w:t>
            </w:r>
          </w:p>
        </w:tc>
        <w:tc>
          <w:tcPr>
            <w:tcW w:w="2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20.34</w:t>
            </w:r>
          </w:p>
        </w:tc>
        <w:tc>
          <w:tcPr>
            <w:tcW w:w="116" w:type="dxa"/>
            <w:tcBorders/>
            <w:shd w:fill="auto" w:val="clear"/>
            <w:vAlign w:val="bottom"/>
          </w:tcPr>
          <w:p>
            <w:pPr>
              <w:pStyle w:val="TableContents"/>
              <w:spacing w:before="0" w:after="283"/>
              <w:rPr/>
            </w:pPr>
            <w:r>
              <w:rPr/>
              <w:t> </w:t>
            </w:r>
          </w:p>
        </w:tc>
      </w:tr>
      <w:tr>
        <w:trPr/>
        <w:tc>
          <w:tcPr>
            <w:tcW w:w="5299" w:type="dxa"/>
            <w:tcBorders/>
            <w:shd w:fill="CCEEFF" w:val="clear"/>
            <w:vAlign w:val="bottom"/>
          </w:tcPr>
          <w:p>
            <w:pPr>
              <w:pStyle w:val="TableContents"/>
              <w:spacing w:before="0" w:after="0"/>
              <w:ind w:left="450" w:right="0" w:hanging="225"/>
              <w:rPr/>
            </w:pPr>
            <w:r>
              <w:rPr/>
              <w:t>Released</w:t>
            </w:r>
          </w:p>
        </w:tc>
        <w:tc>
          <w:tcPr>
            <w:tcW w:w="34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2014" w:type="dxa"/>
            <w:tcBorders/>
            <w:shd w:fill="CCEEFF" w:val="clear"/>
            <w:vAlign w:val="bottom"/>
          </w:tcPr>
          <w:p>
            <w:pPr>
              <w:pStyle w:val="TableContents"/>
              <w:spacing w:before="0" w:after="283"/>
              <w:jc w:val="right"/>
              <w:rPr/>
            </w:pPr>
            <w:r>
              <w:rPr/>
              <w:t>(1,035,250</w:t>
            </w:r>
          </w:p>
        </w:tc>
        <w:tc>
          <w:tcPr>
            <w:tcW w:w="213" w:type="dxa"/>
            <w:tcBorders/>
            <w:shd w:fill="CCEEFF" w:val="clear"/>
            <w:vAlign w:val="bottom"/>
          </w:tcPr>
          <w:p>
            <w:pPr>
              <w:pStyle w:val="TableContents"/>
              <w:spacing w:before="0" w:after="283"/>
              <w:rPr/>
            </w:pPr>
            <w:r>
              <w:rPr/>
              <w:t>)</w:t>
            </w:r>
          </w:p>
        </w:tc>
        <w:tc>
          <w:tcPr>
            <w:tcW w:w="391"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13.08</w:t>
            </w:r>
          </w:p>
        </w:tc>
        <w:tc>
          <w:tcPr>
            <w:tcW w:w="116" w:type="dxa"/>
            <w:tcBorders/>
            <w:shd w:fill="CCEEFF" w:val="clear"/>
            <w:vAlign w:val="bottom"/>
          </w:tcPr>
          <w:p>
            <w:pPr>
              <w:pStyle w:val="TableContents"/>
              <w:spacing w:before="0" w:after="283"/>
              <w:rPr/>
            </w:pPr>
            <w:r>
              <w:rPr/>
              <w:t> </w:t>
            </w:r>
          </w:p>
        </w:tc>
      </w:tr>
      <w:tr>
        <w:trPr/>
        <w:tc>
          <w:tcPr>
            <w:tcW w:w="5299" w:type="dxa"/>
            <w:tcBorders/>
            <w:shd w:fill="auto" w:val="clear"/>
            <w:vAlign w:val="bottom"/>
          </w:tcPr>
          <w:p>
            <w:pPr>
              <w:pStyle w:val="TableContents"/>
              <w:spacing w:before="0" w:after="0"/>
              <w:ind w:left="450" w:right="0" w:hanging="225"/>
              <w:rPr/>
            </w:pPr>
            <w:r>
              <w:rPr/>
              <w:t>Forfeited</w:t>
            </w:r>
          </w:p>
        </w:tc>
        <w:tc>
          <w:tcPr>
            <w:tcW w:w="34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2014" w:type="dxa"/>
            <w:tcBorders/>
            <w:shd w:fill="auto" w:val="clear"/>
            <w:vAlign w:val="bottom"/>
          </w:tcPr>
          <w:p>
            <w:pPr>
              <w:pStyle w:val="TableContents"/>
              <w:spacing w:before="0" w:after="283"/>
              <w:jc w:val="right"/>
              <w:rPr/>
            </w:pPr>
            <w:r>
              <w:rPr/>
              <w:t>(79,500</w:t>
            </w:r>
          </w:p>
        </w:tc>
        <w:tc>
          <w:tcPr>
            <w:tcW w:w="213" w:type="dxa"/>
            <w:tcBorders/>
            <w:shd w:fill="auto" w:val="clear"/>
            <w:vAlign w:val="bottom"/>
          </w:tcPr>
          <w:p>
            <w:pPr>
              <w:pStyle w:val="TableContents"/>
              <w:spacing w:before="0" w:after="283"/>
              <w:rPr/>
            </w:pPr>
            <w:r>
              <w:rPr/>
              <w:t>)</w:t>
            </w:r>
          </w:p>
        </w:tc>
        <w:tc>
          <w:tcPr>
            <w:tcW w:w="39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16.61</w:t>
            </w:r>
          </w:p>
        </w:tc>
        <w:tc>
          <w:tcPr>
            <w:tcW w:w="116" w:type="dxa"/>
            <w:tcBorders/>
            <w:shd w:fill="auto" w:val="clear"/>
            <w:vAlign w:val="bottom"/>
          </w:tcPr>
          <w:p>
            <w:pPr>
              <w:pStyle w:val="TableContents"/>
              <w:spacing w:before="0" w:after="283"/>
              <w:rPr/>
            </w:pPr>
            <w:r>
              <w:rPr/>
              <w:t> </w:t>
            </w:r>
          </w:p>
        </w:tc>
      </w:tr>
      <w:tr>
        <w:trPr/>
        <w:tc>
          <w:tcPr>
            <w:tcW w:w="5299" w:type="dxa"/>
            <w:tcBorders/>
            <w:shd w:fill="auto" w:val="clear"/>
            <w:vAlign w:val="center"/>
          </w:tcPr>
          <w:p>
            <w:pPr>
              <w:pStyle w:val="TableContents"/>
              <w:spacing w:before="0" w:after="0"/>
              <w:ind w:left="225" w:right="0" w:hanging="225"/>
              <w:rPr/>
            </w:pPr>
            <w:r>
              <w:rPr/>
              <w:t> </w:t>
            </w:r>
          </w:p>
        </w:tc>
        <w:tc>
          <w:tcPr>
            <w:tcW w:w="346" w:type="dxa"/>
            <w:tcBorders/>
            <w:shd w:fill="auto" w:val="clear"/>
            <w:vAlign w:val="center"/>
          </w:tcPr>
          <w:p>
            <w:pPr>
              <w:pStyle w:val="TableContents"/>
              <w:spacing w:before="0" w:after="283"/>
              <w:rPr/>
            </w:pPr>
            <w:r>
              <w:rPr/>
              <w:t> </w:t>
            </w:r>
          </w:p>
        </w:tc>
        <w:tc>
          <w:tcPr>
            <w:tcW w:w="21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3"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6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5299" w:type="dxa"/>
            <w:tcBorders/>
            <w:shd w:fill="CCEEFF" w:val="clear"/>
            <w:vAlign w:val="bottom"/>
          </w:tcPr>
          <w:p>
            <w:pPr>
              <w:pStyle w:val="TableContents"/>
              <w:spacing w:before="0" w:after="0"/>
              <w:ind w:left="225" w:right="0" w:hanging="225"/>
              <w:rPr/>
            </w:pPr>
            <w:r>
              <w:rPr/>
              <w:t>Outstanding at end of year</w:t>
            </w:r>
          </w:p>
        </w:tc>
        <w:tc>
          <w:tcPr>
            <w:tcW w:w="34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2014" w:type="dxa"/>
            <w:tcBorders/>
            <w:shd w:fill="CCEEFF" w:val="clear"/>
            <w:vAlign w:val="bottom"/>
          </w:tcPr>
          <w:p>
            <w:pPr>
              <w:pStyle w:val="TableContents"/>
              <w:spacing w:before="0" w:after="283"/>
              <w:jc w:val="right"/>
              <w:rPr/>
            </w:pPr>
            <w:r>
              <w:rPr/>
              <w:t>1,535,000</w:t>
            </w:r>
          </w:p>
        </w:tc>
        <w:tc>
          <w:tcPr>
            <w:tcW w:w="2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jc w:val="left"/>
              <w:rPr/>
            </w:pPr>
            <w:r>
              <w:rPr/>
              <w:t>$</w:t>
            </w:r>
          </w:p>
        </w:tc>
        <w:tc>
          <w:tcPr>
            <w:tcW w:w="1352" w:type="dxa"/>
            <w:tcBorders/>
            <w:shd w:fill="CCEEFF" w:val="clear"/>
            <w:vAlign w:val="bottom"/>
          </w:tcPr>
          <w:p>
            <w:pPr>
              <w:pStyle w:val="TableContents"/>
              <w:spacing w:before="0" w:after="283"/>
              <w:jc w:val="right"/>
              <w:rPr/>
            </w:pPr>
            <w:r>
              <w:rPr/>
              <w:t>17.49</w:t>
            </w:r>
          </w:p>
        </w:tc>
        <w:tc>
          <w:tcPr>
            <w:tcW w:w="116"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051"/>
        <w:gridCol w:w="396"/>
        <w:gridCol w:w="220"/>
        <w:gridCol w:w="956"/>
        <w:gridCol w:w="134"/>
        <w:gridCol w:w="418"/>
        <w:gridCol w:w="220"/>
        <w:gridCol w:w="956"/>
        <w:gridCol w:w="134"/>
        <w:gridCol w:w="418"/>
        <w:gridCol w:w="220"/>
        <w:gridCol w:w="963"/>
        <w:gridCol w:w="119"/>
      </w:tblGrid>
      <w:tr>
        <w:trPr/>
        <w:tc>
          <w:tcPr>
            <w:tcW w:w="5051"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4639"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19"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17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17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18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9"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4639" w:type="dxa"/>
            <w:gridSpan w:val="10"/>
            <w:tcBorders/>
            <w:shd w:fill="auto" w:val="clear"/>
            <w:vAlign w:val="bottom"/>
          </w:tcPr>
          <w:p>
            <w:pPr>
              <w:pStyle w:val="TableContents"/>
              <w:spacing w:before="0" w:after="283"/>
              <w:jc w:val="center"/>
              <w:rPr>
                <w:i/>
              </w:rPr>
            </w:pPr>
            <w:r>
              <w:rPr>
                <w:i/>
              </w:rPr>
              <w:t>(In millions except per share amounts)</w:t>
            </w:r>
          </w:p>
        </w:tc>
        <w:tc>
          <w:tcPr>
            <w:tcW w:w="119"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225" w:right="0" w:hanging="225"/>
              <w:rPr/>
            </w:pPr>
            <w:r>
              <w:rPr/>
              <w:t>Weighted average grant-date fair value per share of RSAs granted</w:t>
            </w:r>
          </w:p>
        </w:tc>
        <w:tc>
          <w:tcPr>
            <w:tcW w:w="39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56" w:type="dxa"/>
            <w:tcBorders/>
            <w:shd w:fill="auto" w:val="clear"/>
            <w:vAlign w:val="bottom"/>
          </w:tcPr>
          <w:p>
            <w:pPr>
              <w:pStyle w:val="TableContents"/>
              <w:spacing w:before="0" w:after="283"/>
              <w:jc w:val="right"/>
              <w:rPr/>
            </w:pPr>
            <w:r>
              <w:rPr/>
              <w:t>20.34</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56" w:type="dxa"/>
            <w:tcBorders/>
            <w:shd w:fill="auto" w:val="clear"/>
            <w:vAlign w:val="bottom"/>
          </w:tcPr>
          <w:p>
            <w:pPr>
              <w:pStyle w:val="TableContents"/>
              <w:spacing w:before="0" w:after="283"/>
              <w:jc w:val="right"/>
              <w:rPr/>
            </w:pPr>
            <w:r>
              <w:rPr/>
              <w:t>14.64</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63" w:type="dxa"/>
            <w:tcBorders/>
            <w:shd w:fill="auto" w:val="clear"/>
            <w:vAlign w:val="bottom"/>
          </w:tcPr>
          <w:p>
            <w:pPr>
              <w:pStyle w:val="TableContents"/>
              <w:spacing w:before="0" w:after="283"/>
              <w:jc w:val="right"/>
              <w:rPr/>
            </w:pPr>
            <w:r>
              <w:rPr/>
              <w:t>17.51</w:t>
            </w:r>
          </w:p>
        </w:tc>
        <w:tc>
          <w:tcPr>
            <w:tcW w:w="119"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225" w:right="0" w:hanging="225"/>
              <w:rPr/>
            </w:pPr>
            <w:r>
              <w:rPr/>
              <w:t>Total grant date fair value of RSAs vested</w:t>
            </w:r>
          </w:p>
        </w:tc>
        <w:tc>
          <w:tcPr>
            <w:tcW w:w="39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56" w:type="dxa"/>
            <w:tcBorders/>
            <w:shd w:fill="auto" w:val="clear"/>
            <w:vAlign w:val="bottom"/>
          </w:tcPr>
          <w:p>
            <w:pPr>
              <w:pStyle w:val="TableContents"/>
              <w:spacing w:before="0" w:after="283"/>
              <w:jc w:val="right"/>
              <w:rPr/>
            </w:pPr>
            <w:r>
              <w:rPr/>
              <w:t>13.5</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56" w:type="dxa"/>
            <w:tcBorders/>
            <w:shd w:fill="auto" w:val="clear"/>
            <w:vAlign w:val="bottom"/>
          </w:tcPr>
          <w:p>
            <w:pPr>
              <w:pStyle w:val="TableContents"/>
              <w:spacing w:before="0" w:after="283"/>
              <w:jc w:val="right"/>
              <w:rPr/>
            </w:pPr>
            <w:r>
              <w:rPr/>
              <w:t>0.2</w:t>
            </w:r>
          </w:p>
        </w:tc>
        <w:tc>
          <w:tcPr>
            <w:tcW w:w="134"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63" w:type="dxa"/>
            <w:tcBorders/>
            <w:shd w:fill="auto" w:val="clear"/>
            <w:vAlign w:val="bottom"/>
          </w:tcPr>
          <w:p>
            <w:pPr>
              <w:pStyle w:val="TableContents"/>
              <w:spacing w:before="0" w:after="283"/>
              <w:jc w:val="right"/>
              <w:rPr/>
            </w:pPr>
            <w:r>
              <w:rPr/>
              <w:t>4.8</w:t>
            </w:r>
          </w:p>
        </w:tc>
        <w:tc>
          <w:tcPr>
            <w:tcW w:w="119"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2011, the unamortized fair value of RSAs to be amortized over their remaining vesting periods was approximately $20.8 million and the fair value of all options had been fully amortized to expense. The weighted average period over which these costs will be amortized is four years.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summary of the option activity for the current fiscal year follows: </w:t>
      </w:r>
    </w:p>
    <w:tbl>
      <w:tblPr>
        <w:tblW w:w="5000" w:type="pct"/>
        <w:jc w:val="center"/>
        <w:tblInd w:w="0" w:type="dxa"/>
        <w:tblCellMar>
          <w:top w:w="0" w:type="dxa"/>
          <w:left w:w="0" w:type="dxa"/>
          <w:bottom w:w="0" w:type="dxa"/>
          <w:right w:w="0" w:type="dxa"/>
        </w:tblCellMar>
      </w:tblPr>
      <w:tblGrid>
        <w:gridCol w:w="3969"/>
        <w:gridCol w:w="343"/>
        <w:gridCol w:w="104"/>
        <w:gridCol w:w="889"/>
        <w:gridCol w:w="129"/>
        <w:gridCol w:w="343"/>
        <w:gridCol w:w="225"/>
        <w:gridCol w:w="823"/>
        <w:gridCol w:w="104"/>
        <w:gridCol w:w="343"/>
        <w:gridCol w:w="157"/>
        <w:gridCol w:w="1023"/>
        <w:gridCol w:w="104"/>
        <w:gridCol w:w="343"/>
        <w:gridCol w:w="226"/>
        <w:gridCol w:w="966"/>
        <w:gridCol w:w="114"/>
      </w:tblGrid>
      <w:tr>
        <w:trPr/>
        <w:tc>
          <w:tcPr>
            <w:tcW w:w="396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396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283"/>
              <w:jc w:val="center"/>
              <w:rPr/>
            </w:pPr>
            <w:r>
              <w:rPr/>
              <w:t>Weighted</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92" w:type="dxa"/>
            <w:gridSpan w:val="2"/>
            <w:tcBorders/>
            <w:shd w:fill="auto" w:val="clear"/>
            <w:vAlign w:val="bottom"/>
          </w:tcPr>
          <w:p>
            <w:pPr>
              <w:pStyle w:val="TableContents"/>
              <w:spacing w:before="0" w:after="283"/>
              <w:jc w:val="center"/>
              <w:rPr/>
            </w:pPr>
            <w:r>
              <w:rPr/>
              <w:t> </w:t>
            </w:r>
          </w:p>
        </w:tc>
        <w:tc>
          <w:tcPr>
            <w:tcW w:w="114" w:type="dxa"/>
            <w:tcBorders/>
            <w:shd w:fill="auto" w:val="clear"/>
            <w:vAlign w:val="bottom"/>
          </w:tcPr>
          <w:p>
            <w:pPr>
              <w:pStyle w:val="TableContents"/>
              <w:spacing w:before="0" w:after="283"/>
              <w:rPr/>
            </w:pPr>
            <w:r>
              <w:rPr/>
              <w:t> </w:t>
            </w:r>
          </w:p>
        </w:tc>
      </w:tr>
      <w:tr>
        <w:trPr/>
        <w:tc>
          <w:tcPr>
            <w:tcW w:w="396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283"/>
              <w:jc w:val="center"/>
              <w:rPr/>
            </w:pPr>
            <w:r>
              <w:rPr/>
              <w:t>Average</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92" w:type="dxa"/>
            <w:gridSpan w:val="2"/>
            <w:tcBorders/>
            <w:shd w:fill="auto" w:val="clear"/>
            <w:vAlign w:val="bottom"/>
          </w:tcPr>
          <w:p>
            <w:pPr>
              <w:pStyle w:val="TableContents"/>
              <w:spacing w:before="0" w:after="283"/>
              <w:jc w:val="center"/>
              <w:rPr/>
            </w:pPr>
            <w:r>
              <w:rPr/>
              <w:t> </w:t>
            </w:r>
          </w:p>
        </w:tc>
        <w:tc>
          <w:tcPr>
            <w:tcW w:w="114" w:type="dxa"/>
            <w:tcBorders/>
            <w:shd w:fill="auto" w:val="clear"/>
            <w:vAlign w:val="bottom"/>
          </w:tcPr>
          <w:p>
            <w:pPr>
              <w:pStyle w:val="TableContents"/>
              <w:spacing w:before="0" w:after="283"/>
              <w:rPr/>
            </w:pPr>
            <w:r>
              <w:rPr/>
              <w:t> </w:t>
            </w:r>
          </w:p>
        </w:tc>
      </w:tr>
      <w:tr>
        <w:trPr/>
        <w:tc>
          <w:tcPr>
            <w:tcW w:w="396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048" w:type="dxa"/>
            <w:gridSpan w:val="2"/>
            <w:tcBorders/>
            <w:shd w:fill="auto" w:val="clear"/>
            <w:vAlign w:val="bottom"/>
          </w:tcPr>
          <w:p>
            <w:pPr>
              <w:pStyle w:val="TableContents"/>
              <w:spacing w:before="0" w:after="283"/>
              <w:jc w:val="center"/>
              <w:rPr/>
            </w:pPr>
            <w:r>
              <w:rPr/>
              <w:t>Weighted</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283"/>
              <w:jc w:val="center"/>
              <w:rPr/>
            </w:pPr>
            <w:r>
              <w:rPr/>
              <w:t>Remaining</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92" w:type="dxa"/>
            <w:gridSpan w:val="2"/>
            <w:tcBorders/>
            <w:shd w:fill="auto" w:val="clear"/>
            <w:vAlign w:val="bottom"/>
          </w:tcPr>
          <w:p>
            <w:pPr>
              <w:pStyle w:val="TableContents"/>
              <w:spacing w:before="0" w:after="283"/>
              <w:jc w:val="center"/>
              <w:rPr/>
            </w:pPr>
            <w:r>
              <w:rPr/>
              <w:t>Aggregate</w:t>
            </w:r>
          </w:p>
        </w:tc>
        <w:tc>
          <w:tcPr>
            <w:tcW w:w="114" w:type="dxa"/>
            <w:tcBorders/>
            <w:shd w:fill="auto" w:val="clear"/>
            <w:vAlign w:val="bottom"/>
          </w:tcPr>
          <w:p>
            <w:pPr>
              <w:pStyle w:val="TableContents"/>
              <w:spacing w:before="0" w:after="283"/>
              <w:rPr/>
            </w:pPr>
            <w:r>
              <w:rPr/>
              <w:t> </w:t>
            </w:r>
          </w:p>
        </w:tc>
      </w:tr>
      <w:tr>
        <w:trPr/>
        <w:tc>
          <w:tcPr>
            <w:tcW w:w="396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048" w:type="dxa"/>
            <w:gridSpan w:val="2"/>
            <w:tcBorders/>
            <w:shd w:fill="auto" w:val="clear"/>
            <w:vAlign w:val="bottom"/>
          </w:tcPr>
          <w:p>
            <w:pPr>
              <w:pStyle w:val="TableContents"/>
              <w:spacing w:before="0" w:after="283"/>
              <w:jc w:val="center"/>
              <w:rPr/>
            </w:pPr>
            <w:r>
              <w:rPr/>
              <w:t>Average</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283"/>
              <w:jc w:val="center"/>
              <w:rPr/>
            </w:pPr>
            <w:r>
              <w:rPr/>
              <w:t>Contractual</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92" w:type="dxa"/>
            <w:gridSpan w:val="2"/>
            <w:tcBorders/>
            <w:shd w:fill="auto" w:val="clear"/>
            <w:vAlign w:val="bottom"/>
          </w:tcPr>
          <w:p>
            <w:pPr>
              <w:pStyle w:val="TableContents"/>
              <w:spacing w:before="0" w:after="283"/>
              <w:jc w:val="center"/>
              <w:rPr/>
            </w:pPr>
            <w:r>
              <w:rPr/>
              <w:t>Intrinsic</w:t>
            </w:r>
          </w:p>
        </w:tc>
        <w:tc>
          <w:tcPr>
            <w:tcW w:w="114" w:type="dxa"/>
            <w:tcBorders/>
            <w:shd w:fill="auto" w:val="clear"/>
            <w:vAlign w:val="bottom"/>
          </w:tcPr>
          <w:p>
            <w:pPr>
              <w:pStyle w:val="TableContents"/>
              <w:spacing w:before="0" w:after="283"/>
              <w:rPr/>
            </w:pPr>
            <w:r>
              <w:rPr/>
              <w:t> </w:t>
            </w:r>
          </w:p>
        </w:tc>
      </w:tr>
      <w:tr>
        <w:trPr/>
        <w:tc>
          <w:tcPr>
            <w:tcW w:w="396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048" w:type="dxa"/>
            <w:gridSpan w:val="2"/>
            <w:tcBorders/>
            <w:shd w:fill="auto" w:val="clear"/>
            <w:vAlign w:val="bottom"/>
          </w:tcPr>
          <w:p>
            <w:pPr>
              <w:pStyle w:val="TableContents"/>
              <w:spacing w:before="0" w:after="283"/>
              <w:jc w:val="center"/>
              <w:rPr/>
            </w:pPr>
            <w:r>
              <w:rPr/>
              <w:t>Exercise</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283"/>
              <w:jc w:val="center"/>
              <w:rPr/>
            </w:pPr>
            <w:r>
              <w:rPr/>
              <w:t>Term</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92" w:type="dxa"/>
            <w:gridSpan w:val="2"/>
            <w:tcBorders/>
            <w:shd w:fill="auto" w:val="clear"/>
            <w:vAlign w:val="bottom"/>
          </w:tcPr>
          <w:p>
            <w:pPr>
              <w:pStyle w:val="TableContents"/>
              <w:spacing w:before="0" w:after="283"/>
              <w:jc w:val="center"/>
              <w:rPr/>
            </w:pPr>
            <w:r>
              <w:rPr/>
              <w:t>Value</w:t>
            </w:r>
          </w:p>
        </w:tc>
        <w:tc>
          <w:tcPr>
            <w:tcW w:w="114" w:type="dxa"/>
            <w:tcBorders/>
            <w:shd w:fill="auto" w:val="clear"/>
            <w:vAlign w:val="bottom"/>
          </w:tcPr>
          <w:p>
            <w:pPr>
              <w:pStyle w:val="TableContents"/>
              <w:spacing w:before="0" w:after="283"/>
              <w:rPr/>
            </w:pPr>
            <w:r>
              <w:rPr/>
              <w:t> </w:t>
            </w:r>
          </w:p>
        </w:tc>
      </w:tr>
      <w:tr>
        <w:trPr/>
        <w:tc>
          <w:tcPr>
            <w:tcW w:w="396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993" w:type="dxa"/>
            <w:gridSpan w:val="2"/>
            <w:tcBorders>
              <w:bottom w:val="single" w:sz="2" w:space="0" w:color="000000"/>
            </w:tcBorders>
            <w:shd w:fill="auto" w:val="clear"/>
            <w:tcMar>
              <w:bottom w:w="28" w:type="dxa"/>
            </w:tcMar>
            <w:vAlign w:val="bottom"/>
          </w:tcPr>
          <w:p>
            <w:pPr>
              <w:pStyle w:val="TableContents"/>
              <w:spacing w:before="0" w:after="283"/>
              <w:jc w:val="center"/>
              <w:rPr/>
            </w:pPr>
            <w:r>
              <w:rPr/>
              <w:t>Shares</w:t>
            </w:r>
          </w:p>
        </w:tc>
        <w:tc>
          <w:tcPr>
            <w:tcW w:w="12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048" w:type="dxa"/>
            <w:gridSpan w:val="2"/>
            <w:tcBorders>
              <w:bottom w:val="single" w:sz="2" w:space="0" w:color="000000"/>
            </w:tcBorders>
            <w:shd w:fill="auto" w:val="clear"/>
            <w:tcMar>
              <w:bottom w:w="28" w:type="dxa"/>
            </w:tcMar>
            <w:vAlign w:val="bottom"/>
          </w:tcPr>
          <w:p>
            <w:pPr>
              <w:pStyle w:val="TableContents"/>
              <w:spacing w:before="0" w:after="283"/>
              <w:jc w:val="center"/>
              <w:rPr/>
            </w:pPr>
            <w:r>
              <w:rPr/>
              <w:t>Price</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283"/>
              <w:jc w:val="center"/>
              <w:rPr>
                <w:i/>
              </w:rPr>
            </w:pPr>
            <w:r>
              <w:rPr>
                <w:i/>
              </w:rPr>
              <w:t>(years)</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92"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(thousands)</w:t>
            </w:r>
          </w:p>
        </w:tc>
        <w:tc>
          <w:tcPr>
            <w:tcW w:w="114" w:type="dxa"/>
            <w:tcBorders/>
            <w:shd w:fill="auto" w:val="clear"/>
            <w:vAlign w:val="bottom"/>
          </w:tcPr>
          <w:p>
            <w:pPr>
              <w:pStyle w:val="TableContents"/>
              <w:spacing w:before="0" w:after="283"/>
              <w:rPr/>
            </w:pPr>
            <w:r>
              <w:rPr/>
              <w:t> </w:t>
            </w:r>
          </w:p>
        </w:tc>
      </w:tr>
      <w:tr>
        <w:trPr/>
        <w:tc>
          <w:tcPr>
            <w:tcW w:w="3969"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5893"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969" w:type="dxa"/>
            <w:tcBorders/>
            <w:shd w:fill="CCEEFF" w:val="clear"/>
            <w:vAlign w:val="bottom"/>
          </w:tcPr>
          <w:p>
            <w:pPr>
              <w:pStyle w:val="TableContents"/>
              <w:spacing w:before="0" w:after="0"/>
              <w:ind w:left="225" w:right="0" w:hanging="225"/>
              <w:rPr/>
            </w:pPr>
            <w:r>
              <w:rPr/>
              <w:t>Outstanding at September 30, 2010</w:t>
            </w:r>
          </w:p>
        </w:tc>
        <w:tc>
          <w:tcPr>
            <w:tcW w:w="343"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293,398</w:t>
            </w:r>
          </w:p>
        </w:tc>
        <w:tc>
          <w:tcPr>
            <w:tcW w:w="129"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3.81</w:t>
            </w:r>
          </w:p>
        </w:tc>
        <w:tc>
          <w:tcPr>
            <w:tcW w:w="104"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023"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3969" w:type="dxa"/>
            <w:tcBorders/>
            <w:shd w:fill="auto" w:val="clear"/>
            <w:vAlign w:val="bottom"/>
          </w:tcPr>
          <w:p>
            <w:pPr>
              <w:pStyle w:val="TableContents"/>
              <w:spacing w:before="0" w:after="0"/>
              <w:ind w:left="450" w:right="0" w:hanging="225"/>
              <w:rPr/>
            </w:pPr>
            <w:r>
              <w:rPr/>
              <w:t>Granted</w:t>
            </w:r>
          </w:p>
        </w:tc>
        <w:tc>
          <w:tcPr>
            <w:tcW w:w="34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3969" w:type="dxa"/>
            <w:tcBorders/>
            <w:shd w:fill="CCEEFF" w:val="clear"/>
            <w:vAlign w:val="bottom"/>
          </w:tcPr>
          <w:p>
            <w:pPr>
              <w:pStyle w:val="TableContents"/>
              <w:spacing w:before="0" w:after="0"/>
              <w:ind w:left="450" w:right="0" w:hanging="225"/>
              <w:rPr/>
            </w:pPr>
            <w:r>
              <w:rPr/>
              <w:t>Forfeited</w:t>
            </w:r>
          </w:p>
        </w:tc>
        <w:tc>
          <w:tcPr>
            <w:tcW w:w="343"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023"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3969" w:type="dxa"/>
            <w:tcBorders/>
            <w:shd w:fill="auto" w:val="clear"/>
            <w:vAlign w:val="bottom"/>
          </w:tcPr>
          <w:p>
            <w:pPr>
              <w:pStyle w:val="TableContents"/>
              <w:spacing w:before="0" w:after="0"/>
              <w:ind w:left="450" w:right="0" w:hanging="225"/>
              <w:rPr/>
            </w:pPr>
            <w:r>
              <w:rPr/>
              <w:t>Expired</w:t>
            </w:r>
          </w:p>
        </w:tc>
        <w:tc>
          <w:tcPr>
            <w:tcW w:w="34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889" w:type="dxa"/>
            <w:tcBorders/>
            <w:shd w:fill="auto" w:val="clear"/>
            <w:vAlign w:val="bottom"/>
          </w:tcPr>
          <w:p>
            <w:pPr>
              <w:pStyle w:val="TableContents"/>
              <w:spacing w:before="0" w:after="283"/>
              <w:jc w:val="right"/>
              <w:rPr/>
            </w:pPr>
            <w:r>
              <w:rPr/>
              <w:t>(8,400</w:t>
            </w:r>
          </w:p>
        </w:tc>
        <w:tc>
          <w:tcPr>
            <w:tcW w:w="129" w:type="dxa"/>
            <w:tcBorders/>
            <w:shd w:fill="auto" w:val="clear"/>
            <w:vAlign w:val="bottom"/>
          </w:tcPr>
          <w:p>
            <w:pPr>
              <w:pStyle w:val="TableContents"/>
              <w:spacing w:before="0" w:after="283"/>
              <w:rPr/>
            </w:pPr>
            <w:r>
              <w:rPr/>
              <w:t>)</w:t>
            </w:r>
          </w:p>
        </w:tc>
        <w:tc>
          <w:tcPr>
            <w:tcW w:w="34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1.48</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3969" w:type="dxa"/>
            <w:tcBorders/>
            <w:shd w:fill="CCEEFF" w:val="clear"/>
            <w:vAlign w:val="bottom"/>
          </w:tcPr>
          <w:p>
            <w:pPr>
              <w:pStyle w:val="TableContents"/>
              <w:spacing w:before="0" w:after="0"/>
              <w:ind w:left="450" w:right="0" w:hanging="225"/>
              <w:rPr/>
            </w:pPr>
            <w:r>
              <w:rPr/>
              <w:t>Exercised</w:t>
            </w:r>
          </w:p>
        </w:tc>
        <w:tc>
          <w:tcPr>
            <w:tcW w:w="343"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889" w:type="dxa"/>
            <w:tcBorders/>
            <w:shd w:fill="CCEEFF" w:val="clear"/>
            <w:vAlign w:val="bottom"/>
          </w:tcPr>
          <w:p>
            <w:pPr>
              <w:pStyle w:val="TableContents"/>
              <w:spacing w:before="0" w:after="283"/>
              <w:jc w:val="right"/>
              <w:rPr/>
            </w:pPr>
            <w:r>
              <w:rPr/>
              <w:t>(62,600</w:t>
            </w:r>
          </w:p>
        </w:tc>
        <w:tc>
          <w:tcPr>
            <w:tcW w:w="129" w:type="dxa"/>
            <w:tcBorders/>
            <w:shd w:fill="CCEEFF" w:val="clear"/>
            <w:vAlign w:val="bottom"/>
          </w:tcPr>
          <w:p>
            <w:pPr>
              <w:pStyle w:val="TableContents"/>
              <w:spacing w:before="0" w:after="283"/>
              <w:rPr/>
            </w:pPr>
            <w:r>
              <w:rPr/>
              <w:t>)</w:t>
            </w:r>
          </w:p>
        </w:tc>
        <w:tc>
          <w:tcPr>
            <w:tcW w:w="34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6.57</w:t>
            </w:r>
          </w:p>
        </w:tc>
        <w:tc>
          <w:tcPr>
            <w:tcW w:w="104"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023"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3969" w:type="dxa"/>
            <w:tcBorders/>
            <w:shd w:fill="auto" w:val="clear"/>
            <w:vAlign w:val="center"/>
          </w:tcPr>
          <w:p>
            <w:pPr>
              <w:pStyle w:val="TableContents"/>
              <w:spacing w:before="0" w:after="0"/>
              <w:ind w:left="225" w:right="0" w:hanging="225"/>
              <w:rPr/>
            </w:pPr>
            <w:r>
              <w:rPr/>
              <w:t> </w:t>
            </w:r>
          </w:p>
        </w:tc>
        <w:tc>
          <w:tcPr>
            <w:tcW w:w="343"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966"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r>
      <w:tr>
        <w:trPr/>
        <w:tc>
          <w:tcPr>
            <w:tcW w:w="3969" w:type="dxa"/>
            <w:tcBorders/>
            <w:shd w:fill="auto" w:val="clear"/>
            <w:vAlign w:val="bottom"/>
          </w:tcPr>
          <w:p>
            <w:pPr>
              <w:pStyle w:val="TableContents"/>
              <w:spacing w:before="0" w:after="0"/>
              <w:ind w:left="225" w:right="0" w:hanging="225"/>
              <w:rPr/>
            </w:pPr>
            <w:r>
              <w:rPr/>
              <w:t>Outstanding at September 30, 2011</w:t>
            </w:r>
          </w:p>
        </w:tc>
        <w:tc>
          <w:tcPr>
            <w:tcW w:w="34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222,398</w:t>
            </w:r>
          </w:p>
        </w:tc>
        <w:tc>
          <w:tcPr>
            <w:tcW w:w="12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3.12</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jc w:val="right"/>
              <w:rPr/>
            </w:pPr>
            <w:r>
              <w:rPr/>
              <w:t>2.37</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966" w:type="dxa"/>
            <w:tcBorders/>
            <w:shd w:fill="auto" w:val="clear"/>
            <w:vAlign w:val="bottom"/>
          </w:tcPr>
          <w:p>
            <w:pPr>
              <w:pStyle w:val="TableContents"/>
              <w:spacing w:before="0" w:after="283"/>
              <w:jc w:val="right"/>
              <w:rPr/>
            </w:pPr>
            <w:r>
              <w:rPr/>
              <w:t>5,652</w:t>
            </w:r>
          </w:p>
        </w:tc>
        <w:tc>
          <w:tcPr>
            <w:tcW w:w="114" w:type="dxa"/>
            <w:tcBorders/>
            <w:shd w:fill="auto" w:val="clear"/>
            <w:vAlign w:val="bottom"/>
          </w:tcPr>
          <w:p>
            <w:pPr>
              <w:pStyle w:val="TableContents"/>
              <w:spacing w:before="0" w:after="283"/>
              <w:rPr/>
            </w:pPr>
            <w:r>
              <w:rPr/>
              <w:t> </w:t>
            </w:r>
          </w:p>
        </w:tc>
      </w:tr>
      <w:tr>
        <w:trPr/>
        <w:tc>
          <w:tcPr>
            <w:tcW w:w="3969" w:type="dxa"/>
            <w:tcBorders/>
            <w:shd w:fill="CCEEFF" w:val="clear"/>
            <w:vAlign w:val="bottom"/>
          </w:tcPr>
          <w:p>
            <w:pPr>
              <w:pStyle w:val="TableContents"/>
              <w:spacing w:before="0" w:after="0"/>
              <w:ind w:left="225" w:right="0" w:hanging="225"/>
              <w:rPr/>
            </w:pPr>
            <w:r>
              <w:rPr/>
              <w:t>Vested and expected to vest</w:t>
            </w:r>
          </w:p>
        </w:tc>
        <w:tc>
          <w:tcPr>
            <w:tcW w:w="343"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222,398</w:t>
            </w:r>
          </w:p>
        </w:tc>
        <w:tc>
          <w:tcPr>
            <w:tcW w:w="129"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3.12</w:t>
            </w:r>
          </w:p>
        </w:tc>
        <w:tc>
          <w:tcPr>
            <w:tcW w:w="104"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023" w:type="dxa"/>
            <w:tcBorders/>
            <w:shd w:fill="CCEEFF" w:val="clear"/>
            <w:vAlign w:val="bottom"/>
          </w:tcPr>
          <w:p>
            <w:pPr>
              <w:pStyle w:val="TableContents"/>
              <w:spacing w:before="0" w:after="283"/>
              <w:jc w:val="right"/>
              <w:rPr/>
            </w:pPr>
            <w:r>
              <w:rPr/>
              <w:t>2.37</w:t>
            </w:r>
          </w:p>
        </w:tc>
        <w:tc>
          <w:tcPr>
            <w:tcW w:w="104"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966" w:type="dxa"/>
            <w:tcBorders/>
            <w:shd w:fill="CCEEFF" w:val="clear"/>
            <w:vAlign w:val="bottom"/>
          </w:tcPr>
          <w:p>
            <w:pPr>
              <w:pStyle w:val="TableContents"/>
              <w:spacing w:before="0" w:after="283"/>
              <w:jc w:val="right"/>
              <w:rPr/>
            </w:pPr>
            <w:r>
              <w:rPr/>
              <w:t>5,652</w:t>
            </w:r>
          </w:p>
        </w:tc>
        <w:tc>
          <w:tcPr>
            <w:tcW w:w="114" w:type="dxa"/>
            <w:tcBorders/>
            <w:shd w:fill="CCEEFF" w:val="clear"/>
            <w:vAlign w:val="bottom"/>
          </w:tcPr>
          <w:p>
            <w:pPr>
              <w:pStyle w:val="TableContents"/>
              <w:spacing w:before="0" w:after="283"/>
              <w:rPr/>
            </w:pPr>
            <w:r>
              <w:rPr/>
              <w:t> </w:t>
            </w:r>
          </w:p>
        </w:tc>
      </w:tr>
      <w:tr>
        <w:trPr/>
        <w:tc>
          <w:tcPr>
            <w:tcW w:w="3969" w:type="dxa"/>
            <w:tcBorders/>
            <w:shd w:fill="auto" w:val="clear"/>
            <w:vAlign w:val="bottom"/>
          </w:tcPr>
          <w:p>
            <w:pPr>
              <w:pStyle w:val="TableContents"/>
              <w:spacing w:before="0" w:after="0"/>
              <w:ind w:left="225" w:right="0" w:hanging="225"/>
              <w:rPr/>
            </w:pPr>
            <w:r>
              <w:rPr/>
              <w:t>Vested at September 30, 2011</w:t>
            </w:r>
          </w:p>
        </w:tc>
        <w:tc>
          <w:tcPr>
            <w:tcW w:w="34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222,398</w:t>
            </w:r>
          </w:p>
        </w:tc>
        <w:tc>
          <w:tcPr>
            <w:tcW w:w="129"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3.12</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jc w:val="right"/>
              <w:rPr/>
            </w:pPr>
            <w:r>
              <w:rPr/>
              <w:t>2.37</w:t>
            </w:r>
          </w:p>
        </w:tc>
        <w:tc>
          <w:tcPr>
            <w:tcW w:w="10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966" w:type="dxa"/>
            <w:tcBorders/>
            <w:shd w:fill="auto" w:val="clear"/>
            <w:vAlign w:val="bottom"/>
          </w:tcPr>
          <w:p>
            <w:pPr>
              <w:pStyle w:val="TableContents"/>
              <w:spacing w:before="0" w:after="283"/>
              <w:jc w:val="right"/>
              <w:rPr/>
            </w:pPr>
            <w:r>
              <w:rPr/>
              <w:t>5,652</w:t>
            </w:r>
          </w:p>
        </w:tc>
        <w:tc>
          <w:tcPr>
            <w:tcW w:w="114"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272"/>
        <w:gridCol w:w="416"/>
        <w:gridCol w:w="170"/>
        <w:gridCol w:w="842"/>
        <w:gridCol w:w="116"/>
        <w:gridCol w:w="418"/>
        <w:gridCol w:w="170"/>
        <w:gridCol w:w="924"/>
        <w:gridCol w:w="116"/>
        <w:gridCol w:w="418"/>
        <w:gridCol w:w="169"/>
        <w:gridCol w:w="1050"/>
        <w:gridCol w:w="124"/>
      </w:tblGrid>
      <w:tr>
        <w:trPr/>
        <w:tc>
          <w:tcPr>
            <w:tcW w:w="5272"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4393"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24"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01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0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1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4"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4393" w:type="dxa"/>
            <w:gridSpan w:val="10"/>
            <w:tcBorders/>
            <w:shd w:fill="auto" w:val="clear"/>
            <w:vAlign w:val="bottom"/>
          </w:tcPr>
          <w:p>
            <w:pPr>
              <w:pStyle w:val="TableContents"/>
              <w:spacing w:before="0" w:after="283"/>
              <w:jc w:val="center"/>
              <w:rPr>
                <w:i/>
              </w:rPr>
            </w:pPr>
            <w:r>
              <w:rPr>
                <w:i/>
              </w:rPr>
              <w:t>(In millions except share amounts)</w:t>
            </w:r>
          </w:p>
        </w:tc>
        <w:tc>
          <w:tcPr>
            <w:tcW w:w="124" w:type="dxa"/>
            <w:tcBorders/>
            <w:shd w:fill="auto" w:val="clear"/>
            <w:vAlign w:val="bottom"/>
          </w:tcPr>
          <w:p>
            <w:pPr>
              <w:pStyle w:val="TableContents"/>
              <w:spacing w:before="0" w:after="283"/>
              <w:rPr/>
            </w:pPr>
            <w:r>
              <w:rPr/>
              <w:t> </w:t>
            </w:r>
          </w:p>
        </w:tc>
      </w:tr>
      <w:tr>
        <w:trPr/>
        <w:tc>
          <w:tcPr>
            <w:tcW w:w="5272" w:type="dxa"/>
            <w:tcBorders/>
            <w:shd w:fill="CCEEFF" w:val="clear"/>
            <w:vAlign w:val="bottom"/>
          </w:tcPr>
          <w:p>
            <w:pPr>
              <w:pStyle w:val="TableContents"/>
              <w:spacing w:before="0" w:after="0"/>
              <w:ind w:left="225" w:right="0" w:hanging="225"/>
              <w:rPr/>
            </w:pPr>
            <w:r>
              <w:rPr/>
              <w:t>Shares issued due to stock option exercises</w:t>
            </w:r>
          </w:p>
        </w:tc>
        <w:tc>
          <w:tcPr>
            <w:tcW w:w="41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pPr>
            <w:r>
              <w:rPr/>
              <w:t>62,173</w:t>
            </w:r>
          </w:p>
        </w:tc>
        <w:tc>
          <w:tcPr>
            <w:tcW w:w="116"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494,202</w:t>
            </w:r>
          </w:p>
        </w:tc>
        <w:tc>
          <w:tcPr>
            <w:tcW w:w="116"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right"/>
              <w:rPr/>
            </w:pPr>
            <w:r>
              <w:rPr/>
              <w:t>1,528,048</w:t>
            </w:r>
          </w:p>
        </w:tc>
        <w:tc>
          <w:tcPr>
            <w:tcW w:w="124" w:type="dxa"/>
            <w:tcBorders/>
            <w:shd w:fill="CCEEFF"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0"/>
              <w:ind w:left="225" w:right="0" w:hanging="225"/>
              <w:rPr/>
            </w:pPr>
            <w:r>
              <w:rPr/>
              <w:t>Proceeds due to stock option exercises</w:t>
            </w:r>
          </w:p>
        </w:tc>
        <w:tc>
          <w:tcPr>
            <w:tcW w:w="41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0.4</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924" w:type="dxa"/>
            <w:tcBorders/>
            <w:shd w:fill="auto" w:val="clear"/>
            <w:vAlign w:val="bottom"/>
          </w:tcPr>
          <w:p>
            <w:pPr>
              <w:pStyle w:val="TableContents"/>
              <w:spacing w:before="0" w:after="283"/>
              <w:jc w:val="right"/>
              <w:rPr/>
            </w:pPr>
            <w:r>
              <w:rPr/>
              <w:t>1.6</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1050" w:type="dxa"/>
            <w:tcBorders/>
            <w:shd w:fill="auto" w:val="clear"/>
            <w:vAlign w:val="bottom"/>
          </w:tcPr>
          <w:p>
            <w:pPr>
              <w:pStyle w:val="TableContents"/>
              <w:spacing w:before="0" w:after="283"/>
              <w:jc w:val="right"/>
              <w:rPr/>
            </w:pPr>
            <w:r>
              <w:rPr/>
              <w:t>4.9</w:t>
            </w:r>
          </w:p>
        </w:tc>
        <w:tc>
          <w:tcPr>
            <w:tcW w:w="124" w:type="dxa"/>
            <w:tcBorders/>
            <w:shd w:fill="auto" w:val="clear"/>
            <w:vAlign w:val="bottom"/>
          </w:tcPr>
          <w:p>
            <w:pPr>
              <w:pStyle w:val="TableContents"/>
              <w:spacing w:before="0" w:after="283"/>
              <w:rPr/>
            </w:pPr>
            <w:r>
              <w:rPr/>
              <w:t> </w:t>
            </w:r>
          </w:p>
        </w:tc>
      </w:tr>
      <w:tr>
        <w:trPr/>
        <w:tc>
          <w:tcPr>
            <w:tcW w:w="5272" w:type="dxa"/>
            <w:tcBorders/>
            <w:shd w:fill="CCEEFF" w:val="clear"/>
            <w:vAlign w:val="bottom"/>
          </w:tcPr>
          <w:p>
            <w:pPr>
              <w:pStyle w:val="TableContents"/>
              <w:spacing w:before="0" w:after="0"/>
              <w:ind w:left="225" w:right="0" w:hanging="225"/>
              <w:rPr/>
            </w:pPr>
            <w:r>
              <w:rPr/>
              <w:t>Tax benefit from stock option exercises</w:t>
            </w:r>
          </w:p>
        </w:tc>
        <w:tc>
          <w:tcPr>
            <w:tcW w:w="41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42" w:type="dxa"/>
            <w:tcBorders/>
            <w:shd w:fill="CCEEFF" w:val="clear"/>
            <w:vAlign w:val="bottom"/>
          </w:tcPr>
          <w:p>
            <w:pPr>
              <w:pStyle w:val="TableContents"/>
              <w:spacing w:before="0" w:after="283"/>
              <w:jc w:val="right"/>
              <w:rPr/>
            </w:pPr>
            <w:r>
              <w:rPr/>
              <w:t>0.2</w:t>
            </w:r>
          </w:p>
        </w:tc>
        <w:tc>
          <w:tcPr>
            <w:tcW w:w="116"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924" w:type="dxa"/>
            <w:tcBorders/>
            <w:shd w:fill="CCEEFF" w:val="clear"/>
            <w:vAlign w:val="bottom"/>
          </w:tcPr>
          <w:p>
            <w:pPr>
              <w:pStyle w:val="TableContents"/>
              <w:spacing w:before="0" w:after="283"/>
              <w:jc w:val="right"/>
              <w:rPr/>
            </w:pPr>
            <w:r>
              <w:rPr/>
              <w:t>2.1</w:t>
            </w:r>
          </w:p>
        </w:tc>
        <w:tc>
          <w:tcPr>
            <w:tcW w:w="116"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1050" w:type="dxa"/>
            <w:tcBorders/>
            <w:shd w:fill="CCEEFF" w:val="clear"/>
            <w:vAlign w:val="bottom"/>
          </w:tcPr>
          <w:p>
            <w:pPr>
              <w:pStyle w:val="TableContents"/>
              <w:spacing w:before="0" w:after="283"/>
              <w:jc w:val="right"/>
              <w:rPr/>
            </w:pPr>
            <w:r>
              <w:rPr/>
              <w:t>1.4</w:t>
            </w:r>
          </w:p>
        </w:tc>
        <w:tc>
          <w:tcPr>
            <w:tcW w:w="124" w:type="dxa"/>
            <w:tcBorders/>
            <w:shd w:fill="CCEEFF"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0"/>
              <w:ind w:left="225" w:right="0" w:hanging="225"/>
              <w:rPr/>
            </w:pPr>
            <w:r>
              <w:rPr/>
              <w:t>Intrinsic value of stock options exercised</w:t>
            </w:r>
          </w:p>
        </w:tc>
        <w:tc>
          <w:tcPr>
            <w:tcW w:w="41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1.5</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924" w:type="dxa"/>
            <w:tcBorders/>
            <w:shd w:fill="auto" w:val="clear"/>
            <w:vAlign w:val="bottom"/>
          </w:tcPr>
          <w:p>
            <w:pPr>
              <w:pStyle w:val="TableContents"/>
              <w:spacing w:before="0" w:after="283"/>
              <w:jc w:val="right"/>
              <w:rPr/>
            </w:pPr>
            <w:r>
              <w:rPr/>
              <w:t>7.7</w:t>
            </w:r>
          </w:p>
        </w:tc>
        <w:tc>
          <w:tcPr>
            <w:tcW w:w="11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1050" w:type="dxa"/>
            <w:tcBorders/>
            <w:shd w:fill="auto" w:val="clear"/>
            <w:vAlign w:val="bottom"/>
          </w:tcPr>
          <w:p>
            <w:pPr>
              <w:pStyle w:val="TableContents"/>
              <w:spacing w:before="0" w:after="283"/>
              <w:jc w:val="right"/>
              <w:rPr/>
            </w:pPr>
            <w:r>
              <w:rPr/>
              <w:t>15.5</w:t>
            </w:r>
          </w:p>
        </w:tc>
        <w:tc>
          <w:tcPr>
            <w:tcW w:w="124"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J: Income Taxes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Significant components of the income tax provision are as follows: </w:t>
      </w:r>
    </w:p>
    <w:tbl>
      <w:tblPr>
        <w:tblW w:w="5000" w:type="pct"/>
        <w:jc w:val="center"/>
        <w:tblInd w:w="0" w:type="dxa"/>
        <w:tblCellMar>
          <w:top w:w="0" w:type="dxa"/>
          <w:left w:w="0" w:type="dxa"/>
          <w:bottom w:w="0" w:type="dxa"/>
          <w:right w:w="0" w:type="dxa"/>
        </w:tblCellMar>
      </w:tblPr>
      <w:tblGrid>
        <w:gridCol w:w="4925"/>
        <w:gridCol w:w="392"/>
        <w:gridCol w:w="190"/>
        <w:gridCol w:w="936"/>
        <w:gridCol w:w="121"/>
        <w:gridCol w:w="400"/>
        <w:gridCol w:w="239"/>
        <w:gridCol w:w="1175"/>
        <w:gridCol w:w="151"/>
        <w:gridCol w:w="400"/>
        <w:gridCol w:w="190"/>
        <w:gridCol w:w="940"/>
        <w:gridCol w:w="146"/>
      </w:tblGrid>
      <w:tr>
        <w:trPr/>
        <w:tc>
          <w:tcPr>
            <w:tcW w:w="492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492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4742"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46" w:type="dxa"/>
            <w:tcBorders/>
            <w:shd w:fill="auto" w:val="clear"/>
            <w:vAlign w:val="bottom"/>
          </w:tcPr>
          <w:p>
            <w:pPr>
              <w:pStyle w:val="TableContents"/>
              <w:spacing w:before="0" w:after="283"/>
              <w:rPr/>
            </w:pPr>
            <w:r>
              <w:rPr/>
              <w:t> </w:t>
            </w:r>
          </w:p>
        </w:tc>
      </w:tr>
      <w:tr>
        <w:trPr/>
        <w:tc>
          <w:tcPr>
            <w:tcW w:w="492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12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1"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41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51"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13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6" w:type="dxa"/>
            <w:tcBorders/>
            <w:shd w:fill="auto" w:val="clear"/>
            <w:vAlign w:val="bottom"/>
          </w:tcPr>
          <w:p>
            <w:pPr>
              <w:pStyle w:val="TableContents"/>
              <w:spacing w:before="0" w:after="283"/>
              <w:rPr/>
            </w:pPr>
            <w:r>
              <w:rPr/>
              <w:t> </w:t>
            </w:r>
          </w:p>
        </w:tc>
      </w:tr>
      <w:tr>
        <w:trPr/>
        <w:tc>
          <w:tcPr>
            <w:tcW w:w="4925"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414" w:type="dxa"/>
            <w:gridSpan w:val="2"/>
            <w:tcBorders/>
            <w:shd w:fill="auto" w:val="clear"/>
            <w:vAlign w:val="bottom"/>
          </w:tcPr>
          <w:p>
            <w:pPr>
              <w:pStyle w:val="TableContents"/>
              <w:spacing w:before="0" w:after="283"/>
              <w:jc w:val="center"/>
              <w:rPr>
                <w:i/>
              </w:rPr>
            </w:pPr>
            <w:r>
              <w:rPr>
                <w:i/>
              </w:rPr>
              <w:t>(In thousands)</w:t>
            </w:r>
          </w:p>
        </w:tc>
        <w:tc>
          <w:tcPr>
            <w:tcW w:w="151"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4925" w:type="dxa"/>
            <w:tcBorders/>
            <w:shd w:fill="CCEEFF" w:val="clear"/>
            <w:vAlign w:val="bottom"/>
          </w:tcPr>
          <w:p>
            <w:pPr>
              <w:pStyle w:val="TableContents"/>
              <w:spacing w:before="0" w:after="0"/>
              <w:ind w:left="225" w:right="0" w:hanging="225"/>
              <w:rPr/>
            </w:pPr>
            <w:r>
              <w:rPr/>
              <w:t>Current</w:t>
            </w:r>
          </w:p>
        </w:tc>
        <w:tc>
          <w:tcPr>
            <w:tcW w:w="39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r>
      <w:tr>
        <w:trPr/>
        <w:tc>
          <w:tcPr>
            <w:tcW w:w="4925" w:type="dxa"/>
            <w:tcBorders/>
            <w:shd w:fill="auto" w:val="clear"/>
            <w:vAlign w:val="bottom"/>
          </w:tcPr>
          <w:p>
            <w:pPr>
              <w:pStyle w:val="TableContents"/>
              <w:spacing w:before="0" w:after="0"/>
              <w:ind w:left="450" w:right="0" w:hanging="225"/>
              <w:rPr/>
            </w:pPr>
            <w:r>
              <w:rPr/>
              <w:t>Federal</w:t>
            </w:r>
          </w:p>
        </w:tc>
        <w:tc>
          <w:tcPr>
            <w:tcW w:w="39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936" w:type="dxa"/>
            <w:tcBorders/>
            <w:shd w:fill="auto" w:val="clear"/>
            <w:vAlign w:val="bottom"/>
          </w:tcPr>
          <w:p>
            <w:pPr>
              <w:pStyle w:val="TableContents"/>
              <w:spacing w:before="0" w:after="283"/>
              <w:jc w:val="right"/>
              <w:rPr/>
            </w:pPr>
            <w:r>
              <w:rPr/>
              <w:t>50,148</w:t>
            </w:r>
          </w:p>
        </w:tc>
        <w:tc>
          <w:tcPr>
            <w:tcW w:w="121"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w:t>
            </w:r>
          </w:p>
        </w:tc>
        <w:tc>
          <w:tcPr>
            <w:tcW w:w="1175" w:type="dxa"/>
            <w:tcBorders/>
            <w:shd w:fill="auto" w:val="clear"/>
            <w:vAlign w:val="bottom"/>
          </w:tcPr>
          <w:p>
            <w:pPr>
              <w:pStyle w:val="TableContents"/>
              <w:spacing w:before="0" w:after="283"/>
              <w:jc w:val="right"/>
              <w:rPr/>
            </w:pPr>
            <w:r>
              <w:rPr/>
              <w:t>54,931</w:t>
            </w:r>
          </w:p>
        </w:tc>
        <w:tc>
          <w:tcPr>
            <w:tcW w:w="151"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940" w:type="dxa"/>
            <w:tcBorders/>
            <w:shd w:fill="auto" w:val="clear"/>
            <w:vAlign w:val="bottom"/>
          </w:tcPr>
          <w:p>
            <w:pPr>
              <w:pStyle w:val="TableContents"/>
              <w:spacing w:before="0" w:after="283"/>
              <w:jc w:val="right"/>
              <w:rPr/>
            </w:pPr>
            <w:r>
              <w:rPr/>
              <w:t>38,898</w:t>
            </w:r>
          </w:p>
        </w:tc>
        <w:tc>
          <w:tcPr>
            <w:tcW w:w="146" w:type="dxa"/>
            <w:tcBorders/>
            <w:shd w:fill="auto" w:val="clear"/>
            <w:vAlign w:val="bottom"/>
          </w:tcPr>
          <w:p>
            <w:pPr>
              <w:pStyle w:val="TableContents"/>
              <w:spacing w:before="0" w:after="283"/>
              <w:rPr/>
            </w:pPr>
            <w:r>
              <w:rPr/>
              <w:t> </w:t>
            </w:r>
          </w:p>
        </w:tc>
      </w:tr>
      <w:tr>
        <w:trPr/>
        <w:tc>
          <w:tcPr>
            <w:tcW w:w="4925" w:type="dxa"/>
            <w:tcBorders/>
            <w:shd w:fill="CCEEFF" w:val="clear"/>
            <w:vAlign w:val="bottom"/>
          </w:tcPr>
          <w:p>
            <w:pPr>
              <w:pStyle w:val="TableContents"/>
              <w:spacing w:before="0" w:after="0"/>
              <w:ind w:left="450" w:right="0" w:hanging="225"/>
              <w:rPr/>
            </w:pPr>
            <w:r>
              <w:rPr/>
              <w:t>State and foreign</w:t>
            </w:r>
          </w:p>
        </w:tc>
        <w:tc>
          <w:tcPr>
            <w:tcW w:w="39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2,728</w:t>
            </w:r>
          </w:p>
        </w:tc>
        <w:tc>
          <w:tcPr>
            <w:tcW w:w="121"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2,172</w:t>
            </w:r>
          </w:p>
        </w:tc>
        <w:tc>
          <w:tcPr>
            <w:tcW w:w="151"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1,519</w:t>
            </w:r>
          </w:p>
        </w:tc>
        <w:tc>
          <w:tcPr>
            <w:tcW w:w="146" w:type="dxa"/>
            <w:tcBorders/>
            <w:shd w:fill="CCEEFF" w:val="clear"/>
            <w:vAlign w:val="bottom"/>
          </w:tcPr>
          <w:p>
            <w:pPr>
              <w:pStyle w:val="TableContents"/>
              <w:spacing w:before="0" w:after="283"/>
              <w:rPr/>
            </w:pPr>
            <w:r>
              <w:rPr/>
              <w:t> </w:t>
            </w:r>
          </w:p>
        </w:tc>
      </w:tr>
      <w:tr>
        <w:trPr/>
        <w:tc>
          <w:tcPr>
            <w:tcW w:w="4925" w:type="dxa"/>
            <w:tcBorders/>
            <w:shd w:fill="auto" w:val="clear"/>
            <w:vAlign w:val="center"/>
          </w:tcPr>
          <w:p>
            <w:pPr>
              <w:pStyle w:val="TableContents"/>
              <w:spacing w:before="0" w:after="0"/>
              <w:ind w:left="225" w:right="0" w:hanging="225"/>
              <w:rPr/>
            </w:pPr>
            <w:r>
              <w:rPr/>
              <w:t> </w:t>
            </w:r>
          </w:p>
        </w:tc>
        <w:tc>
          <w:tcPr>
            <w:tcW w:w="392"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rPr/>
            </w:pPr>
            <w:r>
              <w:rPr/>
              <w:t> </w:t>
            </w:r>
          </w:p>
        </w:tc>
        <w:tc>
          <w:tcPr>
            <w:tcW w:w="14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4925" w:type="dxa"/>
            <w:tcBorders/>
            <w:shd w:fill="auto" w:val="clear"/>
            <w:vAlign w:val="bottom"/>
          </w:tcPr>
          <w:p>
            <w:pPr>
              <w:pStyle w:val="TableContents"/>
              <w:spacing w:before="0" w:after="0"/>
              <w:ind w:left="225" w:right="0" w:hanging="225"/>
              <w:rPr/>
            </w:pPr>
            <w:r>
              <w:rPr/>
              <w:t> </w:t>
            </w:r>
          </w:p>
        </w:tc>
        <w:tc>
          <w:tcPr>
            <w:tcW w:w="39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52,876</w:t>
            </w:r>
          </w:p>
        </w:tc>
        <w:tc>
          <w:tcPr>
            <w:tcW w:w="121"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57,103</w:t>
            </w:r>
          </w:p>
        </w:tc>
        <w:tc>
          <w:tcPr>
            <w:tcW w:w="151"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40,417</w:t>
            </w:r>
          </w:p>
        </w:tc>
        <w:tc>
          <w:tcPr>
            <w:tcW w:w="146" w:type="dxa"/>
            <w:tcBorders/>
            <w:shd w:fill="auto" w:val="clear"/>
            <w:vAlign w:val="bottom"/>
          </w:tcPr>
          <w:p>
            <w:pPr>
              <w:pStyle w:val="TableContents"/>
              <w:spacing w:before="0" w:after="283"/>
              <w:rPr/>
            </w:pPr>
            <w:r>
              <w:rPr/>
              <w:t> </w:t>
            </w:r>
          </w:p>
        </w:tc>
      </w:tr>
      <w:tr>
        <w:trPr/>
        <w:tc>
          <w:tcPr>
            <w:tcW w:w="4925" w:type="dxa"/>
            <w:tcBorders/>
            <w:shd w:fill="CCEEFF" w:val="clear"/>
            <w:vAlign w:val="bottom"/>
          </w:tcPr>
          <w:p>
            <w:pPr>
              <w:pStyle w:val="TableContents"/>
              <w:spacing w:before="0" w:after="0"/>
              <w:ind w:left="225" w:right="0" w:hanging="225"/>
              <w:rPr/>
            </w:pPr>
            <w:r>
              <w:rPr/>
              <w:t>Deferred</w:t>
            </w:r>
          </w:p>
        </w:tc>
        <w:tc>
          <w:tcPr>
            <w:tcW w:w="39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r>
      <w:tr>
        <w:trPr/>
        <w:tc>
          <w:tcPr>
            <w:tcW w:w="4925" w:type="dxa"/>
            <w:tcBorders/>
            <w:shd w:fill="auto" w:val="clear"/>
            <w:vAlign w:val="bottom"/>
          </w:tcPr>
          <w:p>
            <w:pPr>
              <w:pStyle w:val="TableContents"/>
              <w:spacing w:before="0" w:after="0"/>
              <w:ind w:left="450" w:right="0" w:hanging="225"/>
              <w:rPr/>
            </w:pPr>
            <w:r>
              <w:rPr/>
              <w:t>Federal</w:t>
            </w:r>
          </w:p>
        </w:tc>
        <w:tc>
          <w:tcPr>
            <w:tcW w:w="39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13,408</w:t>
            </w:r>
          </w:p>
        </w:tc>
        <w:tc>
          <w:tcPr>
            <w:tcW w:w="121"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pPr>
            <w:r>
              <w:rPr/>
              <w:t>(2,811</w:t>
            </w:r>
          </w:p>
        </w:tc>
        <w:tc>
          <w:tcPr>
            <w:tcW w:w="151" w:type="dxa"/>
            <w:tcBorders/>
            <w:shd w:fill="auto" w:val="clear"/>
            <w:vAlign w:val="bottom"/>
          </w:tcPr>
          <w:p>
            <w:pPr>
              <w:pStyle w:val="TableContents"/>
              <w:spacing w:before="0" w:after="283"/>
              <w:rPr/>
            </w:pPr>
            <w:r>
              <w:rPr/>
              <w:t>)</w:t>
            </w:r>
          </w:p>
        </w:tc>
        <w:tc>
          <w:tcPr>
            <w:tcW w:w="40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 </w:t>
            </w:r>
          </w:p>
        </w:tc>
        <w:tc>
          <w:tcPr>
            <w:tcW w:w="940" w:type="dxa"/>
            <w:tcBorders/>
            <w:shd w:fill="auto" w:val="clear"/>
            <w:vAlign w:val="bottom"/>
          </w:tcPr>
          <w:p>
            <w:pPr>
              <w:pStyle w:val="TableContents"/>
              <w:spacing w:before="0" w:after="283"/>
              <w:jc w:val="right"/>
              <w:rPr/>
            </w:pPr>
            <w:r>
              <w:rPr/>
              <w:t>(3,516</w:t>
            </w:r>
          </w:p>
        </w:tc>
        <w:tc>
          <w:tcPr>
            <w:tcW w:w="146" w:type="dxa"/>
            <w:tcBorders/>
            <w:shd w:fill="auto" w:val="clear"/>
            <w:vAlign w:val="bottom"/>
          </w:tcPr>
          <w:p>
            <w:pPr>
              <w:pStyle w:val="TableContents"/>
              <w:spacing w:before="0" w:after="283"/>
              <w:rPr/>
            </w:pPr>
            <w:r>
              <w:rPr/>
              <w:t>)</w:t>
            </w:r>
          </w:p>
        </w:tc>
      </w:tr>
      <w:tr>
        <w:trPr/>
        <w:tc>
          <w:tcPr>
            <w:tcW w:w="4925" w:type="dxa"/>
            <w:tcBorders/>
            <w:shd w:fill="CCEEFF" w:val="clear"/>
            <w:vAlign w:val="bottom"/>
          </w:tcPr>
          <w:p>
            <w:pPr>
              <w:pStyle w:val="TableContents"/>
              <w:spacing w:before="0" w:after="0"/>
              <w:ind w:left="450" w:right="0" w:hanging="225"/>
              <w:rPr/>
            </w:pPr>
            <w:r>
              <w:rPr/>
              <w:t>State and foreign</w:t>
            </w:r>
          </w:p>
        </w:tc>
        <w:tc>
          <w:tcPr>
            <w:tcW w:w="39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268</w:t>
            </w:r>
          </w:p>
        </w:tc>
        <w:tc>
          <w:tcPr>
            <w:tcW w:w="121"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 </w:t>
            </w:r>
          </w:p>
        </w:tc>
        <w:tc>
          <w:tcPr>
            <w:tcW w:w="1175" w:type="dxa"/>
            <w:tcBorders/>
            <w:shd w:fill="CCEEFF" w:val="clear"/>
            <w:vAlign w:val="bottom"/>
          </w:tcPr>
          <w:p>
            <w:pPr>
              <w:pStyle w:val="TableContents"/>
              <w:spacing w:before="0" w:after="283"/>
              <w:jc w:val="right"/>
              <w:rPr/>
            </w:pPr>
            <w:r>
              <w:rPr/>
              <w:t>(56</w:t>
            </w:r>
          </w:p>
        </w:tc>
        <w:tc>
          <w:tcPr>
            <w:tcW w:w="151" w:type="dxa"/>
            <w:tcBorders/>
            <w:shd w:fill="CCEEFF" w:val="clear"/>
            <w:vAlign w:val="bottom"/>
          </w:tcPr>
          <w:p>
            <w:pPr>
              <w:pStyle w:val="TableContents"/>
              <w:spacing w:before="0" w:after="283"/>
              <w:rPr/>
            </w:pPr>
            <w:r>
              <w:rPr/>
              <w:t>)</w:t>
            </w:r>
          </w:p>
        </w:tc>
        <w:tc>
          <w:tcPr>
            <w:tcW w:w="40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 </w:t>
            </w:r>
          </w:p>
        </w:tc>
        <w:tc>
          <w:tcPr>
            <w:tcW w:w="940" w:type="dxa"/>
            <w:tcBorders/>
            <w:shd w:fill="CCEEFF" w:val="clear"/>
            <w:vAlign w:val="bottom"/>
          </w:tcPr>
          <w:p>
            <w:pPr>
              <w:pStyle w:val="TableContents"/>
              <w:spacing w:before="0" w:after="283"/>
              <w:jc w:val="right"/>
              <w:rPr/>
            </w:pPr>
            <w:r>
              <w:rPr/>
              <w:t>(61</w:t>
            </w:r>
          </w:p>
        </w:tc>
        <w:tc>
          <w:tcPr>
            <w:tcW w:w="146" w:type="dxa"/>
            <w:tcBorders/>
            <w:shd w:fill="CCEEFF" w:val="clear"/>
            <w:vAlign w:val="bottom"/>
          </w:tcPr>
          <w:p>
            <w:pPr>
              <w:pStyle w:val="TableContents"/>
              <w:spacing w:before="0" w:after="283"/>
              <w:rPr/>
            </w:pPr>
            <w:r>
              <w:rPr/>
              <w:t>)</w:t>
            </w:r>
          </w:p>
        </w:tc>
      </w:tr>
      <w:tr>
        <w:trPr/>
        <w:tc>
          <w:tcPr>
            <w:tcW w:w="4925" w:type="dxa"/>
            <w:tcBorders/>
            <w:shd w:fill="auto" w:val="clear"/>
            <w:vAlign w:val="center"/>
          </w:tcPr>
          <w:p>
            <w:pPr>
              <w:pStyle w:val="TableContents"/>
              <w:spacing w:before="0" w:after="0"/>
              <w:ind w:left="225" w:right="0" w:hanging="225"/>
              <w:rPr/>
            </w:pPr>
            <w:r>
              <w:rPr/>
              <w:t> </w:t>
            </w:r>
          </w:p>
        </w:tc>
        <w:tc>
          <w:tcPr>
            <w:tcW w:w="392"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rPr/>
            </w:pPr>
            <w:r>
              <w:rPr/>
              <w:t> </w:t>
            </w:r>
          </w:p>
        </w:tc>
        <w:tc>
          <w:tcPr>
            <w:tcW w:w="14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4925" w:type="dxa"/>
            <w:tcBorders/>
            <w:shd w:fill="auto" w:val="clear"/>
            <w:vAlign w:val="bottom"/>
          </w:tcPr>
          <w:p>
            <w:pPr>
              <w:pStyle w:val="TableContents"/>
              <w:spacing w:before="0" w:after="0"/>
              <w:ind w:left="225" w:right="0" w:hanging="225"/>
              <w:rPr/>
            </w:pPr>
            <w:r>
              <w:rPr/>
              <w:t> </w:t>
            </w:r>
          </w:p>
        </w:tc>
        <w:tc>
          <w:tcPr>
            <w:tcW w:w="39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13,676</w:t>
            </w:r>
          </w:p>
        </w:tc>
        <w:tc>
          <w:tcPr>
            <w:tcW w:w="121"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175" w:type="dxa"/>
            <w:tcBorders/>
            <w:shd w:fill="auto" w:val="clear"/>
            <w:vAlign w:val="bottom"/>
          </w:tcPr>
          <w:p>
            <w:pPr>
              <w:pStyle w:val="TableContents"/>
              <w:spacing w:before="0" w:after="283"/>
              <w:jc w:val="right"/>
              <w:rPr/>
            </w:pPr>
            <w:r>
              <w:rPr/>
              <w:t>(2,867</w:t>
            </w:r>
          </w:p>
        </w:tc>
        <w:tc>
          <w:tcPr>
            <w:tcW w:w="151" w:type="dxa"/>
            <w:tcBorders/>
            <w:shd w:fill="auto" w:val="clear"/>
            <w:vAlign w:val="bottom"/>
          </w:tcPr>
          <w:p>
            <w:pPr>
              <w:pStyle w:val="TableContents"/>
              <w:spacing w:before="0" w:after="283"/>
              <w:rPr/>
            </w:pPr>
            <w:r>
              <w:rPr/>
              <w:t>)</w:t>
            </w:r>
          </w:p>
        </w:tc>
        <w:tc>
          <w:tcPr>
            <w:tcW w:w="40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 </w:t>
            </w:r>
          </w:p>
        </w:tc>
        <w:tc>
          <w:tcPr>
            <w:tcW w:w="940" w:type="dxa"/>
            <w:tcBorders/>
            <w:shd w:fill="auto" w:val="clear"/>
            <w:vAlign w:val="bottom"/>
          </w:tcPr>
          <w:p>
            <w:pPr>
              <w:pStyle w:val="TableContents"/>
              <w:spacing w:before="0" w:after="283"/>
              <w:jc w:val="right"/>
              <w:rPr/>
            </w:pPr>
            <w:r>
              <w:rPr/>
              <w:t>(3,577</w:t>
            </w:r>
          </w:p>
        </w:tc>
        <w:tc>
          <w:tcPr>
            <w:tcW w:w="146" w:type="dxa"/>
            <w:tcBorders/>
            <w:shd w:fill="auto" w:val="clear"/>
            <w:vAlign w:val="bottom"/>
          </w:tcPr>
          <w:p>
            <w:pPr>
              <w:pStyle w:val="TableContents"/>
              <w:spacing w:before="0" w:after="283"/>
              <w:rPr/>
            </w:pPr>
            <w:r>
              <w:rPr/>
              <w:t>)</w:t>
            </w:r>
          </w:p>
        </w:tc>
      </w:tr>
      <w:tr>
        <w:trPr/>
        <w:tc>
          <w:tcPr>
            <w:tcW w:w="4925" w:type="dxa"/>
            <w:tcBorders/>
            <w:shd w:fill="auto" w:val="clear"/>
            <w:vAlign w:val="center"/>
          </w:tcPr>
          <w:p>
            <w:pPr>
              <w:pStyle w:val="TableContents"/>
              <w:spacing w:before="0" w:after="0"/>
              <w:ind w:left="225" w:right="0" w:hanging="225"/>
              <w:rPr/>
            </w:pPr>
            <w:r>
              <w:rPr/>
              <w:t> </w:t>
            </w:r>
          </w:p>
        </w:tc>
        <w:tc>
          <w:tcPr>
            <w:tcW w:w="392"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rPr/>
            </w:pPr>
            <w:r>
              <w:rPr/>
              <w:t> </w:t>
            </w:r>
          </w:p>
        </w:tc>
        <w:tc>
          <w:tcPr>
            <w:tcW w:w="14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4925" w:type="dxa"/>
            <w:tcBorders/>
            <w:shd w:fill="CCEEFF" w:val="clear"/>
            <w:vAlign w:val="bottom"/>
          </w:tcPr>
          <w:p>
            <w:pPr>
              <w:pStyle w:val="TableContents"/>
              <w:spacing w:before="0" w:after="0"/>
              <w:ind w:left="225" w:right="0" w:hanging="225"/>
              <w:rPr/>
            </w:pPr>
            <w:r>
              <w:rPr/>
              <w:t> </w:t>
            </w:r>
          </w:p>
        </w:tc>
        <w:tc>
          <w:tcPr>
            <w:tcW w:w="39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936" w:type="dxa"/>
            <w:tcBorders/>
            <w:shd w:fill="CCEEFF" w:val="clear"/>
            <w:vAlign w:val="bottom"/>
          </w:tcPr>
          <w:p>
            <w:pPr>
              <w:pStyle w:val="TableContents"/>
              <w:spacing w:before="0" w:after="283"/>
              <w:jc w:val="right"/>
              <w:rPr/>
            </w:pPr>
            <w:r>
              <w:rPr/>
              <w:t>66,552</w:t>
            </w:r>
          </w:p>
        </w:tc>
        <w:tc>
          <w:tcPr>
            <w:tcW w:w="121"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w:t>
            </w:r>
          </w:p>
        </w:tc>
        <w:tc>
          <w:tcPr>
            <w:tcW w:w="1175" w:type="dxa"/>
            <w:tcBorders/>
            <w:shd w:fill="CCEEFF" w:val="clear"/>
            <w:vAlign w:val="bottom"/>
          </w:tcPr>
          <w:p>
            <w:pPr>
              <w:pStyle w:val="TableContents"/>
              <w:spacing w:before="0" w:after="283"/>
              <w:jc w:val="right"/>
              <w:rPr/>
            </w:pPr>
            <w:r>
              <w:rPr/>
              <w:t>54,236</w:t>
            </w:r>
          </w:p>
        </w:tc>
        <w:tc>
          <w:tcPr>
            <w:tcW w:w="151"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940" w:type="dxa"/>
            <w:tcBorders/>
            <w:shd w:fill="CCEEFF" w:val="clear"/>
            <w:vAlign w:val="bottom"/>
          </w:tcPr>
          <w:p>
            <w:pPr>
              <w:pStyle w:val="TableContents"/>
              <w:spacing w:before="0" w:after="283"/>
              <w:jc w:val="right"/>
              <w:rPr/>
            </w:pPr>
            <w:r>
              <w:rPr/>
              <w:t>36,840</w:t>
            </w:r>
          </w:p>
        </w:tc>
        <w:tc>
          <w:tcPr>
            <w:tcW w:w="146" w:type="dxa"/>
            <w:tcBorders/>
            <w:shd w:fill="CCEEFF" w:val="clear"/>
            <w:vAlign w:val="bottom"/>
          </w:tcPr>
          <w:p>
            <w:pPr>
              <w:pStyle w:val="TableContents"/>
              <w:spacing w:before="0" w:after="283"/>
              <w:rPr/>
            </w:pPr>
            <w:r>
              <w:rPr/>
              <w:t> </w:t>
            </w:r>
          </w:p>
        </w:tc>
      </w:tr>
      <w:tr>
        <w:trPr/>
        <w:tc>
          <w:tcPr>
            <w:tcW w:w="4925" w:type="dxa"/>
            <w:tcBorders/>
            <w:shd w:fill="auto" w:val="clear"/>
            <w:vAlign w:val="center"/>
          </w:tcPr>
          <w:p>
            <w:pPr>
              <w:pStyle w:val="TableContents"/>
              <w:spacing w:before="0" w:after="0"/>
              <w:ind w:left="225" w:right="0" w:hanging="225"/>
              <w:rPr/>
            </w:pPr>
            <w:r>
              <w:rPr/>
              <w:t> </w:t>
            </w:r>
          </w:p>
        </w:tc>
        <w:tc>
          <w:tcPr>
            <w:tcW w:w="392" w:type="dxa"/>
            <w:tcBorders/>
            <w:shd w:fill="auto" w:val="clear"/>
            <w:vAlign w:val="center"/>
          </w:tcPr>
          <w:p>
            <w:pPr>
              <w:pStyle w:val="TableContents"/>
              <w:spacing w:before="0" w:after="283"/>
              <w:rPr/>
            </w:pPr>
            <w:r>
              <w:rPr/>
              <w:t> </w:t>
            </w:r>
          </w:p>
        </w:tc>
        <w:tc>
          <w:tcPr>
            <w:tcW w:w="11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rPr/>
            </w:pPr>
            <w:r>
              <w:rPr/>
              <w:t> </w:t>
            </w:r>
          </w:p>
        </w:tc>
        <w:tc>
          <w:tcPr>
            <w:tcW w:w="14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reconciliation of income taxes calculated at the statutory rate and the provision for income taxes attributable to continuing operations is as follows: </w:t>
      </w:r>
    </w:p>
    <w:tbl>
      <w:tblPr>
        <w:tblW w:w="5000" w:type="pct"/>
        <w:jc w:val="center"/>
        <w:tblInd w:w="0" w:type="dxa"/>
        <w:tblCellMar>
          <w:top w:w="0" w:type="dxa"/>
          <w:left w:w="0" w:type="dxa"/>
          <w:bottom w:w="0" w:type="dxa"/>
          <w:right w:w="0" w:type="dxa"/>
        </w:tblCellMar>
      </w:tblPr>
      <w:tblGrid>
        <w:gridCol w:w="4947"/>
        <w:gridCol w:w="357"/>
        <w:gridCol w:w="175"/>
        <w:gridCol w:w="863"/>
        <w:gridCol w:w="236"/>
        <w:gridCol w:w="361"/>
        <w:gridCol w:w="237"/>
        <w:gridCol w:w="1164"/>
        <w:gridCol w:w="236"/>
        <w:gridCol w:w="361"/>
        <w:gridCol w:w="175"/>
        <w:gridCol w:w="865"/>
        <w:gridCol w:w="228"/>
      </w:tblGrid>
      <w:tr>
        <w:trPr/>
        <w:tc>
          <w:tcPr>
            <w:tcW w:w="4947" w:type="dxa"/>
            <w:tcBorders/>
            <w:shd w:fill="auto" w:val="clear"/>
          </w:tcPr>
          <w:p>
            <w:pPr>
              <w:pStyle w:val="TableContents"/>
              <w:spacing w:before="0" w:after="283"/>
              <w:rPr/>
            </w:pPr>
            <w:r>
              <w:rPr/>
              <w:t> </w:t>
            </w:r>
          </w:p>
        </w:tc>
        <w:tc>
          <w:tcPr>
            <w:tcW w:w="357"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863"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361" w:type="dxa"/>
            <w:tcBorders/>
            <w:shd w:fill="auto" w:val="clear"/>
          </w:tcPr>
          <w:p>
            <w:pPr>
              <w:pStyle w:val="TableContents"/>
              <w:spacing w:before="0" w:after="283"/>
              <w:rPr/>
            </w:pPr>
            <w:r>
              <w:rPr/>
              <w:t> </w:t>
            </w:r>
          </w:p>
        </w:tc>
        <w:tc>
          <w:tcPr>
            <w:tcW w:w="237" w:type="dxa"/>
            <w:tcBorders/>
            <w:shd w:fill="auto" w:val="clear"/>
          </w:tcPr>
          <w:p>
            <w:pPr>
              <w:pStyle w:val="TableContents"/>
              <w:spacing w:before="0" w:after="283"/>
              <w:rPr/>
            </w:pPr>
            <w:r>
              <w:rPr/>
              <w:t> </w:t>
            </w:r>
          </w:p>
        </w:tc>
        <w:tc>
          <w:tcPr>
            <w:tcW w:w="1164"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361"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865" w:type="dxa"/>
            <w:tcBorders/>
            <w:shd w:fill="auto" w:val="clear"/>
          </w:tcPr>
          <w:p>
            <w:pPr>
              <w:pStyle w:val="TableContents"/>
              <w:spacing w:before="0" w:after="283"/>
              <w:rPr/>
            </w:pPr>
            <w:r>
              <w:rPr/>
              <w:t> </w:t>
            </w:r>
          </w:p>
        </w:tc>
        <w:tc>
          <w:tcPr>
            <w:tcW w:w="228" w:type="dxa"/>
            <w:tcBorders/>
            <w:shd w:fill="auto" w:val="clear"/>
          </w:tcPr>
          <w:p>
            <w:pPr>
              <w:pStyle w:val="TableContents"/>
              <w:spacing w:before="0" w:after="283"/>
              <w:rPr/>
            </w:pPr>
            <w:r>
              <w:rPr/>
              <w:t> </w:t>
            </w:r>
          </w:p>
        </w:tc>
      </w:tr>
      <w:tr>
        <w:trPr/>
        <w:tc>
          <w:tcPr>
            <w:tcW w:w="4947"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4673"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228" w:type="dxa"/>
            <w:tcBorders/>
            <w:shd w:fill="auto" w:val="clear"/>
            <w:vAlign w:val="bottom"/>
          </w:tcPr>
          <w:p>
            <w:pPr>
              <w:pStyle w:val="TableContents"/>
              <w:spacing w:before="0" w:after="283"/>
              <w:rPr/>
            </w:pPr>
            <w:r>
              <w:rPr/>
              <w:t> </w:t>
            </w:r>
          </w:p>
        </w:tc>
      </w:tr>
      <w:tr>
        <w:trPr/>
        <w:tc>
          <w:tcPr>
            <w:tcW w:w="4947"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03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23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3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28" w:type="dxa"/>
            <w:tcBorders/>
            <w:shd w:fill="auto" w:val="clear"/>
            <w:vAlign w:val="bottom"/>
          </w:tcPr>
          <w:p>
            <w:pPr>
              <w:pStyle w:val="TableContents"/>
              <w:spacing w:before="0" w:after="283"/>
              <w:rPr/>
            </w:pPr>
            <w:r>
              <w:rPr/>
              <w:t> </w:t>
            </w:r>
          </w:p>
        </w:tc>
      </w:tr>
      <w:tr>
        <w:trPr/>
        <w:tc>
          <w:tcPr>
            <w:tcW w:w="4947"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1" w:type="dxa"/>
            <w:gridSpan w:val="2"/>
            <w:tcBorders/>
            <w:shd w:fill="auto" w:val="clear"/>
            <w:vAlign w:val="bottom"/>
          </w:tcPr>
          <w:p>
            <w:pPr>
              <w:pStyle w:val="TableContents"/>
              <w:spacing w:before="0" w:after="283"/>
              <w:jc w:val="center"/>
              <w:rPr>
                <w:i/>
              </w:rPr>
            </w:pPr>
            <w:r>
              <w:rPr>
                <w:i/>
              </w:rPr>
              <w:t>(In thousands)</w:t>
            </w:r>
          </w:p>
        </w:tc>
        <w:tc>
          <w:tcPr>
            <w:tcW w:w="23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r>
      <w:tr>
        <w:trPr/>
        <w:tc>
          <w:tcPr>
            <w:tcW w:w="4947" w:type="dxa"/>
            <w:tcBorders/>
            <w:shd w:fill="CCEEFF" w:val="clear"/>
            <w:vAlign w:val="bottom"/>
          </w:tcPr>
          <w:p>
            <w:pPr>
              <w:pStyle w:val="TableContents"/>
              <w:spacing w:before="0" w:after="0"/>
              <w:ind w:left="225" w:right="0" w:hanging="225"/>
              <w:rPr/>
            </w:pPr>
            <w:r>
              <w:rPr/>
              <w:t>Income taxes at the federal statutory rate</w:t>
            </w:r>
          </w:p>
        </w:tc>
        <w:tc>
          <w:tcPr>
            <w:tcW w:w="35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66,049</w:t>
            </w:r>
          </w:p>
        </w:tc>
        <w:tc>
          <w:tcPr>
            <w:tcW w:w="236"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1164" w:type="dxa"/>
            <w:tcBorders/>
            <w:shd w:fill="CCEEFF" w:val="clear"/>
            <w:vAlign w:val="bottom"/>
          </w:tcPr>
          <w:p>
            <w:pPr>
              <w:pStyle w:val="TableContents"/>
              <w:spacing w:before="0" w:after="283"/>
              <w:jc w:val="right"/>
              <w:rPr/>
            </w:pPr>
            <w:r>
              <w:rPr/>
              <w:t>53,035</w:t>
            </w:r>
          </w:p>
        </w:tc>
        <w:tc>
          <w:tcPr>
            <w:tcW w:w="236"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865" w:type="dxa"/>
            <w:tcBorders/>
            <w:shd w:fill="CCEEFF" w:val="clear"/>
            <w:vAlign w:val="bottom"/>
          </w:tcPr>
          <w:p>
            <w:pPr>
              <w:pStyle w:val="TableContents"/>
              <w:spacing w:before="0" w:after="283"/>
              <w:jc w:val="right"/>
              <w:rPr/>
            </w:pPr>
            <w:r>
              <w:rPr/>
              <w:t>36,859</w:t>
            </w:r>
          </w:p>
        </w:tc>
        <w:tc>
          <w:tcPr>
            <w:tcW w:w="228" w:type="dxa"/>
            <w:tcBorders/>
            <w:shd w:fill="CCEEFF" w:val="clear"/>
            <w:vAlign w:val="bottom"/>
          </w:tcPr>
          <w:p>
            <w:pPr>
              <w:pStyle w:val="TableContents"/>
              <w:spacing w:before="0" w:after="283"/>
              <w:rPr/>
            </w:pPr>
            <w:r>
              <w:rPr/>
              <w:t> </w:t>
            </w:r>
          </w:p>
        </w:tc>
      </w:tr>
      <w:tr>
        <w:trPr/>
        <w:tc>
          <w:tcPr>
            <w:tcW w:w="4947" w:type="dxa"/>
            <w:tcBorders/>
            <w:shd w:fill="auto" w:val="clear"/>
            <w:vAlign w:val="bottom"/>
          </w:tcPr>
          <w:p>
            <w:pPr>
              <w:pStyle w:val="TableContents"/>
              <w:spacing w:before="0" w:after="0"/>
              <w:ind w:left="225" w:right="0" w:hanging="225"/>
              <w:rPr/>
            </w:pPr>
            <w:r>
              <w:rPr/>
              <w:t>Non-deductible expense related to incentive stock options</w:t>
            </w:r>
          </w:p>
        </w:tc>
        <w:tc>
          <w:tcPr>
            <w:tcW w:w="35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w:t>
            </w:r>
          </w:p>
        </w:tc>
        <w:tc>
          <w:tcPr>
            <w:tcW w:w="23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1</w:t>
            </w:r>
          </w:p>
        </w:tc>
        <w:tc>
          <w:tcPr>
            <w:tcW w:w="23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112</w:t>
            </w:r>
          </w:p>
        </w:tc>
        <w:tc>
          <w:tcPr>
            <w:tcW w:w="228" w:type="dxa"/>
            <w:tcBorders/>
            <w:shd w:fill="auto" w:val="clear"/>
            <w:vAlign w:val="bottom"/>
          </w:tcPr>
          <w:p>
            <w:pPr>
              <w:pStyle w:val="TableContents"/>
              <w:spacing w:before="0" w:after="283"/>
              <w:rPr/>
            </w:pPr>
            <w:r>
              <w:rPr/>
              <w:t> </w:t>
            </w:r>
          </w:p>
        </w:tc>
      </w:tr>
      <w:tr>
        <w:trPr/>
        <w:tc>
          <w:tcPr>
            <w:tcW w:w="4947" w:type="dxa"/>
            <w:tcBorders/>
            <w:shd w:fill="CCEEFF" w:val="clear"/>
            <w:vAlign w:val="bottom"/>
          </w:tcPr>
          <w:p>
            <w:pPr>
              <w:pStyle w:val="TableContents"/>
              <w:spacing w:before="0" w:after="0"/>
              <w:ind w:left="225" w:right="0" w:hanging="225"/>
              <w:rPr/>
            </w:pPr>
            <w:r>
              <w:rPr/>
              <w:t>State income tax, net of federal benefit</w:t>
            </w:r>
          </w:p>
        </w:tc>
        <w:tc>
          <w:tcPr>
            <w:tcW w:w="35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2,728</w:t>
            </w:r>
          </w:p>
        </w:tc>
        <w:tc>
          <w:tcPr>
            <w:tcW w:w="236"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2,172</w:t>
            </w:r>
          </w:p>
        </w:tc>
        <w:tc>
          <w:tcPr>
            <w:tcW w:w="236"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1,519</w:t>
            </w:r>
          </w:p>
        </w:tc>
        <w:tc>
          <w:tcPr>
            <w:tcW w:w="228" w:type="dxa"/>
            <w:tcBorders/>
            <w:shd w:fill="CCEEFF" w:val="clear"/>
            <w:vAlign w:val="bottom"/>
          </w:tcPr>
          <w:p>
            <w:pPr>
              <w:pStyle w:val="TableContents"/>
              <w:spacing w:before="0" w:after="283"/>
              <w:rPr/>
            </w:pPr>
            <w:r>
              <w:rPr/>
              <w:t> </w:t>
            </w:r>
          </w:p>
        </w:tc>
      </w:tr>
      <w:tr>
        <w:trPr/>
        <w:tc>
          <w:tcPr>
            <w:tcW w:w="4947" w:type="dxa"/>
            <w:tcBorders/>
            <w:shd w:fill="auto" w:val="clear"/>
            <w:vAlign w:val="bottom"/>
          </w:tcPr>
          <w:p>
            <w:pPr>
              <w:pStyle w:val="TableContents"/>
              <w:spacing w:before="0" w:after="0"/>
              <w:ind w:left="225" w:right="0" w:hanging="225"/>
              <w:rPr/>
            </w:pPr>
            <w:r>
              <w:rPr/>
              <w:t>Change in valuation allowance</w:t>
            </w:r>
          </w:p>
        </w:tc>
        <w:tc>
          <w:tcPr>
            <w:tcW w:w="35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1,425</w:t>
            </w:r>
          </w:p>
        </w:tc>
        <w:tc>
          <w:tcPr>
            <w:tcW w:w="23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1,273</w:t>
            </w:r>
          </w:p>
        </w:tc>
        <w:tc>
          <w:tcPr>
            <w:tcW w:w="23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157</w:t>
            </w:r>
          </w:p>
        </w:tc>
        <w:tc>
          <w:tcPr>
            <w:tcW w:w="228" w:type="dxa"/>
            <w:tcBorders/>
            <w:shd w:fill="auto" w:val="clear"/>
            <w:vAlign w:val="bottom"/>
          </w:tcPr>
          <w:p>
            <w:pPr>
              <w:pStyle w:val="TableContents"/>
              <w:spacing w:before="0" w:after="283"/>
              <w:rPr/>
            </w:pPr>
            <w:r>
              <w:rPr/>
              <w:t> </w:t>
            </w:r>
          </w:p>
        </w:tc>
      </w:tr>
      <w:tr>
        <w:trPr/>
        <w:tc>
          <w:tcPr>
            <w:tcW w:w="4947" w:type="dxa"/>
            <w:tcBorders/>
            <w:shd w:fill="CCEEFF" w:val="clear"/>
            <w:vAlign w:val="bottom"/>
          </w:tcPr>
          <w:p>
            <w:pPr>
              <w:pStyle w:val="TableContents"/>
              <w:spacing w:before="0" w:after="0"/>
              <w:ind w:left="225" w:right="0" w:hanging="225"/>
              <w:rPr/>
            </w:pPr>
            <w:r>
              <w:rPr/>
              <w:t>Federal tax credits</w:t>
            </w:r>
          </w:p>
        </w:tc>
        <w:tc>
          <w:tcPr>
            <w:tcW w:w="35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283"/>
              <w:jc w:val="right"/>
              <w:rPr/>
            </w:pPr>
            <w:r>
              <w:rPr/>
              <w:t>(167</w:t>
            </w:r>
          </w:p>
        </w:tc>
        <w:tc>
          <w:tcPr>
            <w:tcW w:w="236" w:type="dxa"/>
            <w:tcBorders/>
            <w:shd w:fill="CCEEFF" w:val="clear"/>
            <w:vAlign w:val="bottom"/>
          </w:tcPr>
          <w:p>
            <w:pPr>
              <w:pStyle w:val="TableContents"/>
              <w:spacing w:before="0" w:after="283"/>
              <w:rPr/>
            </w:pPr>
            <w:r>
              <w:rPr/>
              <w:t>)</w:t>
            </w:r>
          </w:p>
        </w:tc>
        <w:tc>
          <w:tcPr>
            <w:tcW w:w="36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pPr>
            <w:r>
              <w:rPr/>
              <w:t>(134</w:t>
            </w:r>
          </w:p>
        </w:tc>
        <w:tc>
          <w:tcPr>
            <w:tcW w:w="236" w:type="dxa"/>
            <w:tcBorders/>
            <w:shd w:fill="CCEEFF" w:val="clear"/>
            <w:vAlign w:val="bottom"/>
          </w:tcPr>
          <w:p>
            <w:pPr>
              <w:pStyle w:val="TableContents"/>
              <w:spacing w:before="0" w:after="283"/>
              <w:rPr/>
            </w:pPr>
            <w:r>
              <w:rPr/>
              <w:t>)</w:t>
            </w:r>
          </w:p>
        </w:tc>
        <w:tc>
          <w:tcPr>
            <w:tcW w:w="36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65" w:type="dxa"/>
            <w:tcBorders/>
            <w:shd w:fill="CCEEFF" w:val="clear"/>
            <w:vAlign w:val="bottom"/>
          </w:tcPr>
          <w:p>
            <w:pPr>
              <w:pStyle w:val="TableContents"/>
              <w:spacing w:before="0" w:after="283"/>
              <w:jc w:val="right"/>
              <w:rPr/>
            </w:pPr>
            <w:r>
              <w:rPr/>
              <w:t>(181</w:t>
            </w:r>
          </w:p>
        </w:tc>
        <w:tc>
          <w:tcPr>
            <w:tcW w:w="228" w:type="dxa"/>
            <w:tcBorders/>
            <w:shd w:fill="CCEEFF" w:val="clear"/>
            <w:vAlign w:val="bottom"/>
          </w:tcPr>
          <w:p>
            <w:pPr>
              <w:pStyle w:val="TableContents"/>
              <w:spacing w:before="0" w:after="283"/>
              <w:rPr/>
            </w:pPr>
            <w:r>
              <w:rPr/>
              <w:t>)</w:t>
            </w:r>
          </w:p>
        </w:tc>
      </w:tr>
      <w:tr>
        <w:trPr/>
        <w:tc>
          <w:tcPr>
            <w:tcW w:w="4947" w:type="dxa"/>
            <w:tcBorders/>
            <w:shd w:fill="auto" w:val="clear"/>
            <w:vAlign w:val="bottom"/>
          </w:tcPr>
          <w:p>
            <w:pPr>
              <w:pStyle w:val="TableContents"/>
              <w:spacing w:before="0" w:after="0"/>
              <w:ind w:left="225" w:right="0" w:hanging="225"/>
              <w:rPr/>
            </w:pPr>
            <w:r>
              <w:rPr/>
              <w:t>Foreign tax credit</w:t>
            </w:r>
          </w:p>
        </w:tc>
        <w:tc>
          <w:tcPr>
            <w:tcW w:w="35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863" w:type="dxa"/>
            <w:tcBorders/>
            <w:shd w:fill="auto" w:val="clear"/>
            <w:vAlign w:val="bottom"/>
          </w:tcPr>
          <w:p>
            <w:pPr>
              <w:pStyle w:val="TableContents"/>
              <w:spacing w:before="0" w:after="283"/>
              <w:jc w:val="right"/>
              <w:rPr/>
            </w:pPr>
            <w:r>
              <w:rPr/>
              <w:t>(4,356</w:t>
            </w:r>
          </w:p>
        </w:tc>
        <w:tc>
          <w:tcPr>
            <w:tcW w:w="236" w:type="dxa"/>
            <w:tcBorders/>
            <w:shd w:fill="auto" w:val="clear"/>
            <w:vAlign w:val="bottom"/>
          </w:tcPr>
          <w:p>
            <w:pPr>
              <w:pStyle w:val="TableContents"/>
              <w:spacing w:before="0" w:after="283"/>
              <w:rPr/>
            </w:pPr>
            <w:r>
              <w:rPr/>
              <w:t>)</w:t>
            </w:r>
          </w:p>
        </w:tc>
        <w:tc>
          <w:tcPr>
            <w:tcW w:w="36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 </w:t>
            </w:r>
          </w:p>
        </w:tc>
        <w:tc>
          <w:tcPr>
            <w:tcW w:w="1164" w:type="dxa"/>
            <w:tcBorders/>
            <w:shd w:fill="auto" w:val="clear"/>
            <w:vAlign w:val="bottom"/>
          </w:tcPr>
          <w:p>
            <w:pPr>
              <w:pStyle w:val="TableContents"/>
              <w:spacing w:before="0" w:after="283"/>
              <w:jc w:val="right"/>
              <w:rPr/>
            </w:pPr>
            <w:r>
              <w:rPr/>
              <w:t>(2,849</w:t>
            </w:r>
          </w:p>
        </w:tc>
        <w:tc>
          <w:tcPr>
            <w:tcW w:w="236" w:type="dxa"/>
            <w:tcBorders/>
            <w:shd w:fill="auto" w:val="clear"/>
            <w:vAlign w:val="bottom"/>
          </w:tcPr>
          <w:p>
            <w:pPr>
              <w:pStyle w:val="TableContents"/>
              <w:spacing w:before="0" w:after="283"/>
              <w:rPr/>
            </w:pPr>
            <w:r>
              <w:rPr/>
              <w:t>)</w:t>
            </w:r>
          </w:p>
        </w:tc>
        <w:tc>
          <w:tcPr>
            <w:tcW w:w="36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865" w:type="dxa"/>
            <w:tcBorders/>
            <w:shd w:fill="auto" w:val="clear"/>
            <w:vAlign w:val="bottom"/>
          </w:tcPr>
          <w:p>
            <w:pPr>
              <w:pStyle w:val="TableContents"/>
              <w:spacing w:before="0" w:after="283"/>
              <w:jc w:val="right"/>
              <w:rPr/>
            </w:pPr>
            <w:r>
              <w:rPr/>
              <w:t>(1,228</w:t>
            </w:r>
          </w:p>
        </w:tc>
        <w:tc>
          <w:tcPr>
            <w:tcW w:w="228" w:type="dxa"/>
            <w:tcBorders/>
            <w:shd w:fill="auto" w:val="clear"/>
            <w:vAlign w:val="bottom"/>
          </w:tcPr>
          <w:p>
            <w:pPr>
              <w:pStyle w:val="TableContents"/>
              <w:spacing w:before="0" w:after="283"/>
              <w:rPr/>
            </w:pPr>
            <w:r>
              <w:rPr/>
              <w:t>)</w:t>
            </w:r>
          </w:p>
        </w:tc>
      </w:tr>
      <w:tr>
        <w:trPr/>
        <w:tc>
          <w:tcPr>
            <w:tcW w:w="4947" w:type="dxa"/>
            <w:tcBorders/>
            <w:shd w:fill="CCEEFF" w:val="clear"/>
            <w:vAlign w:val="bottom"/>
          </w:tcPr>
          <w:p>
            <w:pPr>
              <w:pStyle w:val="TableContents"/>
              <w:spacing w:before="0" w:after="0"/>
              <w:ind w:left="225" w:right="0" w:hanging="225"/>
              <w:rPr/>
            </w:pPr>
            <w:r>
              <w:rPr/>
              <w:t>Other</w:t>
            </w:r>
          </w:p>
        </w:tc>
        <w:tc>
          <w:tcPr>
            <w:tcW w:w="35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873</w:t>
            </w:r>
          </w:p>
        </w:tc>
        <w:tc>
          <w:tcPr>
            <w:tcW w:w="236"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738</w:t>
            </w:r>
          </w:p>
        </w:tc>
        <w:tc>
          <w:tcPr>
            <w:tcW w:w="236"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65" w:type="dxa"/>
            <w:tcBorders/>
            <w:shd w:fill="CCEEFF" w:val="clear"/>
            <w:vAlign w:val="bottom"/>
          </w:tcPr>
          <w:p>
            <w:pPr>
              <w:pStyle w:val="TableContents"/>
              <w:spacing w:before="0" w:after="283"/>
              <w:jc w:val="right"/>
              <w:rPr/>
            </w:pPr>
            <w:r>
              <w:rPr/>
              <w:t>(398</w:t>
            </w:r>
          </w:p>
        </w:tc>
        <w:tc>
          <w:tcPr>
            <w:tcW w:w="228" w:type="dxa"/>
            <w:tcBorders/>
            <w:shd w:fill="CCEEFF" w:val="clear"/>
            <w:vAlign w:val="bottom"/>
          </w:tcPr>
          <w:p>
            <w:pPr>
              <w:pStyle w:val="TableContents"/>
              <w:spacing w:before="0" w:after="283"/>
              <w:rPr/>
            </w:pPr>
            <w:r>
              <w:rPr/>
              <w:t>)</w:t>
            </w:r>
          </w:p>
        </w:tc>
      </w:tr>
      <w:tr>
        <w:trPr/>
        <w:tc>
          <w:tcPr>
            <w:tcW w:w="4947" w:type="dxa"/>
            <w:tcBorders/>
            <w:shd w:fill="auto" w:val="clear"/>
            <w:vAlign w:val="center"/>
          </w:tcPr>
          <w:p>
            <w:pPr>
              <w:pStyle w:val="TableContents"/>
              <w:spacing w:before="0" w:after="0"/>
              <w:ind w:left="225" w:right="0" w:hanging="225"/>
              <w:rPr/>
            </w:pPr>
            <w:r>
              <w:rPr/>
              <w:t> </w:t>
            </w:r>
          </w:p>
        </w:tc>
        <w:tc>
          <w:tcPr>
            <w:tcW w:w="357"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8" w:type="dxa"/>
            <w:tcBorders/>
            <w:shd w:fill="auto" w:val="clear"/>
            <w:vAlign w:val="center"/>
          </w:tcPr>
          <w:p>
            <w:pPr>
              <w:pStyle w:val="TableContents"/>
              <w:spacing w:before="0" w:after="283"/>
              <w:rPr/>
            </w:pPr>
            <w:r>
              <w:rPr/>
              <w:t> </w:t>
            </w:r>
          </w:p>
        </w:tc>
      </w:tr>
      <w:tr>
        <w:trPr/>
        <w:tc>
          <w:tcPr>
            <w:tcW w:w="4947" w:type="dxa"/>
            <w:tcBorders/>
            <w:shd w:fill="auto" w:val="clear"/>
            <w:vAlign w:val="bottom"/>
          </w:tcPr>
          <w:p>
            <w:pPr>
              <w:pStyle w:val="TableContents"/>
              <w:spacing w:before="0" w:after="0"/>
              <w:ind w:left="450" w:right="0" w:hanging="225"/>
              <w:rPr/>
            </w:pPr>
            <w:r>
              <w:rPr/>
              <w:t>Total provision</w:t>
            </w:r>
          </w:p>
        </w:tc>
        <w:tc>
          <w:tcPr>
            <w:tcW w:w="35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66,552</w:t>
            </w:r>
          </w:p>
        </w:tc>
        <w:tc>
          <w:tcPr>
            <w:tcW w:w="23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1164" w:type="dxa"/>
            <w:tcBorders/>
            <w:shd w:fill="auto" w:val="clear"/>
            <w:vAlign w:val="bottom"/>
          </w:tcPr>
          <w:p>
            <w:pPr>
              <w:pStyle w:val="TableContents"/>
              <w:spacing w:before="0" w:after="283"/>
              <w:jc w:val="right"/>
              <w:rPr/>
            </w:pPr>
            <w:r>
              <w:rPr/>
              <w:t>54,236</w:t>
            </w:r>
          </w:p>
        </w:tc>
        <w:tc>
          <w:tcPr>
            <w:tcW w:w="23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36,840</w:t>
            </w:r>
          </w:p>
        </w:tc>
        <w:tc>
          <w:tcPr>
            <w:tcW w:w="228" w:type="dxa"/>
            <w:tcBorders/>
            <w:shd w:fill="auto" w:val="clear"/>
            <w:vAlign w:val="bottom"/>
          </w:tcPr>
          <w:p>
            <w:pPr>
              <w:pStyle w:val="TableContents"/>
              <w:spacing w:before="0" w:after="283"/>
              <w:rPr/>
            </w:pPr>
            <w:r>
              <w:rPr/>
              <w:t> </w:t>
            </w:r>
          </w:p>
        </w:tc>
      </w:tr>
      <w:tr>
        <w:trPr/>
        <w:tc>
          <w:tcPr>
            <w:tcW w:w="4947" w:type="dxa"/>
            <w:tcBorders/>
            <w:shd w:fill="auto" w:val="clear"/>
            <w:vAlign w:val="center"/>
          </w:tcPr>
          <w:p>
            <w:pPr>
              <w:pStyle w:val="TableContents"/>
              <w:spacing w:before="0" w:after="0"/>
              <w:ind w:left="225" w:right="0" w:hanging="225"/>
              <w:rPr/>
            </w:pPr>
            <w:r>
              <w:rPr/>
              <w:t> </w:t>
            </w:r>
          </w:p>
        </w:tc>
        <w:tc>
          <w:tcPr>
            <w:tcW w:w="357" w:type="dxa"/>
            <w:tcBorders/>
            <w:shd w:fill="auto" w:val="clear"/>
            <w:vAlign w:val="center"/>
          </w:tcPr>
          <w:p>
            <w:pPr>
              <w:pStyle w:val="TableContents"/>
              <w:spacing w:before="0" w:after="283"/>
              <w:rPr/>
            </w:pPr>
            <w:r>
              <w:rPr/>
              <w:t> </w:t>
            </w:r>
          </w:p>
        </w:tc>
        <w:tc>
          <w:tcPr>
            <w:tcW w:w="10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14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8" w:type="dxa"/>
            <w:tcBorders/>
            <w:shd w:fill="auto" w:val="clear"/>
            <w:vAlign w:val="center"/>
          </w:tcPr>
          <w:p>
            <w:pPr>
              <w:pStyle w:val="TableContents"/>
              <w:spacing w:before="0" w:after="283"/>
              <w:rPr/>
            </w:pPr>
            <w:r>
              <w:rPr/>
              <w:t> </w:t>
            </w:r>
          </w:p>
        </w:tc>
      </w:tr>
      <w:tr>
        <w:trPr/>
        <w:tc>
          <w:tcPr>
            <w:tcW w:w="4947" w:type="dxa"/>
            <w:tcBorders/>
            <w:shd w:fill="auto" w:val="clear"/>
          </w:tcPr>
          <w:p>
            <w:pPr>
              <w:pStyle w:val="TableContents"/>
              <w:spacing w:before="0" w:after="0"/>
              <w:ind w:left="225" w:right="0" w:hanging="225"/>
              <w:rPr/>
            </w:pPr>
            <w:r>
              <w:rPr/>
              <w:t> </w:t>
            </w:r>
          </w:p>
        </w:tc>
        <w:tc>
          <w:tcPr>
            <w:tcW w:w="357"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863"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361" w:type="dxa"/>
            <w:tcBorders/>
            <w:shd w:fill="auto" w:val="clear"/>
          </w:tcPr>
          <w:p>
            <w:pPr>
              <w:pStyle w:val="TableContents"/>
              <w:spacing w:before="0" w:after="283"/>
              <w:rPr/>
            </w:pPr>
            <w:r>
              <w:rPr/>
              <w:t> </w:t>
            </w:r>
          </w:p>
        </w:tc>
        <w:tc>
          <w:tcPr>
            <w:tcW w:w="237" w:type="dxa"/>
            <w:tcBorders/>
            <w:shd w:fill="auto" w:val="clear"/>
          </w:tcPr>
          <w:p>
            <w:pPr>
              <w:pStyle w:val="TableContents"/>
              <w:spacing w:before="0" w:after="283"/>
              <w:rPr/>
            </w:pPr>
            <w:r>
              <w:rPr/>
              <w:t> </w:t>
            </w:r>
          </w:p>
        </w:tc>
        <w:tc>
          <w:tcPr>
            <w:tcW w:w="1164"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361" w:type="dxa"/>
            <w:tcBorders/>
            <w:shd w:fill="auto" w:val="clear"/>
          </w:tcPr>
          <w:p>
            <w:pPr>
              <w:pStyle w:val="TableContents"/>
              <w:spacing w:before="0" w:after="283"/>
              <w:rPr/>
            </w:pPr>
            <w:r>
              <w:rPr/>
              <w:t> </w:t>
            </w:r>
          </w:p>
        </w:tc>
        <w:tc>
          <w:tcPr>
            <w:tcW w:w="175" w:type="dxa"/>
            <w:tcBorders/>
            <w:shd w:fill="auto" w:val="clear"/>
          </w:tcPr>
          <w:p>
            <w:pPr>
              <w:pStyle w:val="TableContents"/>
              <w:spacing w:before="0" w:after="283"/>
              <w:rPr/>
            </w:pPr>
            <w:r>
              <w:rPr/>
              <w:t> </w:t>
            </w:r>
          </w:p>
        </w:tc>
        <w:tc>
          <w:tcPr>
            <w:tcW w:w="865" w:type="dxa"/>
            <w:tcBorders/>
            <w:shd w:fill="auto" w:val="clear"/>
          </w:tcPr>
          <w:p>
            <w:pPr>
              <w:pStyle w:val="TableContents"/>
              <w:spacing w:before="0" w:after="283"/>
              <w:rPr/>
            </w:pPr>
            <w:r>
              <w:rPr/>
              <w:t> </w:t>
            </w:r>
          </w:p>
        </w:tc>
        <w:tc>
          <w:tcPr>
            <w:tcW w:w="228" w:type="dxa"/>
            <w:tcBorders/>
            <w:shd w:fill="auto" w:val="clear"/>
          </w:tcPr>
          <w:p>
            <w:pPr>
              <w:pStyle w:val="TableContents"/>
              <w:spacing w:before="0" w:after="283"/>
              <w:rPr/>
            </w:pPr>
            <w:r>
              <w:rPr/>
              <w:t> </w:t>
            </w:r>
          </w:p>
        </w:tc>
      </w:tr>
      <w:tr>
        <w:trPr/>
        <w:tc>
          <w:tcPr>
            <w:tcW w:w="4947" w:type="dxa"/>
            <w:tcBorders/>
            <w:shd w:fill="CCEEFF" w:val="clear"/>
            <w:vAlign w:val="bottom"/>
          </w:tcPr>
          <w:p>
            <w:pPr>
              <w:pStyle w:val="TableContents"/>
              <w:spacing w:before="0" w:after="0"/>
              <w:ind w:left="225" w:right="0" w:hanging="225"/>
              <w:rPr/>
            </w:pPr>
            <w:r>
              <w:rPr/>
              <w:t>Effective Tax Rate</w:t>
            </w:r>
          </w:p>
        </w:tc>
        <w:tc>
          <w:tcPr>
            <w:tcW w:w="35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283"/>
              <w:jc w:val="right"/>
              <w:rPr/>
            </w:pPr>
            <w:r>
              <w:rPr/>
              <w:t>35.3</w:t>
            </w:r>
          </w:p>
        </w:tc>
        <w:tc>
          <w:tcPr>
            <w:tcW w:w="236" w:type="dxa"/>
            <w:tcBorders/>
            <w:shd w:fill="CCEEFF" w:val="clear"/>
            <w:vAlign w:val="bottom"/>
          </w:tcPr>
          <w:p>
            <w:pPr>
              <w:pStyle w:val="TableContents"/>
              <w:spacing w:before="0" w:after="283"/>
              <w:rPr/>
            </w:pPr>
            <w:r>
              <w:rPr/>
              <w:t>%</w:t>
            </w:r>
          </w:p>
        </w:tc>
        <w:tc>
          <w:tcPr>
            <w:tcW w:w="36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pPr>
            <w:r>
              <w:rPr/>
              <w:t>35.8</w:t>
            </w:r>
          </w:p>
        </w:tc>
        <w:tc>
          <w:tcPr>
            <w:tcW w:w="236" w:type="dxa"/>
            <w:tcBorders/>
            <w:shd w:fill="CCEEFF" w:val="clear"/>
            <w:vAlign w:val="bottom"/>
          </w:tcPr>
          <w:p>
            <w:pPr>
              <w:pStyle w:val="TableContents"/>
              <w:spacing w:before="0" w:after="283"/>
              <w:rPr/>
            </w:pPr>
            <w:r>
              <w:rPr/>
              <w:t>%</w:t>
            </w:r>
          </w:p>
        </w:tc>
        <w:tc>
          <w:tcPr>
            <w:tcW w:w="36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65" w:type="dxa"/>
            <w:tcBorders/>
            <w:shd w:fill="CCEEFF" w:val="clear"/>
            <w:vAlign w:val="bottom"/>
          </w:tcPr>
          <w:p>
            <w:pPr>
              <w:pStyle w:val="TableContents"/>
              <w:spacing w:before="0" w:after="283"/>
              <w:jc w:val="right"/>
              <w:rPr/>
            </w:pPr>
            <w:r>
              <w:rPr/>
              <w:t>35.0</w:t>
            </w:r>
          </w:p>
        </w:tc>
        <w:tc>
          <w:tcPr>
            <w:tcW w:w="228" w:type="dxa"/>
            <w:tcBorders/>
            <w:shd w:fill="CCEEFF" w:val="clear"/>
            <w:vAlign w:val="bottom"/>
          </w:tcPr>
          <w:p>
            <w:pPr>
              <w:pStyle w:val="TableContents"/>
              <w:spacing w:before="0" w:after="283"/>
              <w:rPr/>
            </w:pPr>
            <w:r>
              <w:rPr/>
              <w:t>%</w:t>
            </w:r>
          </w:p>
        </w:tc>
      </w:tr>
      <w:tr>
        <w:trPr/>
        <w:tc>
          <w:tcPr>
            <w:tcW w:w="4947" w:type="dxa"/>
            <w:tcBorders/>
            <w:shd w:fill="auto" w:val="clear"/>
            <w:vAlign w:val="center"/>
          </w:tcPr>
          <w:p>
            <w:pPr>
              <w:pStyle w:val="TableContents"/>
              <w:spacing w:before="0" w:after="0"/>
              <w:ind w:left="225" w:right="0" w:hanging="225"/>
              <w:rPr/>
            </w:pPr>
            <w:r>
              <w:rPr/>
              <w:t> </w:t>
            </w:r>
          </w:p>
        </w:tc>
        <w:tc>
          <w:tcPr>
            <w:tcW w:w="357" w:type="dxa"/>
            <w:tcBorders/>
            <w:shd w:fill="auto" w:val="clear"/>
            <w:vAlign w:val="center"/>
          </w:tcPr>
          <w:p>
            <w:pPr>
              <w:pStyle w:val="TableContents"/>
              <w:spacing w:before="0" w:after="283"/>
              <w:rPr/>
            </w:pPr>
            <w:r>
              <w:rPr/>
              <w:t> </w:t>
            </w:r>
          </w:p>
        </w:tc>
        <w:tc>
          <w:tcPr>
            <w:tcW w:w="10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14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8"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decrease in the fiscal 2011 effective tax rate is due primarily to an increase in foreign tax credits, partly offset by a valuation allowance established on our foreign net operating losses during the start-up phase of operations in Canada. If we are able to generate taxable income in Canada in future years, this valuation allowance may then be reversed and the related deferred tax assets realized. Taking into account all the above factors and our expectations, we estimate our effective tax rate in the year ending September 30, 2012 will be approximately 35.2%. </w:t>
      </w:r>
    </w:p>
    <w:p>
      <w:pPr>
        <w:pStyle w:val="TextBody"/>
        <w:spacing w:before="120" w:after="283"/>
        <w:jc w:val="left"/>
        <w:rPr>
          <w:rFonts w:ascii="Times New Roman;Times;serif" w:hAnsi="Times New Roman;Times;serif"/>
          <w:sz w:val="17"/>
        </w:rPr>
      </w:pPr>
      <w:r>
        <w:rPr>
          <w:rFonts w:ascii="Times New Roman;Times;serif" w:hAnsi="Times New Roman;Times;serif"/>
          <w:sz w:val="17"/>
        </w:rPr>
        <w:t>Significant components of our deferred tax assets and liabilities as of September 30 are as follows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297"/>
        <w:gridCol w:w="475"/>
        <w:gridCol w:w="143"/>
        <w:gridCol w:w="708"/>
        <w:gridCol w:w="126"/>
        <w:gridCol w:w="475"/>
        <w:gridCol w:w="143"/>
        <w:gridCol w:w="708"/>
        <w:gridCol w:w="130"/>
      </w:tblGrid>
      <w:tr>
        <w:trPr/>
        <w:tc>
          <w:tcPr>
            <w:tcW w:w="7297" w:type="dxa"/>
            <w:tcBorders/>
            <w:shd w:fill="auto" w:val="clear"/>
          </w:tcPr>
          <w:p>
            <w:pPr>
              <w:pStyle w:val="TableContents"/>
              <w:spacing w:before="0" w:after="283"/>
              <w:rPr/>
            </w:pPr>
            <w:r>
              <w:rPr/>
              <w:t> </w:t>
            </w:r>
          </w:p>
        </w:tc>
        <w:tc>
          <w:tcPr>
            <w:tcW w:w="475"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08" w:type="dxa"/>
            <w:tcBorders/>
            <w:shd w:fill="auto" w:val="clear"/>
          </w:tcPr>
          <w:p>
            <w:pPr>
              <w:pStyle w:val="TableContents"/>
              <w:spacing w:before="0" w:after="283"/>
              <w:rPr/>
            </w:pPr>
            <w:r>
              <w:rPr/>
              <w:t> </w:t>
            </w:r>
          </w:p>
        </w:tc>
        <w:tc>
          <w:tcPr>
            <w:tcW w:w="126" w:type="dxa"/>
            <w:tcBorders/>
            <w:shd w:fill="auto" w:val="clear"/>
          </w:tcPr>
          <w:p>
            <w:pPr>
              <w:pStyle w:val="TableContents"/>
              <w:spacing w:before="0" w:after="283"/>
              <w:rPr/>
            </w:pPr>
            <w:r>
              <w:rPr/>
              <w:t> </w:t>
            </w:r>
          </w:p>
        </w:tc>
        <w:tc>
          <w:tcPr>
            <w:tcW w:w="475"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08" w:type="dxa"/>
            <w:tcBorders/>
            <w:shd w:fill="auto" w:val="clear"/>
          </w:tcPr>
          <w:p>
            <w:pPr>
              <w:pStyle w:val="TableContents"/>
              <w:spacing w:before="0" w:after="283"/>
              <w:rPr/>
            </w:pPr>
            <w:r>
              <w:rPr/>
              <w:t> </w:t>
            </w:r>
          </w:p>
        </w:tc>
        <w:tc>
          <w:tcPr>
            <w:tcW w:w="130" w:type="dxa"/>
            <w:tcBorders/>
            <w:shd w:fill="auto" w:val="clear"/>
          </w:tcPr>
          <w:p>
            <w:pPr>
              <w:pStyle w:val="TableContents"/>
              <w:spacing w:before="0" w:after="283"/>
              <w:rPr/>
            </w:pPr>
            <w:r>
              <w:rPr/>
              <w:t> </w:t>
            </w:r>
          </w:p>
        </w:tc>
      </w:tr>
      <w:tr>
        <w:trPr/>
        <w:tc>
          <w:tcPr>
            <w:tcW w:w="729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2303"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30" w:type="dxa"/>
            <w:tcBorders/>
            <w:shd w:fill="auto"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0" w:type="dxa"/>
            <w:tcBorders/>
            <w:shd w:fill="auto"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2303" w:type="dxa"/>
            <w:gridSpan w:val="6"/>
            <w:tcBorders/>
            <w:shd w:fill="auto" w:val="clear"/>
            <w:vAlign w:val="bottom"/>
          </w:tcPr>
          <w:p>
            <w:pPr>
              <w:pStyle w:val="TableContents"/>
              <w:spacing w:before="0" w:after="283"/>
              <w:jc w:val="center"/>
              <w:rPr>
                <w:i/>
              </w:rPr>
            </w:pPr>
            <w:r>
              <w:rPr>
                <w:i/>
              </w:rPr>
              <w:t>(In thousands)</w:t>
            </w:r>
          </w:p>
        </w:tc>
        <w:tc>
          <w:tcPr>
            <w:tcW w:w="130" w:type="dxa"/>
            <w:tcBorders/>
            <w:shd w:fill="auto" w:val="clear"/>
            <w:vAlign w:val="bottom"/>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225" w:right="0" w:hanging="225"/>
              <w:rPr/>
            </w:pPr>
            <w:r>
              <w:rPr/>
              <w:t>Deferred tax assets:</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0"/>
              <w:ind w:left="450" w:right="0" w:hanging="225"/>
              <w:rPr/>
            </w:pPr>
            <w:r>
              <w:rPr/>
              <w:t>Book over tax depreciation</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08" w:type="dxa"/>
            <w:tcBorders/>
            <w:shd w:fill="auto" w:val="clear"/>
            <w:vAlign w:val="bottom"/>
          </w:tcPr>
          <w:p>
            <w:pPr>
              <w:pStyle w:val="TableContents"/>
              <w:spacing w:before="0" w:after="283"/>
              <w:jc w:val="right"/>
              <w:rPr/>
            </w:pPr>
            <w:r>
              <w:rPr/>
              <w:t>1,001</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08" w:type="dxa"/>
            <w:tcBorders/>
            <w:shd w:fill="auto" w:val="clear"/>
            <w:vAlign w:val="bottom"/>
          </w:tcPr>
          <w:p>
            <w:pPr>
              <w:pStyle w:val="TableContents"/>
              <w:spacing w:before="0" w:after="283"/>
              <w:jc w:val="right"/>
              <w:rPr/>
            </w:pPr>
            <w:r>
              <w:rPr/>
              <w:t>3,894</w:t>
            </w:r>
          </w:p>
        </w:tc>
        <w:tc>
          <w:tcPr>
            <w:tcW w:w="130" w:type="dxa"/>
            <w:tcBorders/>
            <w:shd w:fill="auto" w:val="clear"/>
            <w:vAlign w:val="bottom"/>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450" w:right="0" w:hanging="225"/>
              <w:rPr/>
            </w:pPr>
            <w:r>
              <w:rPr/>
              <w:t>Tax over book inventory</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3,457</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9,836</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0"/>
              <w:ind w:left="450" w:right="0" w:hanging="225"/>
              <w:rPr/>
            </w:pPr>
            <w:r>
              <w:rPr/>
              <w:t>Accrued liabilities</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12,220</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11,041</w:t>
            </w:r>
          </w:p>
        </w:tc>
        <w:tc>
          <w:tcPr>
            <w:tcW w:w="130" w:type="dxa"/>
            <w:tcBorders/>
            <w:shd w:fill="auto" w:val="clear"/>
            <w:vAlign w:val="bottom"/>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450" w:right="0" w:hanging="225"/>
              <w:rPr/>
            </w:pPr>
            <w:r>
              <w:rPr/>
              <w:t>Pawn service charges receivable</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3,775</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3,552</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0"/>
              <w:ind w:left="450" w:right="0" w:hanging="225"/>
              <w:rPr/>
            </w:pPr>
            <w:r>
              <w:rPr/>
              <w:t>Stock compensation</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2,838</w:t>
            </w:r>
          </w:p>
        </w:tc>
        <w:tc>
          <w:tcPr>
            <w:tcW w:w="130" w:type="dxa"/>
            <w:tcBorders/>
            <w:shd w:fill="auto" w:val="clear"/>
            <w:vAlign w:val="bottom"/>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450" w:right="0" w:hanging="225"/>
              <w:rPr/>
            </w:pPr>
            <w:r>
              <w:rPr/>
              <w:t>Net operating loss carry-forward on foreign operations</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1,425</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1,273</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center"/>
          </w:tcPr>
          <w:p>
            <w:pPr>
              <w:pStyle w:val="TableContents"/>
              <w:spacing w:before="0" w:after="0"/>
              <w:ind w:left="225" w:right="0" w:hanging="225"/>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7297" w:type="dxa"/>
            <w:tcBorders/>
            <w:shd w:fill="auto" w:val="clear"/>
            <w:vAlign w:val="bottom"/>
          </w:tcPr>
          <w:p>
            <w:pPr>
              <w:pStyle w:val="TableContents"/>
              <w:spacing w:before="0" w:after="0"/>
              <w:ind w:left="225" w:right="0" w:hanging="225"/>
              <w:rPr/>
            </w:pPr>
            <w:r>
              <w:rPr/>
              <w:t>Total deferred tax assets</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21,878</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32,434</w:t>
            </w:r>
          </w:p>
        </w:tc>
        <w:tc>
          <w:tcPr>
            <w:tcW w:w="130" w:type="dxa"/>
            <w:tcBorders/>
            <w:shd w:fill="auto" w:val="clear"/>
            <w:vAlign w:val="bottom"/>
          </w:tcPr>
          <w:p>
            <w:pPr>
              <w:pStyle w:val="TableContents"/>
              <w:spacing w:before="0" w:after="283"/>
              <w:rPr/>
            </w:pPr>
            <w:r>
              <w:rPr/>
              <w:t> </w:t>
            </w:r>
          </w:p>
        </w:tc>
      </w:tr>
      <w:tr>
        <w:trPr/>
        <w:tc>
          <w:tcPr>
            <w:tcW w:w="7297" w:type="dxa"/>
            <w:tcBorders/>
            <w:shd w:fill="auto" w:val="clear"/>
          </w:tcPr>
          <w:p>
            <w:pPr>
              <w:pStyle w:val="TableContents"/>
              <w:spacing w:before="0" w:after="0"/>
              <w:ind w:left="225" w:right="0" w:hanging="225"/>
              <w:rPr/>
            </w:pPr>
            <w:r>
              <w:rPr/>
              <w:t> </w:t>
            </w:r>
          </w:p>
        </w:tc>
        <w:tc>
          <w:tcPr>
            <w:tcW w:w="475"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08" w:type="dxa"/>
            <w:tcBorders/>
            <w:shd w:fill="auto" w:val="clear"/>
          </w:tcPr>
          <w:p>
            <w:pPr>
              <w:pStyle w:val="TableContents"/>
              <w:spacing w:before="0" w:after="283"/>
              <w:rPr/>
            </w:pPr>
            <w:r>
              <w:rPr/>
              <w:t> </w:t>
            </w:r>
          </w:p>
        </w:tc>
        <w:tc>
          <w:tcPr>
            <w:tcW w:w="126" w:type="dxa"/>
            <w:tcBorders/>
            <w:shd w:fill="auto" w:val="clear"/>
          </w:tcPr>
          <w:p>
            <w:pPr>
              <w:pStyle w:val="TableContents"/>
              <w:spacing w:before="0" w:after="283"/>
              <w:rPr/>
            </w:pPr>
            <w:r>
              <w:rPr/>
              <w:t> </w:t>
            </w:r>
          </w:p>
        </w:tc>
        <w:tc>
          <w:tcPr>
            <w:tcW w:w="475"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08" w:type="dxa"/>
            <w:tcBorders/>
            <w:shd w:fill="auto" w:val="clear"/>
          </w:tcPr>
          <w:p>
            <w:pPr>
              <w:pStyle w:val="TableContents"/>
              <w:spacing w:before="0" w:after="283"/>
              <w:rPr/>
            </w:pPr>
            <w:r>
              <w:rPr/>
              <w:t> </w:t>
            </w:r>
          </w:p>
        </w:tc>
        <w:tc>
          <w:tcPr>
            <w:tcW w:w="130" w:type="dxa"/>
            <w:tcBorders/>
            <w:shd w:fill="auto" w:val="clear"/>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225" w:right="0" w:hanging="225"/>
              <w:rPr/>
            </w:pPr>
            <w:r>
              <w:rPr/>
              <w:t>Deferred tax liabilities:</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0"/>
              <w:ind w:left="450" w:right="0" w:hanging="225"/>
              <w:rPr/>
            </w:pPr>
            <w:r>
              <w:rPr/>
              <w:t>Tax over book amortization</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6,605</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5,122</w:t>
            </w:r>
          </w:p>
        </w:tc>
        <w:tc>
          <w:tcPr>
            <w:tcW w:w="130" w:type="dxa"/>
            <w:tcBorders/>
            <w:shd w:fill="auto" w:val="clear"/>
            <w:vAlign w:val="bottom"/>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450" w:right="0" w:hanging="225"/>
              <w:rPr/>
            </w:pPr>
            <w:r>
              <w:rPr/>
              <w:t>Foreign income and dividends</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2,932</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2,163</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0"/>
              <w:ind w:left="450" w:right="0" w:hanging="225"/>
              <w:rPr/>
            </w:pPr>
            <w:r>
              <w:rPr/>
              <w:t>Stock compensation</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194</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450" w:right="0" w:hanging="225"/>
              <w:rPr/>
            </w:pPr>
            <w:r>
              <w:rPr/>
              <w:t>Prepaid expenses</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928</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608</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center"/>
          </w:tcPr>
          <w:p>
            <w:pPr>
              <w:pStyle w:val="TableContents"/>
              <w:spacing w:before="0" w:after="0"/>
              <w:ind w:left="225" w:right="0" w:hanging="225"/>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7297" w:type="dxa"/>
            <w:tcBorders/>
            <w:shd w:fill="auto" w:val="clear"/>
            <w:vAlign w:val="bottom"/>
          </w:tcPr>
          <w:p>
            <w:pPr>
              <w:pStyle w:val="TableContents"/>
              <w:spacing w:before="0" w:after="0"/>
              <w:ind w:left="225" w:right="0" w:hanging="225"/>
              <w:rPr/>
            </w:pPr>
            <w:r>
              <w:rPr/>
              <w:t>Total deferred tax liabilities</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10,659</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7,893</w:t>
            </w:r>
          </w:p>
        </w:tc>
        <w:tc>
          <w:tcPr>
            <w:tcW w:w="130" w:type="dxa"/>
            <w:tcBorders/>
            <w:shd w:fill="auto" w:val="clear"/>
            <w:vAlign w:val="bottom"/>
          </w:tcPr>
          <w:p>
            <w:pPr>
              <w:pStyle w:val="TableContents"/>
              <w:spacing w:before="0" w:after="283"/>
              <w:rPr/>
            </w:pPr>
            <w:r>
              <w:rPr/>
              <w:t> </w:t>
            </w:r>
          </w:p>
        </w:tc>
      </w:tr>
      <w:tr>
        <w:trPr/>
        <w:tc>
          <w:tcPr>
            <w:tcW w:w="7297" w:type="dxa"/>
            <w:tcBorders/>
            <w:shd w:fill="auto" w:val="clear"/>
            <w:vAlign w:val="center"/>
          </w:tcPr>
          <w:p>
            <w:pPr>
              <w:pStyle w:val="TableContents"/>
              <w:spacing w:before="0" w:after="0"/>
              <w:ind w:left="225" w:right="0" w:hanging="225"/>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7297" w:type="dxa"/>
            <w:tcBorders/>
            <w:shd w:fill="auto" w:val="clear"/>
          </w:tcPr>
          <w:p>
            <w:pPr>
              <w:pStyle w:val="TableContents"/>
              <w:spacing w:before="0" w:after="0"/>
              <w:ind w:left="225" w:right="0" w:hanging="225"/>
              <w:rPr/>
            </w:pPr>
            <w:r>
              <w:rPr/>
              <w:t> </w:t>
            </w:r>
          </w:p>
        </w:tc>
        <w:tc>
          <w:tcPr>
            <w:tcW w:w="475"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08" w:type="dxa"/>
            <w:tcBorders/>
            <w:shd w:fill="auto" w:val="clear"/>
          </w:tcPr>
          <w:p>
            <w:pPr>
              <w:pStyle w:val="TableContents"/>
              <w:spacing w:before="0" w:after="283"/>
              <w:rPr/>
            </w:pPr>
            <w:r>
              <w:rPr/>
              <w:t> </w:t>
            </w:r>
          </w:p>
        </w:tc>
        <w:tc>
          <w:tcPr>
            <w:tcW w:w="126" w:type="dxa"/>
            <w:tcBorders/>
            <w:shd w:fill="auto" w:val="clear"/>
          </w:tcPr>
          <w:p>
            <w:pPr>
              <w:pStyle w:val="TableContents"/>
              <w:spacing w:before="0" w:after="283"/>
              <w:rPr/>
            </w:pPr>
            <w:r>
              <w:rPr/>
              <w:t> </w:t>
            </w:r>
          </w:p>
        </w:tc>
        <w:tc>
          <w:tcPr>
            <w:tcW w:w="475"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708" w:type="dxa"/>
            <w:tcBorders/>
            <w:shd w:fill="auto" w:val="clear"/>
          </w:tcPr>
          <w:p>
            <w:pPr>
              <w:pStyle w:val="TableContents"/>
              <w:spacing w:before="0" w:after="283"/>
              <w:rPr/>
            </w:pPr>
            <w:r>
              <w:rPr/>
              <w:t> </w:t>
            </w:r>
          </w:p>
        </w:tc>
        <w:tc>
          <w:tcPr>
            <w:tcW w:w="130" w:type="dxa"/>
            <w:tcBorders/>
            <w:shd w:fill="auto" w:val="clear"/>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225" w:right="0" w:hanging="225"/>
              <w:rPr/>
            </w:pPr>
            <w:r>
              <w:rPr/>
              <w:t>Net deferred tax asset</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11,219</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24,541</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bottom"/>
          </w:tcPr>
          <w:p>
            <w:pPr>
              <w:pStyle w:val="TableContents"/>
              <w:spacing w:before="0" w:after="0"/>
              <w:ind w:left="225" w:right="0" w:hanging="225"/>
              <w:rPr/>
            </w:pPr>
            <w:r>
              <w:rPr/>
              <w:t>Valuation allowance</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708" w:type="dxa"/>
            <w:tcBorders/>
            <w:shd w:fill="auto" w:val="clear"/>
            <w:vAlign w:val="bottom"/>
          </w:tcPr>
          <w:p>
            <w:pPr>
              <w:pStyle w:val="TableContents"/>
              <w:spacing w:before="0" w:after="283"/>
              <w:jc w:val="right"/>
              <w:rPr/>
            </w:pPr>
            <w:r>
              <w:rPr/>
              <w:t>(1,425</w:t>
            </w:r>
          </w:p>
        </w:tc>
        <w:tc>
          <w:tcPr>
            <w:tcW w:w="126" w:type="dxa"/>
            <w:tcBorders/>
            <w:shd w:fill="auto" w:val="clear"/>
            <w:vAlign w:val="bottom"/>
          </w:tcPr>
          <w:p>
            <w:pPr>
              <w:pStyle w:val="TableContents"/>
              <w:spacing w:before="0" w:after="283"/>
              <w:rPr/>
            </w:pPr>
            <w:r>
              <w:rPr/>
              <w:t>)</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708" w:type="dxa"/>
            <w:tcBorders/>
            <w:shd w:fill="auto" w:val="clear"/>
            <w:vAlign w:val="bottom"/>
          </w:tcPr>
          <w:p>
            <w:pPr>
              <w:pStyle w:val="TableContents"/>
              <w:spacing w:before="0" w:after="283"/>
              <w:jc w:val="right"/>
              <w:rPr/>
            </w:pPr>
            <w:r>
              <w:rPr/>
              <w:t>(1,273</w:t>
            </w:r>
          </w:p>
        </w:tc>
        <w:tc>
          <w:tcPr>
            <w:tcW w:w="130" w:type="dxa"/>
            <w:tcBorders/>
            <w:shd w:fill="auto" w:val="clear"/>
            <w:vAlign w:val="bottom"/>
          </w:tcPr>
          <w:p>
            <w:pPr>
              <w:pStyle w:val="TableContents"/>
              <w:spacing w:before="0" w:after="283"/>
              <w:rPr/>
            </w:pPr>
            <w:r>
              <w:rPr/>
              <w:t>)</w:t>
            </w:r>
          </w:p>
        </w:tc>
      </w:tr>
      <w:tr>
        <w:trPr/>
        <w:tc>
          <w:tcPr>
            <w:tcW w:w="7297" w:type="dxa"/>
            <w:tcBorders/>
            <w:shd w:fill="auto" w:val="clear"/>
            <w:vAlign w:val="center"/>
          </w:tcPr>
          <w:p>
            <w:pPr>
              <w:pStyle w:val="TableContents"/>
              <w:spacing w:before="0" w:after="0"/>
              <w:ind w:left="225" w:right="0" w:hanging="225"/>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7297" w:type="dxa"/>
            <w:tcBorders/>
            <w:shd w:fill="CCEEFF" w:val="clear"/>
            <w:vAlign w:val="bottom"/>
          </w:tcPr>
          <w:p>
            <w:pPr>
              <w:pStyle w:val="TableContents"/>
              <w:spacing w:before="0" w:after="0"/>
              <w:ind w:left="225" w:right="0" w:hanging="225"/>
              <w:rPr/>
            </w:pPr>
            <w:r>
              <w:rPr/>
              <w:t>Net deferred tax asset</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708" w:type="dxa"/>
            <w:tcBorders/>
            <w:shd w:fill="CCEEFF" w:val="clear"/>
            <w:vAlign w:val="bottom"/>
          </w:tcPr>
          <w:p>
            <w:pPr>
              <w:pStyle w:val="TableContents"/>
              <w:spacing w:before="0" w:after="283"/>
              <w:jc w:val="right"/>
              <w:rPr/>
            </w:pPr>
            <w:r>
              <w:rPr/>
              <w:t>9,794</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708" w:type="dxa"/>
            <w:tcBorders/>
            <w:shd w:fill="CCEEFF" w:val="clear"/>
            <w:vAlign w:val="bottom"/>
          </w:tcPr>
          <w:p>
            <w:pPr>
              <w:pStyle w:val="TableContents"/>
              <w:spacing w:before="0" w:after="283"/>
              <w:jc w:val="right"/>
              <w:rPr/>
            </w:pPr>
            <w:r>
              <w:rPr/>
              <w:t>23,268</w:t>
            </w:r>
          </w:p>
        </w:tc>
        <w:tc>
          <w:tcPr>
            <w:tcW w:w="130" w:type="dxa"/>
            <w:tcBorders/>
            <w:shd w:fill="CCEEFF" w:val="clear"/>
            <w:vAlign w:val="bottom"/>
          </w:tcPr>
          <w:p>
            <w:pPr>
              <w:pStyle w:val="TableContents"/>
              <w:spacing w:before="0" w:after="283"/>
              <w:rPr/>
            </w:pPr>
            <w:r>
              <w:rPr/>
              <w:t> </w:t>
            </w:r>
          </w:p>
        </w:tc>
      </w:tr>
      <w:tr>
        <w:trPr/>
        <w:tc>
          <w:tcPr>
            <w:tcW w:w="7297" w:type="dxa"/>
            <w:tcBorders/>
            <w:shd w:fill="auto" w:val="clear"/>
            <w:vAlign w:val="center"/>
          </w:tcPr>
          <w:p>
            <w:pPr>
              <w:pStyle w:val="TableContents"/>
              <w:spacing w:before="0" w:after="0"/>
              <w:ind w:left="225" w:right="0" w:hanging="225"/>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Substantially all of our operating income was generated from U.S. operations during 2010 and 2011, and we have elected to have our Mexican operations treated as a foreign branch of a U.S. subsidiary for U.S. income tax purposes. At September 30, 2011 and 2010, we provided deferred income taxes on all undistributed earnings from Albemarle &amp; Bond, and received dividends of approximately $3.2 million and $2.3 million. At September 30, 2011 and 2010, we provided deferred income taxes on all undistributed earnings from Cash Converters, and received dividends of approximately $4.1 million and $1.5 million. Any taxes paid to foreign governments on these earnings may be used in whole or in part as credits against the U.S. tax on any dividends distributed from such earnings.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Under FASB ASC 740-10-25 (Accounting for Uncertainty in Income Taxes), a tax position must be more-likely-than-not to be sustained upon examination, based on the technical merits of the position to be recognized in the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making the determination of sustainability, we must presume the appropriate taxing authority with full knowledge of all relevant information will examine tax positions. FASB ASC 740-10-25 also prescribes how the benefit should be measured, including the consideration of any penalties and interest. It requires that the standard be applied to the balances of tax assets and liabilities as of the beginning of the period of adoption and that a corresponding adjustment be made to the opening balance of equity. As a result of the adoption of FASB ASC 740-10-25, we recognized a $106,000 liability, including $8,600 of penalties and interest, for unrecognized state income tax benefits net of federal taxes, and recorded this as a cumulative adjustment to our beginning retained earnings at October 1, 2007. We recorded an additional $380,000 uncertain tax position in fiscal 2008, and reversed it in fiscal 2009 due to a change in accounting method for tax purposes.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recognize interest and penalties related to unrecognized tax benefits as federal income tax expense on our statement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Below is a reconciliation of the beginning and ending unrecognized tax benefits for the periods since adoption of FASB ASC 740-10-25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798"/>
        <w:gridCol w:w="497"/>
        <w:gridCol w:w="143"/>
        <w:gridCol w:w="636"/>
        <w:gridCol w:w="131"/>
      </w:tblGrid>
      <w:tr>
        <w:trPr/>
        <w:tc>
          <w:tcPr>
            <w:tcW w:w="8798"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225" w:right="0" w:hanging="225"/>
              <w:rPr/>
            </w:pPr>
            <w:r>
              <w:rPr/>
              <w:t>Unrecognized tax benefits at September 30, 2008</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636" w:type="dxa"/>
            <w:tcBorders/>
            <w:shd w:fill="CCEEFF" w:val="clear"/>
            <w:vAlign w:val="bottom"/>
          </w:tcPr>
          <w:p>
            <w:pPr>
              <w:pStyle w:val="TableContents"/>
              <w:spacing w:before="0" w:after="283"/>
              <w:jc w:val="right"/>
              <w:rPr/>
            </w:pPr>
            <w:r>
              <w:rPr/>
              <w:t>486</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450" w:right="0" w:hanging="225"/>
              <w:rPr/>
            </w:pPr>
            <w:r>
              <w:rPr/>
              <w:t>Reduction based on prior year tax positions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636" w:type="dxa"/>
            <w:tcBorders/>
            <w:shd w:fill="auto" w:val="clear"/>
            <w:vAlign w:val="bottom"/>
          </w:tcPr>
          <w:p>
            <w:pPr>
              <w:pStyle w:val="TableContents"/>
              <w:spacing w:before="0" w:after="283"/>
              <w:jc w:val="right"/>
              <w:rPr/>
            </w:pPr>
            <w:r>
              <w:rPr/>
              <w:t>(380</w:t>
            </w:r>
          </w:p>
        </w:tc>
        <w:tc>
          <w:tcPr>
            <w:tcW w:w="131" w:type="dxa"/>
            <w:tcBorders/>
            <w:shd w:fill="auto" w:val="clear"/>
            <w:vAlign w:val="bottom"/>
          </w:tcPr>
          <w:p>
            <w:pPr>
              <w:pStyle w:val="TableContents"/>
              <w:spacing w:before="0" w:after="283"/>
              <w:rPr/>
            </w:pPr>
            <w:r>
              <w:rPr/>
              <w:t>)</w:t>
            </w:r>
          </w:p>
        </w:tc>
      </w:tr>
      <w:tr>
        <w:trPr/>
        <w:tc>
          <w:tcPr>
            <w:tcW w:w="8798" w:type="dxa"/>
            <w:tcBorders/>
            <w:shd w:fill="CCEEFF" w:val="clear"/>
            <w:vAlign w:val="bottom"/>
          </w:tcPr>
          <w:p>
            <w:pPr>
              <w:pStyle w:val="TableContents"/>
              <w:spacing w:before="0" w:after="0"/>
              <w:ind w:left="450" w:right="0" w:hanging="225"/>
              <w:rPr/>
            </w:pPr>
            <w:r>
              <w:rPr/>
              <w:t>Additions based on current year tax positions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450" w:right="0" w:hanging="225"/>
              <w:rPr/>
            </w:pPr>
            <w:r>
              <w:rPr/>
              <w:t>Reductions based on settlements with taxing authorities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450" w:right="0" w:hanging="225"/>
              <w:rPr/>
            </w:pPr>
            <w:r>
              <w:rPr/>
              <w:t>Reductions due to lapse in statute of limitations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center"/>
          </w:tcPr>
          <w:p>
            <w:pPr>
              <w:pStyle w:val="TableContents"/>
              <w:spacing w:before="0" w:after="0"/>
              <w:ind w:left="225" w:right="0" w:hanging="225"/>
              <w:rPr/>
            </w:pPr>
            <w:r>
              <w:rPr/>
              <w:t> </w:t>
            </w:r>
          </w:p>
        </w:tc>
        <w:tc>
          <w:tcPr>
            <w:tcW w:w="497" w:type="dxa"/>
            <w:tcBorders/>
            <w:shd w:fill="auto" w:val="clear"/>
            <w:vAlign w:val="center"/>
          </w:tcPr>
          <w:p>
            <w:pPr>
              <w:pStyle w:val="TableContents"/>
              <w:spacing w:before="0" w:after="283"/>
              <w:rPr/>
            </w:pPr>
            <w:r>
              <w:rPr/>
              <w:t> </w:t>
            </w:r>
          </w:p>
        </w:tc>
        <w:tc>
          <w:tcPr>
            <w:tcW w:w="7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98" w:type="dxa"/>
            <w:tcBorders/>
            <w:shd w:fill="auto" w:val="clear"/>
            <w:vAlign w:val="bottom"/>
          </w:tcPr>
          <w:p>
            <w:pPr>
              <w:pStyle w:val="TableContents"/>
              <w:spacing w:before="0" w:after="0"/>
              <w:ind w:left="225" w:right="0" w:hanging="225"/>
              <w:rPr/>
            </w:pPr>
            <w:r>
              <w:rPr/>
              <w:t>Unrecognized tax benefits at September 30, 2009</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106</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675" w:right="0" w:hanging="225"/>
              <w:rPr/>
            </w:pPr>
            <w:r>
              <w:rPr/>
              <w:t>Reduction based on prior year tax positions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675" w:right="0" w:hanging="225"/>
              <w:rPr/>
            </w:pPr>
            <w:r>
              <w:rPr/>
              <w:t>Additions based on current year tax positions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675" w:right="0" w:hanging="225"/>
              <w:rPr/>
            </w:pPr>
            <w:r>
              <w:rPr/>
              <w:t>Reductions based on settlements with taxing authorities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675" w:right="0" w:hanging="225"/>
              <w:rPr/>
            </w:pPr>
            <w:r>
              <w:rPr/>
              <w:t>Reductions due to lapse in statute of limitations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636" w:type="dxa"/>
            <w:tcBorders/>
            <w:shd w:fill="auto" w:val="clear"/>
            <w:vAlign w:val="bottom"/>
          </w:tcPr>
          <w:p>
            <w:pPr>
              <w:pStyle w:val="TableContents"/>
              <w:spacing w:before="0" w:after="283"/>
              <w:jc w:val="right"/>
              <w:rPr/>
            </w:pPr>
            <w:r>
              <w:rPr/>
              <w:t>(55</w:t>
            </w:r>
          </w:p>
        </w:tc>
        <w:tc>
          <w:tcPr>
            <w:tcW w:w="131" w:type="dxa"/>
            <w:tcBorders/>
            <w:shd w:fill="auto" w:val="clear"/>
            <w:vAlign w:val="bottom"/>
          </w:tcPr>
          <w:p>
            <w:pPr>
              <w:pStyle w:val="TableContents"/>
              <w:spacing w:before="0" w:after="283"/>
              <w:rPr/>
            </w:pPr>
            <w:r>
              <w:rPr/>
              <w:t>)</w:t>
            </w:r>
          </w:p>
        </w:tc>
      </w:tr>
      <w:tr>
        <w:trPr/>
        <w:tc>
          <w:tcPr>
            <w:tcW w:w="8798" w:type="dxa"/>
            <w:tcBorders/>
            <w:shd w:fill="auto" w:val="clear"/>
            <w:vAlign w:val="center"/>
          </w:tcPr>
          <w:p>
            <w:pPr>
              <w:pStyle w:val="TableContents"/>
              <w:spacing w:before="0" w:after="0"/>
              <w:ind w:left="225" w:right="0" w:hanging="225"/>
              <w:rPr/>
            </w:pPr>
            <w:r>
              <w:rPr/>
              <w:t> </w:t>
            </w:r>
          </w:p>
        </w:tc>
        <w:tc>
          <w:tcPr>
            <w:tcW w:w="497" w:type="dxa"/>
            <w:tcBorders/>
            <w:shd w:fill="auto" w:val="clear"/>
            <w:vAlign w:val="center"/>
          </w:tcPr>
          <w:p>
            <w:pPr>
              <w:pStyle w:val="TableContents"/>
              <w:spacing w:before="0" w:after="283"/>
              <w:rPr/>
            </w:pPr>
            <w:r>
              <w:rPr/>
              <w:t> </w:t>
            </w:r>
          </w:p>
        </w:tc>
        <w:tc>
          <w:tcPr>
            <w:tcW w:w="7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225" w:right="0" w:hanging="225"/>
              <w:rPr/>
            </w:pPr>
            <w:r>
              <w:rPr/>
              <w:t>Unrecognized tax benefits at September 30, 2010</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51</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450" w:right="0" w:hanging="225"/>
              <w:rPr/>
            </w:pPr>
            <w:r>
              <w:rPr/>
              <w:t>Reduction based on prior year tax positions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450" w:right="0" w:hanging="225"/>
              <w:rPr/>
            </w:pPr>
            <w:r>
              <w:rPr/>
              <w:t>Additions based on current year tax positions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450" w:right="0" w:hanging="225"/>
              <w:rPr/>
            </w:pPr>
            <w:r>
              <w:rPr/>
              <w:t>Reductions based on settlements with taxing authorities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450" w:right="0" w:hanging="225"/>
              <w:rPr/>
            </w:pPr>
            <w:r>
              <w:rPr/>
              <w:t>Reductions due to lapse in statute of limitations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283"/>
              <w:jc w:val="right"/>
              <w:rPr/>
            </w:pPr>
            <w:r>
              <w:rPr/>
              <w:t>(51</w:t>
            </w:r>
          </w:p>
        </w:tc>
        <w:tc>
          <w:tcPr>
            <w:tcW w:w="131" w:type="dxa"/>
            <w:tcBorders/>
            <w:shd w:fill="CCEEFF" w:val="clear"/>
            <w:vAlign w:val="bottom"/>
          </w:tcPr>
          <w:p>
            <w:pPr>
              <w:pStyle w:val="TableContents"/>
              <w:spacing w:before="0" w:after="283"/>
              <w:rPr/>
            </w:pPr>
            <w:r>
              <w:rPr/>
              <w:t>)</w:t>
            </w:r>
          </w:p>
        </w:tc>
      </w:tr>
      <w:tr>
        <w:trPr/>
        <w:tc>
          <w:tcPr>
            <w:tcW w:w="8798" w:type="dxa"/>
            <w:tcBorders/>
            <w:shd w:fill="auto" w:val="clear"/>
            <w:vAlign w:val="center"/>
          </w:tcPr>
          <w:p>
            <w:pPr>
              <w:pStyle w:val="TableContents"/>
              <w:spacing w:before="0" w:after="0"/>
              <w:ind w:left="225" w:right="0" w:hanging="225"/>
              <w:rPr/>
            </w:pPr>
            <w:r>
              <w:rPr/>
              <w:t> </w:t>
            </w:r>
          </w:p>
        </w:tc>
        <w:tc>
          <w:tcPr>
            <w:tcW w:w="497" w:type="dxa"/>
            <w:tcBorders/>
            <w:shd w:fill="auto" w:val="clear"/>
            <w:vAlign w:val="center"/>
          </w:tcPr>
          <w:p>
            <w:pPr>
              <w:pStyle w:val="TableContents"/>
              <w:spacing w:before="0" w:after="283"/>
              <w:rPr/>
            </w:pPr>
            <w:r>
              <w:rPr/>
              <w:t> </w:t>
            </w:r>
          </w:p>
        </w:tc>
        <w:tc>
          <w:tcPr>
            <w:tcW w:w="7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98" w:type="dxa"/>
            <w:tcBorders/>
            <w:shd w:fill="auto" w:val="clear"/>
            <w:vAlign w:val="bottom"/>
          </w:tcPr>
          <w:p>
            <w:pPr>
              <w:pStyle w:val="TableContents"/>
              <w:spacing w:before="0" w:after="0"/>
              <w:ind w:left="225" w:right="0" w:hanging="225"/>
              <w:rPr/>
            </w:pPr>
            <w:r>
              <w:rPr/>
              <w:t>Unrecognized tax benefits at September 30, 2011</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auto" w:val="clear"/>
            <w:vAlign w:val="center"/>
          </w:tcPr>
          <w:p>
            <w:pPr>
              <w:pStyle w:val="TableContents"/>
              <w:spacing w:before="0" w:after="0"/>
              <w:ind w:left="225" w:right="0" w:hanging="225"/>
              <w:rPr/>
            </w:pPr>
            <w:r>
              <w:rPr/>
              <w:t> </w:t>
            </w:r>
          </w:p>
        </w:tc>
        <w:tc>
          <w:tcPr>
            <w:tcW w:w="497" w:type="dxa"/>
            <w:tcBorders/>
            <w:shd w:fill="auto" w:val="clear"/>
            <w:vAlign w:val="center"/>
          </w:tcPr>
          <w:p>
            <w:pPr>
              <w:pStyle w:val="TableContents"/>
              <w:spacing w:before="0" w:after="283"/>
              <w:rPr/>
            </w:pPr>
            <w:r>
              <w:rPr/>
              <w:t> </w:t>
            </w:r>
          </w:p>
        </w:tc>
        <w:tc>
          <w:tcPr>
            <w:tcW w:w="7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subject to U.S., Mexican, and Canadian income taxes as well as to income taxes levied by various state and local jurisdictions. With few exceptions, we are no longer subject to examinations by tax authorities for years before the tax year ended September 30, 2007.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K: Related Party Transactions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October 1, 2010, 2009 and 2008, we entered one-year financial advisory services agreements with Madison Park, LLC, a business and financial advisory firm wholly-owned by Phillip E. Cohen, the beneficial owner of all of our outstanding Class B Common Stock. Either party could terminate the agreements at any time on thirty days written notice, but neither party elected to do so. The agreements required Madison Park to provide advice on our business and long-term strategic plan, including acquisitions and strategic alliances, operating and strategic objectives, investor relations, relations with investment bankers and other members of the financial services industry, international business development and strategic investment opportunities, and financial matters. The monthly fee for the services was $400,000 in fiscal 2011, $300,000 in fiscal 2010 and $200,000 in fiscal 2009. Total payments to Madison Park were $4.8 million in fiscal 2011, $3.6 million in fiscal 2010 and $2.4 million in fiscal 2009.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October 1, 2011, we entered into a new financial advisory services agreement with Madison Park with a one-year term that expires September 30, 2012. The terms of the agreement are substantially the same as those in the fiscal 2011 agreement described above, except the monthly fee is $500,000.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Prior to approval of the Madison Park agreement and pursuant to our Policy for Review and Evaluation of Related Party Transactions, the Audit Committee of our Board of Directors implemented measures designed to ensure that the advisory services agreement with Madison Park was considered, analyzed, negotiated and approved objectively. Those measures included the engagement of an independent financial advisory firm to counsel and advise the committee in the course of its consideration and evaluation of the Madison Park relationship and the proposed terms of the new advisory services agreement and the receipt of a fairness opinion with respect to the fee to be paid to Madison Park.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After consideration and discussion of a number of factors, the information and fairness opinion provided by its independent financial advisory firm, and the relationships and the interests of Mr. Cohen, the Audit Committee concluded that the advisory services agreement was fair to, and in the best interests of, the company and its stockholders and, on that basis, approved the engagement of Madison Park pursuant to the advisory services agreement.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L: Leases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lease various facilities and certain equipment under operating leases. We also sublease some of the above facilities. Future minimum rentals due under non-cancelable leases and annual future minimum rentals expected under subleases are as follows: </w:t>
      </w:r>
    </w:p>
    <w:tbl>
      <w:tblPr>
        <w:tblW w:w="5000" w:type="pct"/>
        <w:jc w:val="center"/>
        <w:tblInd w:w="0" w:type="dxa"/>
        <w:tblCellMar>
          <w:top w:w="0" w:type="dxa"/>
          <w:left w:w="0" w:type="dxa"/>
          <w:bottom w:w="0" w:type="dxa"/>
          <w:right w:w="0" w:type="dxa"/>
        </w:tblCellMar>
      </w:tblPr>
      <w:tblGrid>
        <w:gridCol w:w="5401"/>
        <w:gridCol w:w="363"/>
        <w:gridCol w:w="411"/>
        <w:gridCol w:w="2307"/>
        <w:gridCol w:w="114"/>
        <w:gridCol w:w="363"/>
        <w:gridCol w:w="264"/>
        <w:gridCol w:w="862"/>
        <w:gridCol w:w="120"/>
      </w:tblGrid>
      <w:tr>
        <w:trPr/>
        <w:tc>
          <w:tcPr>
            <w:tcW w:w="5401"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30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5401"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718" w:type="dxa"/>
            <w:gridSpan w:val="2"/>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14"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126" w:type="dxa"/>
            <w:gridSpan w:val="2"/>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TableContents"/>
              <w:spacing w:before="0" w:after="283"/>
              <w:rPr/>
            </w:pPr>
            <w:r>
              <w:rPr/>
              <w:t> </w:t>
            </w:r>
          </w:p>
        </w:tc>
      </w:tr>
      <w:tr>
        <w:trPr/>
        <w:tc>
          <w:tcPr>
            <w:tcW w:w="5401"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718"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14"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126" w:type="dxa"/>
            <w:gridSpan w:val="2"/>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TableContents"/>
              <w:spacing w:before="0" w:after="283"/>
              <w:rPr/>
            </w:pPr>
            <w:r>
              <w:rPr/>
              <w:t> </w:t>
            </w:r>
          </w:p>
        </w:tc>
      </w:tr>
      <w:tr>
        <w:trPr/>
        <w:tc>
          <w:tcPr>
            <w:tcW w:w="5401"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718" w:type="dxa"/>
            <w:gridSpan w:val="2"/>
            <w:tcBorders/>
            <w:shd w:fill="auto" w:val="clear"/>
            <w:vAlign w:val="bottom"/>
          </w:tcPr>
          <w:p>
            <w:pPr>
              <w:pStyle w:val="TableContents"/>
              <w:spacing w:before="0" w:after="283"/>
              <w:jc w:val="center"/>
              <w:rPr/>
            </w:pPr>
            <w:r>
              <w:rPr/>
              <w:t>Lease</w:t>
            </w:r>
          </w:p>
        </w:tc>
        <w:tc>
          <w:tcPr>
            <w:tcW w:w="114"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126" w:type="dxa"/>
            <w:gridSpan w:val="2"/>
            <w:tcBorders/>
            <w:shd w:fill="auto" w:val="clear"/>
            <w:vAlign w:val="bottom"/>
          </w:tcPr>
          <w:p>
            <w:pPr>
              <w:pStyle w:val="TableContents"/>
              <w:spacing w:before="0" w:after="283"/>
              <w:jc w:val="center"/>
              <w:rPr/>
            </w:pPr>
            <w:r>
              <w:rPr/>
              <w:t>Sublease</w:t>
            </w:r>
          </w:p>
        </w:tc>
        <w:tc>
          <w:tcPr>
            <w:tcW w:w="120" w:type="dxa"/>
            <w:tcBorders/>
            <w:shd w:fill="auto" w:val="clear"/>
            <w:vAlign w:val="bottom"/>
          </w:tcPr>
          <w:p>
            <w:pPr>
              <w:pStyle w:val="TableContents"/>
              <w:spacing w:before="0" w:after="283"/>
              <w:rPr/>
            </w:pPr>
            <w:r>
              <w:rPr/>
              <w:t> </w:t>
            </w:r>
          </w:p>
        </w:tc>
      </w:tr>
      <w:tr>
        <w:trPr/>
        <w:tc>
          <w:tcPr>
            <w:tcW w:w="5401"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718" w:type="dxa"/>
            <w:gridSpan w:val="2"/>
            <w:tcBorders>
              <w:bottom w:val="single" w:sz="2" w:space="0" w:color="000000"/>
            </w:tcBorders>
            <w:shd w:fill="auto" w:val="clear"/>
            <w:tcMar>
              <w:bottom w:w="28" w:type="dxa"/>
            </w:tcMar>
            <w:vAlign w:val="bottom"/>
          </w:tcPr>
          <w:p>
            <w:pPr>
              <w:pStyle w:val="TableContents"/>
              <w:spacing w:before="0" w:after="283"/>
              <w:jc w:val="center"/>
              <w:rPr/>
            </w:pPr>
            <w:r>
              <w:rPr/>
              <w:t>Payments</w:t>
            </w:r>
          </w:p>
        </w:tc>
        <w:tc>
          <w:tcPr>
            <w:tcW w:w="114"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126" w:type="dxa"/>
            <w:gridSpan w:val="2"/>
            <w:tcBorders>
              <w:bottom w:val="single" w:sz="2" w:space="0" w:color="000000"/>
            </w:tcBorders>
            <w:shd w:fill="auto" w:val="clear"/>
            <w:tcMar>
              <w:bottom w:w="28" w:type="dxa"/>
            </w:tcMar>
            <w:vAlign w:val="bottom"/>
          </w:tcPr>
          <w:p>
            <w:pPr>
              <w:pStyle w:val="TableContents"/>
              <w:spacing w:before="0" w:after="283"/>
              <w:jc w:val="center"/>
              <w:rPr/>
            </w:pPr>
            <w:r>
              <w:rPr/>
              <w:t>Revenue</w:t>
            </w:r>
          </w:p>
        </w:tc>
        <w:tc>
          <w:tcPr>
            <w:tcW w:w="120" w:type="dxa"/>
            <w:tcBorders/>
            <w:shd w:fill="auto" w:val="clear"/>
            <w:vAlign w:val="bottom"/>
          </w:tcPr>
          <w:p>
            <w:pPr>
              <w:pStyle w:val="TableContents"/>
              <w:spacing w:before="0" w:after="283"/>
              <w:rPr/>
            </w:pPr>
            <w:r>
              <w:rPr/>
              <w:t> </w:t>
            </w:r>
          </w:p>
        </w:tc>
      </w:tr>
      <w:tr>
        <w:trPr/>
        <w:tc>
          <w:tcPr>
            <w:tcW w:w="5401" w:type="dxa"/>
            <w:tcBorders/>
            <w:shd w:fill="CCEEFF" w:val="clear"/>
            <w:vAlign w:val="bottom"/>
          </w:tcPr>
          <w:p>
            <w:pPr>
              <w:pStyle w:val="TableContents"/>
              <w:spacing w:before="0" w:after="0"/>
              <w:ind w:left="450" w:right="0" w:hanging="225"/>
              <w:rPr/>
            </w:pPr>
            <w:r>
              <w:rPr/>
              <w:t>2012</w:t>
            </w:r>
          </w:p>
        </w:tc>
        <w:tc>
          <w:tcPr>
            <w:tcW w:w="363"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jc w:val="left"/>
              <w:rPr/>
            </w:pPr>
            <w:r>
              <w:rPr/>
              <w:t>$</w:t>
            </w:r>
          </w:p>
        </w:tc>
        <w:tc>
          <w:tcPr>
            <w:tcW w:w="2307" w:type="dxa"/>
            <w:tcBorders/>
            <w:shd w:fill="CCEEFF" w:val="clear"/>
            <w:vAlign w:val="bottom"/>
          </w:tcPr>
          <w:p>
            <w:pPr>
              <w:pStyle w:val="TableContents"/>
              <w:spacing w:before="0" w:after="283"/>
              <w:jc w:val="right"/>
              <w:rPr/>
            </w:pPr>
            <w:r>
              <w:rPr/>
              <w:t>45,181</w:t>
            </w:r>
          </w:p>
        </w:tc>
        <w:tc>
          <w:tcPr>
            <w:tcW w:w="114"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jc w:val="left"/>
              <w:rPr/>
            </w:pPr>
            <w:r>
              <w:rPr/>
              <w:t>$</w:t>
            </w:r>
          </w:p>
        </w:tc>
        <w:tc>
          <w:tcPr>
            <w:tcW w:w="862" w:type="dxa"/>
            <w:tcBorders/>
            <w:shd w:fill="CCEEFF" w:val="clear"/>
            <w:vAlign w:val="bottom"/>
          </w:tcPr>
          <w:p>
            <w:pPr>
              <w:pStyle w:val="TableContents"/>
              <w:spacing w:before="0" w:after="283"/>
              <w:jc w:val="right"/>
              <w:rPr/>
            </w:pPr>
            <w:r>
              <w:rPr/>
              <w:t>226</w:t>
            </w:r>
          </w:p>
        </w:tc>
        <w:tc>
          <w:tcPr>
            <w:tcW w:w="120" w:type="dxa"/>
            <w:tcBorders/>
            <w:shd w:fill="CCEEFF" w:val="clear"/>
            <w:vAlign w:val="bottom"/>
          </w:tcPr>
          <w:p>
            <w:pPr>
              <w:pStyle w:val="TableContents"/>
              <w:spacing w:before="0" w:after="283"/>
              <w:rPr/>
            </w:pPr>
            <w:r>
              <w:rPr/>
              <w:t> </w:t>
            </w:r>
          </w:p>
        </w:tc>
      </w:tr>
      <w:tr>
        <w:trPr/>
        <w:tc>
          <w:tcPr>
            <w:tcW w:w="5401" w:type="dxa"/>
            <w:tcBorders/>
            <w:shd w:fill="auto" w:val="clear"/>
            <w:vAlign w:val="bottom"/>
          </w:tcPr>
          <w:p>
            <w:pPr>
              <w:pStyle w:val="TableContents"/>
              <w:spacing w:before="0" w:after="0"/>
              <w:ind w:left="450" w:right="0" w:hanging="225"/>
              <w:rPr/>
            </w:pPr>
            <w:r>
              <w:rPr/>
              <w:t>2013</w:t>
            </w:r>
          </w:p>
        </w:tc>
        <w:tc>
          <w:tcPr>
            <w:tcW w:w="363"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307" w:type="dxa"/>
            <w:tcBorders/>
            <w:shd w:fill="auto" w:val="clear"/>
            <w:vAlign w:val="bottom"/>
          </w:tcPr>
          <w:p>
            <w:pPr>
              <w:pStyle w:val="TableContents"/>
              <w:spacing w:before="0" w:after="283"/>
              <w:jc w:val="right"/>
              <w:rPr/>
            </w:pPr>
            <w:r>
              <w:rPr/>
              <w:t>39,243</w:t>
            </w:r>
          </w:p>
        </w:tc>
        <w:tc>
          <w:tcPr>
            <w:tcW w:w="114"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161</w:t>
            </w:r>
          </w:p>
        </w:tc>
        <w:tc>
          <w:tcPr>
            <w:tcW w:w="120" w:type="dxa"/>
            <w:tcBorders/>
            <w:shd w:fill="auto" w:val="clear"/>
            <w:vAlign w:val="bottom"/>
          </w:tcPr>
          <w:p>
            <w:pPr>
              <w:pStyle w:val="TableContents"/>
              <w:spacing w:before="0" w:after="283"/>
              <w:rPr/>
            </w:pPr>
            <w:r>
              <w:rPr/>
              <w:t> </w:t>
            </w:r>
          </w:p>
        </w:tc>
      </w:tr>
      <w:tr>
        <w:trPr/>
        <w:tc>
          <w:tcPr>
            <w:tcW w:w="5401" w:type="dxa"/>
            <w:tcBorders/>
            <w:shd w:fill="CCEEFF" w:val="clear"/>
            <w:vAlign w:val="bottom"/>
          </w:tcPr>
          <w:p>
            <w:pPr>
              <w:pStyle w:val="TableContents"/>
              <w:spacing w:before="0" w:after="0"/>
              <w:ind w:left="450" w:right="0" w:hanging="225"/>
              <w:rPr/>
            </w:pPr>
            <w:r>
              <w:rPr/>
              <w:t>2014</w:t>
            </w:r>
          </w:p>
        </w:tc>
        <w:tc>
          <w:tcPr>
            <w:tcW w:w="363"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2307" w:type="dxa"/>
            <w:tcBorders/>
            <w:shd w:fill="CCEEFF" w:val="clear"/>
            <w:vAlign w:val="bottom"/>
          </w:tcPr>
          <w:p>
            <w:pPr>
              <w:pStyle w:val="TableContents"/>
              <w:spacing w:before="0" w:after="283"/>
              <w:jc w:val="right"/>
              <w:rPr/>
            </w:pPr>
            <w:r>
              <w:rPr/>
              <w:t>30,001</w:t>
            </w:r>
          </w:p>
        </w:tc>
        <w:tc>
          <w:tcPr>
            <w:tcW w:w="114"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111</w:t>
            </w:r>
          </w:p>
        </w:tc>
        <w:tc>
          <w:tcPr>
            <w:tcW w:w="120" w:type="dxa"/>
            <w:tcBorders/>
            <w:shd w:fill="CCEEFF" w:val="clear"/>
            <w:vAlign w:val="bottom"/>
          </w:tcPr>
          <w:p>
            <w:pPr>
              <w:pStyle w:val="TableContents"/>
              <w:spacing w:before="0" w:after="283"/>
              <w:rPr/>
            </w:pPr>
            <w:r>
              <w:rPr/>
              <w:t> </w:t>
            </w:r>
          </w:p>
        </w:tc>
      </w:tr>
      <w:tr>
        <w:trPr/>
        <w:tc>
          <w:tcPr>
            <w:tcW w:w="5401" w:type="dxa"/>
            <w:tcBorders/>
            <w:shd w:fill="auto" w:val="clear"/>
            <w:vAlign w:val="bottom"/>
          </w:tcPr>
          <w:p>
            <w:pPr>
              <w:pStyle w:val="TableContents"/>
              <w:spacing w:before="0" w:after="0"/>
              <w:ind w:left="450" w:right="0" w:hanging="225"/>
              <w:rPr/>
            </w:pPr>
            <w:r>
              <w:rPr/>
              <w:t>2015</w:t>
            </w:r>
          </w:p>
        </w:tc>
        <w:tc>
          <w:tcPr>
            <w:tcW w:w="363"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307" w:type="dxa"/>
            <w:tcBorders/>
            <w:shd w:fill="auto" w:val="clear"/>
            <w:vAlign w:val="bottom"/>
          </w:tcPr>
          <w:p>
            <w:pPr>
              <w:pStyle w:val="TableContents"/>
              <w:spacing w:before="0" w:after="283"/>
              <w:jc w:val="right"/>
              <w:rPr/>
            </w:pPr>
            <w:r>
              <w:rPr/>
              <w:t>22,171</w:t>
            </w:r>
          </w:p>
        </w:tc>
        <w:tc>
          <w:tcPr>
            <w:tcW w:w="114"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12</w:t>
            </w:r>
          </w:p>
        </w:tc>
        <w:tc>
          <w:tcPr>
            <w:tcW w:w="120" w:type="dxa"/>
            <w:tcBorders/>
            <w:shd w:fill="auto" w:val="clear"/>
            <w:vAlign w:val="bottom"/>
          </w:tcPr>
          <w:p>
            <w:pPr>
              <w:pStyle w:val="TableContents"/>
              <w:spacing w:before="0" w:after="283"/>
              <w:rPr/>
            </w:pPr>
            <w:r>
              <w:rPr/>
              <w:t> </w:t>
            </w:r>
          </w:p>
        </w:tc>
      </w:tr>
      <w:tr>
        <w:trPr/>
        <w:tc>
          <w:tcPr>
            <w:tcW w:w="5401" w:type="dxa"/>
            <w:tcBorders/>
            <w:shd w:fill="CCEEFF" w:val="clear"/>
            <w:vAlign w:val="bottom"/>
          </w:tcPr>
          <w:p>
            <w:pPr>
              <w:pStyle w:val="TableContents"/>
              <w:spacing w:before="0" w:after="0"/>
              <w:ind w:left="450" w:right="0" w:hanging="225"/>
              <w:rPr/>
            </w:pPr>
            <w:r>
              <w:rPr/>
              <w:t>2016</w:t>
            </w:r>
          </w:p>
        </w:tc>
        <w:tc>
          <w:tcPr>
            <w:tcW w:w="363"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2307" w:type="dxa"/>
            <w:tcBorders/>
            <w:shd w:fill="CCEEFF" w:val="clear"/>
            <w:vAlign w:val="bottom"/>
          </w:tcPr>
          <w:p>
            <w:pPr>
              <w:pStyle w:val="TableContents"/>
              <w:spacing w:before="0" w:after="283"/>
              <w:jc w:val="right"/>
              <w:rPr/>
            </w:pPr>
            <w:r>
              <w:rPr/>
              <w:t>13,874</w:t>
            </w:r>
          </w:p>
        </w:tc>
        <w:tc>
          <w:tcPr>
            <w:tcW w:w="114"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r>
      <w:tr>
        <w:trPr/>
        <w:tc>
          <w:tcPr>
            <w:tcW w:w="5401" w:type="dxa"/>
            <w:tcBorders/>
            <w:shd w:fill="auto" w:val="clear"/>
            <w:vAlign w:val="bottom"/>
          </w:tcPr>
          <w:p>
            <w:pPr>
              <w:pStyle w:val="TableContents"/>
              <w:spacing w:before="0" w:after="0"/>
              <w:ind w:left="225" w:right="0" w:hanging="225"/>
              <w:rPr/>
            </w:pPr>
            <w:r>
              <w:rPr/>
              <w:t>Thereafter</w:t>
            </w:r>
          </w:p>
        </w:tc>
        <w:tc>
          <w:tcPr>
            <w:tcW w:w="363"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307" w:type="dxa"/>
            <w:tcBorders/>
            <w:shd w:fill="auto" w:val="clear"/>
            <w:vAlign w:val="bottom"/>
          </w:tcPr>
          <w:p>
            <w:pPr>
              <w:pStyle w:val="TableContents"/>
              <w:spacing w:before="0" w:after="283"/>
              <w:jc w:val="right"/>
              <w:rPr/>
            </w:pPr>
            <w:r>
              <w:rPr/>
              <w:t>19,731</w:t>
            </w:r>
          </w:p>
        </w:tc>
        <w:tc>
          <w:tcPr>
            <w:tcW w:w="114"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r>
      <w:tr>
        <w:trPr/>
        <w:tc>
          <w:tcPr>
            <w:tcW w:w="5401" w:type="dxa"/>
            <w:tcBorders/>
            <w:shd w:fill="auto" w:val="clear"/>
            <w:vAlign w:val="center"/>
          </w:tcPr>
          <w:p>
            <w:pPr>
              <w:pStyle w:val="TableContents"/>
              <w:spacing w:before="0" w:after="0"/>
              <w:ind w:left="225" w:right="0" w:hanging="225"/>
              <w:rPr/>
            </w:pPr>
            <w:r>
              <w:rPr/>
              <w:t> </w:t>
            </w:r>
          </w:p>
        </w:tc>
        <w:tc>
          <w:tcPr>
            <w:tcW w:w="363" w:type="dxa"/>
            <w:tcBorders/>
            <w:shd w:fill="auto" w:val="clear"/>
            <w:vAlign w:val="center"/>
          </w:tcPr>
          <w:p>
            <w:pPr>
              <w:pStyle w:val="TableContents"/>
              <w:spacing w:before="0" w:after="283"/>
              <w:rPr/>
            </w:pPr>
            <w:r>
              <w:rPr/>
              <w:t> </w:t>
            </w:r>
          </w:p>
        </w:tc>
        <w:tc>
          <w:tcPr>
            <w:tcW w:w="27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363"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5401" w:type="dxa"/>
            <w:tcBorders/>
            <w:shd w:fill="CCEEFF" w:val="clear"/>
            <w:vAlign w:val="bottom"/>
          </w:tcPr>
          <w:p>
            <w:pPr>
              <w:pStyle w:val="TableContents"/>
              <w:spacing w:before="0" w:after="0"/>
              <w:ind w:left="225" w:right="0" w:hanging="225"/>
              <w:rPr/>
            </w:pPr>
            <w:r>
              <w:rPr/>
              <w:t> </w:t>
            </w:r>
          </w:p>
        </w:tc>
        <w:tc>
          <w:tcPr>
            <w:tcW w:w="363"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jc w:val="left"/>
              <w:rPr/>
            </w:pPr>
            <w:r>
              <w:rPr/>
              <w:t>$</w:t>
            </w:r>
          </w:p>
        </w:tc>
        <w:tc>
          <w:tcPr>
            <w:tcW w:w="2307" w:type="dxa"/>
            <w:tcBorders/>
            <w:shd w:fill="CCEEFF" w:val="clear"/>
            <w:vAlign w:val="bottom"/>
          </w:tcPr>
          <w:p>
            <w:pPr>
              <w:pStyle w:val="TableContents"/>
              <w:spacing w:before="0" w:after="283"/>
              <w:jc w:val="right"/>
              <w:rPr/>
            </w:pPr>
            <w:r>
              <w:rPr/>
              <w:t>170,201</w:t>
            </w:r>
          </w:p>
        </w:tc>
        <w:tc>
          <w:tcPr>
            <w:tcW w:w="114"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jc w:val="left"/>
              <w:rPr/>
            </w:pPr>
            <w:r>
              <w:rPr/>
              <w:t>$</w:t>
            </w:r>
          </w:p>
        </w:tc>
        <w:tc>
          <w:tcPr>
            <w:tcW w:w="862" w:type="dxa"/>
            <w:tcBorders/>
            <w:shd w:fill="CCEEFF" w:val="clear"/>
            <w:vAlign w:val="bottom"/>
          </w:tcPr>
          <w:p>
            <w:pPr>
              <w:pStyle w:val="TableContents"/>
              <w:spacing w:before="0" w:after="283"/>
              <w:jc w:val="right"/>
              <w:rPr/>
            </w:pPr>
            <w:r>
              <w:rPr/>
              <w:t>510</w:t>
            </w:r>
          </w:p>
        </w:tc>
        <w:tc>
          <w:tcPr>
            <w:tcW w:w="120" w:type="dxa"/>
            <w:tcBorders/>
            <w:shd w:fill="CCEEFF" w:val="clear"/>
            <w:vAlign w:val="bottom"/>
          </w:tcPr>
          <w:p>
            <w:pPr>
              <w:pStyle w:val="TableContents"/>
              <w:spacing w:before="0" w:after="283"/>
              <w:rPr/>
            </w:pPr>
            <w:r>
              <w:rPr/>
              <w:t> </w:t>
            </w:r>
          </w:p>
        </w:tc>
      </w:tr>
      <w:tr>
        <w:trPr/>
        <w:tc>
          <w:tcPr>
            <w:tcW w:w="5401" w:type="dxa"/>
            <w:tcBorders/>
            <w:shd w:fill="auto" w:val="clear"/>
            <w:vAlign w:val="center"/>
          </w:tcPr>
          <w:p>
            <w:pPr>
              <w:pStyle w:val="TableContents"/>
              <w:spacing w:before="0" w:after="0"/>
              <w:ind w:left="225" w:right="0" w:hanging="225"/>
              <w:rPr/>
            </w:pPr>
            <w:r>
              <w:rPr/>
              <w:t> </w:t>
            </w:r>
          </w:p>
        </w:tc>
        <w:tc>
          <w:tcPr>
            <w:tcW w:w="363" w:type="dxa"/>
            <w:tcBorders/>
            <w:shd w:fill="auto" w:val="clear"/>
            <w:vAlign w:val="center"/>
          </w:tcPr>
          <w:p>
            <w:pPr>
              <w:pStyle w:val="TableContents"/>
              <w:spacing w:before="0" w:after="283"/>
              <w:rPr/>
            </w:pPr>
            <w:r>
              <w:rPr/>
              <w:t> </w:t>
            </w:r>
          </w:p>
        </w:tc>
        <w:tc>
          <w:tcPr>
            <w:tcW w:w="27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363" w:type="dxa"/>
            <w:tcBorders/>
            <w:shd w:fill="auto" w:val="clear"/>
            <w:vAlign w:val="center"/>
          </w:tcPr>
          <w:p>
            <w:pPr>
              <w:pStyle w:val="TableContents"/>
              <w:spacing w:before="0" w:after="283"/>
              <w:rPr/>
            </w:pPr>
            <w:r>
              <w:rPr/>
              <w:t> </w:t>
            </w:r>
          </w:p>
        </w:tc>
        <w:tc>
          <w:tcPr>
            <w:tcW w:w="11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After an initial lease term of generally three to ten years, our lease agreements typically allow renewals in three to five-year increments. Our lease agreements generally include rent escalations throughout the initial lease term. Rent escalations are included in the above numbers. For financial reporting purposes, the aggregate rentals over the lease term, including lease renewal options that are reasonably assured, are expensed on a straight-line basis. </w:t>
      </w:r>
    </w:p>
    <w:tbl>
      <w:tblPr>
        <w:tblW w:w="5000" w:type="pct"/>
        <w:jc w:val="center"/>
        <w:tblInd w:w="0" w:type="dxa"/>
        <w:tblCellMar>
          <w:top w:w="0" w:type="dxa"/>
          <w:left w:w="0" w:type="dxa"/>
          <w:bottom w:w="0" w:type="dxa"/>
          <w:right w:w="0" w:type="dxa"/>
        </w:tblCellMar>
      </w:tblPr>
      <w:tblGrid>
        <w:gridCol w:w="5490"/>
        <w:gridCol w:w="434"/>
        <w:gridCol w:w="167"/>
        <w:gridCol w:w="827"/>
        <w:gridCol w:w="139"/>
        <w:gridCol w:w="440"/>
        <w:gridCol w:w="167"/>
        <w:gridCol w:w="827"/>
        <w:gridCol w:w="139"/>
        <w:gridCol w:w="440"/>
        <w:gridCol w:w="167"/>
        <w:gridCol w:w="830"/>
        <w:gridCol w:w="138"/>
      </w:tblGrid>
      <w:tr>
        <w:trPr/>
        <w:tc>
          <w:tcPr>
            <w:tcW w:w="549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49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4143"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38" w:type="dxa"/>
            <w:tcBorders/>
            <w:shd w:fill="auto" w:val="clear"/>
            <w:vAlign w:val="bottom"/>
          </w:tcPr>
          <w:p>
            <w:pPr>
              <w:pStyle w:val="TableContents"/>
              <w:spacing w:before="0" w:after="283"/>
              <w:rPr/>
            </w:pPr>
            <w:r>
              <w:rPr/>
              <w:t> </w:t>
            </w:r>
          </w:p>
        </w:tc>
      </w:tr>
      <w:tr>
        <w:trPr/>
        <w:tc>
          <w:tcPr>
            <w:tcW w:w="549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9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9"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9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9"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99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8" w:type="dxa"/>
            <w:tcBorders/>
            <w:shd w:fill="auto" w:val="clear"/>
            <w:vAlign w:val="bottom"/>
          </w:tcPr>
          <w:p>
            <w:pPr>
              <w:pStyle w:val="TableContents"/>
              <w:spacing w:before="0" w:after="283"/>
              <w:rPr/>
            </w:pPr>
            <w:r>
              <w:rPr/>
              <w:t> </w:t>
            </w:r>
          </w:p>
        </w:tc>
      </w:tr>
      <w:tr>
        <w:trPr/>
        <w:tc>
          <w:tcPr>
            <w:tcW w:w="549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4143" w:type="dxa"/>
            <w:gridSpan w:val="10"/>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38" w:type="dxa"/>
            <w:tcBorders/>
            <w:shd w:fill="auto" w:val="clear"/>
            <w:vAlign w:val="bottom"/>
          </w:tcPr>
          <w:p>
            <w:pPr>
              <w:pStyle w:val="TableContents"/>
              <w:spacing w:before="0" w:after="283"/>
              <w:rPr/>
            </w:pPr>
            <w:r>
              <w:rPr/>
              <w:t> </w:t>
            </w:r>
          </w:p>
        </w:tc>
      </w:tr>
      <w:tr>
        <w:trPr/>
        <w:tc>
          <w:tcPr>
            <w:tcW w:w="5490" w:type="dxa"/>
            <w:tcBorders/>
            <w:shd w:fill="CCEEFF" w:val="clear"/>
            <w:vAlign w:val="bottom"/>
          </w:tcPr>
          <w:p>
            <w:pPr>
              <w:pStyle w:val="TableContents"/>
              <w:spacing w:before="0" w:after="0"/>
              <w:ind w:left="225" w:right="0" w:hanging="225"/>
              <w:rPr/>
            </w:pPr>
            <w:r>
              <w:rPr/>
              <w:t>Gross rent expense</w:t>
            </w:r>
          </w:p>
        </w:tc>
        <w:tc>
          <w:tcPr>
            <w:tcW w:w="43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46,710</w:t>
            </w:r>
          </w:p>
        </w:tc>
        <w:tc>
          <w:tcPr>
            <w:tcW w:w="139"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39,394</w:t>
            </w:r>
          </w:p>
        </w:tc>
        <w:tc>
          <w:tcPr>
            <w:tcW w:w="139"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35,005</w:t>
            </w:r>
          </w:p>
        </w:tc>
        <w:tc>
          <w:tcPr>
            <w:tcW w:w="138" w:type="dxa"/>
            <w:tcBorders/>
            <w:shd w:fill="CCEEFF" w:val="clear"/>
            <w:vAlign w:val="bottom"/>
          </w:tcPr>
          <w:p>
            <w:pPr>
              <w:pStyle w:val="TableContents"/>
              <w:spacing w:before="0" w:after="283"/>
              <w:rPr/>
            </w:pPr>
            <w:r>
              <w:rPr/>
              <w:t> </w:t>
            </w:r>
          </w:p>
        </w:tc>
      </w:tr>
      <w:tr>
        <w:trPr/>
        <w:tc>
          <w:tcPr>
            <w:tcW w:w="5490" w:type="dxa"/>
            <w:tcBorders/>
            <w:shd w:fill="auto" w:val="clear"/>
            <w:vAlign w:val="bottom"/>
          </w:tcPr>
          <w:p>
            <w:pPr>
              <w:pStyle w:val="TableContents"/>
              <w:spacing w:before="0" w:after="0"/>
              <w:ind w:left="225" w:right="0" w:hanging="225"/>
              <w:rPr/>
            </w:pPr>
            <w:r>
              <w:rPr/>
              <w:t>Sublease rent revenue</w:t>
            </w:r>
          </w:p>
        </w:tc>
        <w:tc>
          <w:tcPr>
            <w:tcW w:w="43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7" w:type="dxa"/>
            <w:tcBorders/>
            <w:shd w:fill="auto" w:val="clear"/>
            <w:vAlign w:val="bottom"/>
          </w:tcPr>
          <w:p>
            <w:pPr>
              <w:pStyle w:val="TableContents"/>
              <w:spacing w:before="0" w:after="283"/>
              <w:jc w:val="right"/>
              <w:rPr/>
            </w:pPr>
            <w:r>
              <w:rPr/>
              <w:t>(141</w:t>
            </w:r>
          </w:p>
        </w:tc>
        <w:tc>
          <w:tcPr>
            <w:tcW w:w="139"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7" w:type="dxa"/>
            <w:tcBorders/>
            <w:shd w:fill="auto" w:val="clear"/>
            <w:vAlign w:val="bottom"/>
          </w:tcPr>
          <w:p>
            <w:pPr>
              <w:pStyle w:val="TableContents"/>
              <w:spacing w:before="0" w:after="283"/>
              <w:jc w:val="right"/>
              <w:rPr/>
            </w:pPr>
            <w:r>
              <w:rPr/>
              <w:t>(132</w:t>
            </w:r>
          </w:p>
        </w:tc>
        <w:tc>
          <w:tcPr>
            <w:tcW w:w="139"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283"/>
              <w:jc w:val="right"/>
              <w:rPr/>
            </w:pPr>
            <w:r>
              <w:rPr/>
              <w:t>(81</w:t>
            </w:r>
          </w:p>
        </w:tc>
        <w:tc>
          <w:tcPr>
            <w:tcW w:w="138" w:type="dxa"/>
            <w:tcBorders/>
            <w:shd w:fill="auto" w:val="clear"/>
            <w:vAlign w:val="bottom"/>
          </w:tcPr>
          <w:p>
            <w:pPr>
              <w:pStyle w:val="TableContents"/>
              <w:spacing w:before="0" w:after="283"/>
              <w:rPr/>
            </w:pPr>
            <w:r>
              <w:rPr/>
              <w:t>)</w:t>
            </w:r>
          </w:p>
        </w:tc>
      </w:tr>
      <w:tr>
        <w:trPr/>
        <w:tc>
          <w:tcPr>
            <w:tcW w:w="5490"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9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9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490" w:type="dxa"/>
            <w:tcBorders/>
            <w:shd w:fill="CCEEFF" w:val="clear"/>
            <w:vAlign w:val="bottom"/>
          </w:tcPr>
          <w:p>
            <w:pPr>
              <w:pStyle w:val="TableContents"/>
              <w:spacing w:before="0" w:after="0"/>
              <w:ind w:left="225" w:right="0" w:hanging="225"/>
              <w:rPr/>
            </w:pPr>
            <w:r>
              <w:rPr/>
              <w:t>Net rent expense</w:t>
            </w:r>
          </w:p>
        </w:tc>
        <w:tc>
          <w:tcPr>
            <w:tcW w:w="43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46,569</w:t>
            </w:r>
          </w:p>
        </w:tc>
        <w:tc>
          <w:tcPr>
            <w:tcW w:w="139"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39,262</w:t>
            </w:r>
          </w:p>
        </w:tc>
        <w:tc>
          <w:tcPr>
            <w:tcW w:w="139"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34,924</w:t>
            </w:r>
          </w:p>
        </w:tc>
        <w:tc>
          <w:tcPr>
            <w:tcW w:w="138" w:type="dxa"/>
            <w:tcBorders/>
            <w:shd w:fill="CCEEFF" w:val="clear"/>
            <w:vAlign w:val="bottom"/>
          </w:tcPr>
          <w:p>
            <w:pPr>
              <w:pStyle w:val="TableContents"/>
              <w:spacing w:before="0" w:after="283"/>
              <w:rPr/>
            </w:pPr>
            <w:r>
              <w:rPr/>
              <w:t> </w:t>
            </w:r>
          </w:p>
        </w:tc>
      </w:tr>
      <w:tr>
        <w:trPr/>
        <w:tc>
          <w:tcPr>
            <w:tcW w:w="5490"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9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9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9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Prior to fiscal 2008, we completed several sale-leaseback transactions of previously owned facilities. Losses on sales were recognized immediately, and gains were deferred and are being amortized as a reduction of lease expense over the terms of the related leases. The remaining unamortized long-term portion of these deferred gains, amounting to $2.1 million at September 30, 2011, is included in Deferred gains and other long-term liabilities in our consolidated balance sheet. The short-term portion, included in Accounts payable and other accrued expenses was $0.4 million at September 30, 2011. Future rentals on these sale-leasebacks are included in the above schedule of future minimum rentals. Terms of these leases are consistent with the terms on our other lease agreements.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M: Employment Agreements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January 1, 2009, we entered into an Employment and Compensation Agreement with Joseph L. Rotunda, who was our Chief Executive Officer at the time. That agreement expired on October 8, 2010, and Mr. Rotunda retired from his positions as Chief Executive Officer and a member of the Board of Directors on October 31, 2010. The agreement provided Mr. Rotunda with certain severance and termination benefits if he served the full term of the agreement (through October 8, 2010). These benefits included (1) a cash payment in an amount equal to one years base salary plus his most recent annual incentive bonus award (total of approximately $3.4 million, payable on January 7, 2011) and (2) a five-year consulting agreement that provides for the following: an annual consulting fee of $500,000; an annual incentive bonus with a target amount equal to 50% of the annual fee and a maximum amount equal to 100% of the annual fee; and reimbursement of reasonable business expenses. The company has also agreed to continue the healthcare benefits for Mr. Rotunda during the term of the consulting agreement. If the consulting agreement is terminated by reason of Mr. Rotundas death or disability, he will be entitled to payment of an amount equal to one years annual consulting fee plus one year of incentive bonus (calculated at the target amount) and continuation of healthcare benefits for Mr. Rotunda and/or his spouse (as applicable)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one year. In addition, if the company terminates the consulting agreement (other than due to a material breach by Mr. Rotunda) or Mr. Rotunda terminates the consulting agreement because of a material breach by the company, then the company will pay Mr. Rotunda an amount of cash equal to all annual consulting fees that would have been payable to Mr. Rotunda had the agreement continued until the expiration of the five-year term, plus an additional $500,000 in lieu of subsequent annual incentive bonuses, and shall continue to provide the healthcare benefits for Mr. Rotunda until the expiration of the five-year term.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October 8, 2010, the Board of Directors, acting pursuant to the terms of the applicable restricted stock award agreement and with the recommendation of the Compensation Committee, determined that Mr. Rotunda had satisfied the specified conditions for the accelerated vesting of all his unvested restricted stock (having served the full term of his employment agreement and successfully implemented a transition plan to a new Chief Executive Officer) and approved the vesting of the remaining 756,000 unvested shares on October 31, 2010, the effective date of Mr. Rotundas retirement.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August 3, 2009, we entered into an employment agreement with Paul E. Rothamel, who became President in February 2010 and Chief Executive Officer on November 1, 2010. The agreement provides for certain benefits (principally, a payment equal to one year of then-current base salary) if (a) Mr. Rothamel terminates his employment for good reason (including a change in control), (b) we terminate Mr. Rothamels employment without cause, or (c) Mr. Rothamel dies or becomes totally and permanently disabled during his active employment. Mr. Rothamel is subject to confidentiality obligations and, for a period of two years following the termination of his employment, is prohibited from competing with us, soliciting our customers or soliciting our employees. The agreement had an initial term of two years, which expired on August 3, 2011, but under its terms, has been renewed for an additional one-year term and will continue to be renewed for successive one-year terms unless either party gives 90-days notice to terminate.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provides the following additional severance or change-in-control benefits to its executive officers: </w:t>
      </w:r>
    </w:p>
    <w:tbl>
      <w:tblPr>
        <w:tblW w:w="5000" w:type="pct"/>
        <w:jc w:val="left"/>
        <w:tblInd w:w="0" w:type="dxa"/>
        <w:tblCellMar>
          <w:top w:w="0" w:type="dxa"/>
          <w:left w:w="0" w:type="dxa"/>
          <w:bottom w:w="0" w:type="dxa"/>
          <w:right w:w="0" w:type="dxa"/>
        </w:tblCellMar>
      </w:tblPr>
      <w:tblGrid>
        <w:gridCol w:w="205"/>
        <w:gridCol w:w="102"/>
        <w:gridCol w:w="9898"/>
      </w:tblGrid>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The terms of employment for certain of our executive officers provide that the executive officer will receive salary continuation for one year if his or her employment is terminated by the company without cause.</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Sterling B. Brinkley, Chairman of the Board, received a restricted stock award on October 2, 2006 that provides for accelerated vesting of some or all of the unvested shares under certain circumstances, including death or disability, failure to be re-elected to his current position or termination of employment without cause.</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283"/>
              <w:rPr/>
            </w:pPr>
            <w:r>
              <w:rPr/>
              <w:t>Generally, restricted stock awards, including those granted to the executive officers, provide for accelerated vesting of some or all of the unvested shares in the event of the holders death or disability.</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N: Retirement Plans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sponsor a 401(k) retirement savings plan under which eligible employees may contribute a portion of pre-tax earnings. In our sole discretion, we may match employee contributions in the form of our Class A Common Stock. A participant vests in the matching contributions pro rata over their first four years of service and is 100% vested in all matching contributions after four years of service.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matching contribution information to our 401(k) Plan: </w:t>
      </w:r>
    </w:p>
    <w:tbl>
      <w:tblPr>
        <w:tblW w:w="5000" w:type="pct"/>
        <w:jc w:val="center"/>
        <w:tblInd w:w="0" w:type="dxa"/>
        <w:tblCellMar>
          <w:top w:w="0" w:type="dxa"/>
          <w:left w:w="0" w:type="dxa"/>
          <w:bottom w:w="0" w:type="dxa"/>
          <w:right w:w="0" w:type="dxa"/>
        </w:tblCellMar>
      </w:tblPr>
      <w:tblGrid>
        <w:gridCol w:w="4780"/>
        <w:gridCol w:w="356"/>
        <w:gridCol w:w="274"/>
        <w:gridCol w:w="886"/>
        <w:gridCol w:w="152"/>
        <w:gridCol w:w="397"/>
        <w:gridCol w:w="372"/>
        <w:gridCol w:w="1153"/>
        <w:gridCol w:w="152"/>
        <w:gridCol w:w="397"/>
        <w:gridCol w:w="274"/>
        <w:gridCol w:w="892"/>
        <w:gridCol w:w="120"/>
      </w:tblGrid>
      <w:tr>
        <w:trPr/>
        <w:tc>
          <w:tcPr>
            <w:tcW w:w="478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4949"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20" w:type="dxa"/>
            <w:tcBorders/>
            <w:shd w:fill="auto"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16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5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52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5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16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525" w:type="dxa"/>
            <w:gridSpan w:val="2"/>
            <w:tcBorders/>
            <w:shd w:fill="auto" w:val="clear"/>
            <w:vAlign w:val="bottom"/>
          </w:tcPr>
          <w:p>
            <w:pPr>
              <w:pStyle w:val="TableContents"/>
              <w:spacing w:before="0" w:after="283"/>
              <w:jc w:val="center"/>
              <w:rPr>
                <w:i/>
              </w:rPr>
            </w:pPr>
            <w:r>
              <w:rPr>
                <w:i/>
              </w:rPr>
              <w:t>(In thousands)</w:t>
            </w:r>
          </w:p>
        </w:tc>
        <w:tc>
          <w:tcPr>
            <w:tcW w:w="15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4780" w:type="dxa"/>
            <w:tcBorders/>
            <w:shd w:fill="CCEEFF" w:val="clear"/>
            <w:vAlign w:val="bottom"/>
          </w:tcPr>
          <w:p>
            <w:pPr>
              <w:pStyle w:val="TableContents"/>
              <w:spacing w:before="0" w:after="0"/>
              <w:ind w:left="225" w:right="0" w:hanging="225"/>
              <w:rPr/>
            </w:pPr>
            <w:r>
              <w:rPr/>
              <w:t>Matching contributions to EZCORP 401(k) Plan</w:t>
            </w:r>
          </w:p>
        </w:tc>
        <w:tc>
          <w:tcPr>
            <w:tcW w:w="35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left"/>
              <w:rPr/>
            </w:pPr>
            <w:r>
              <w:rPr/>
              <w:t>$</w:t>
            </w:r>
          </w:p>
        </w:tc>
        <w:tc>
          <w:tcPr>
            <w:tcW w:w="886" w:type="dxa"/>
            <w:tcBorders/>
            <w:shd w:fill="CCEEFF" w:val="clear"/>
            <w:vAlign w:val="bottom"/>
          </w:tcPr>
          <w:p>
            <w:pPr>
              <w:pStyle w:val="TableContents"/>
              <w:spacing w:before="0" w:after="283"/>
              <w:jc w:val="right"/>
              <w:rPr/>
            </w:pPr>
            <w:r>
              <w:rPr/>
              <w:t>377</w:t>
            </w:r>
          </w:p>
        </w:tc>
        <w:tc>
          <w:tcPr>
            <w:tcW w:w="15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jc w:val="left"/>
              <w:rPr/>
            </w:pPr>
            <w:r>
              <w:rPr/>
              <w:t>$</w:t>
            </w:r>
          </w:p>
        </w:tc>
        <w:tc>
          <w:tcPr>
            <w:tcW w:w="1153" w:type="dxa"/>
            <w:tcBorders/>
            <w:shd w:fill="CCEEFF" w:val="clear"/>
            <w:vAlign w:val="bottom"/>
          </w:tcPr>
          <w:p>
            <w:pPr>
              <w:pStyle w:val="TableContents"/>
              <w:spacing w:before="0" w:after="283"/>
              <w:jc w:val="right"/>
              <w:rPr/>
            </w:pPr>
            <w:r>
              <w:rPr/>
              <w:t>260</w:t>
            </w:r>
          </w:p>
        </w:tc>
        <w:tc>
          <w:tcPr>
            <w:tcW w:w="15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178</w:t>
            </w:r>
          </w:p>
        </w:tc>
        <w:tc>
          <w:tcPr>
            <w:tcW w:w="120" w:type="dxa"/>
            <w:tcBorders/>
            <w:shd w:fill="CCEEFF"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0"/>
              <w:ind w:left="225" w:right="0" w:hanging="225"/>
              <w:rPr/>
            </w:pPr>
            <w:r>
              <w:rPr/>
              <w:t>Matching contributions to Value Financial Services 401(k) Plan</w:t>
            </w:r>
          </w:p>
        </w:tc>
        <w:tc>
          <w:tcPr>
            <w:tcW w:w="35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w:t>
            </w:r>
          </w:p>
        </w:tc>
        <w:tc>
          <w:tcPr>
            <w:tcW w:w="15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spacing w:before="0" w:after="283"/>
              <w:jc w:val="right"/>
              <w:rPr/>
            </w:pPr>
            <w:r>
              <w:rPr/>
              <w:t></w:t>
            </w:r>
          </w:p>
        </w:tc>
        <w:tc>
          <w:tcPr>
            <w:tcW w:w="152"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97</w:t>
            </w:r>
          </w:p>
        </w:tc>
        <w:tc>
          <w:tcPr>
            <w:tcW w:w="120" w:type="dxa"/>
            <w:tcBorders/>
            <w:shd w:fill="auto" w:val="clear"/>
            <w:vAlign w:val="bottom"/>
          </w:tcPr>
          <w:p>
            <w:pPr>
              <w:pStyle w:val="TableContents"/>
              <w:spacing w:before="0" w:after="283"/>
              <w:rPr/>
            </w:pPr>
            <w:r>
              <w:rPr/>
              <w:t> </w:t>
            </w:r>
          </w:p>
        </w:tc>
      </w:tr>
      <w:tr>
        <w:trPr/>
        <w:tc>
          <w:tcPr>
            <w:tcW w:w="4780" w:type="dxa"/>
            <w:tcBorders/>
            <w:shd w:fill="auto" w:val="clear"/>
            <w:vAlign w:val="center"/>
          </w:tcPr>
          <w:p>
            <w:pPr>
              <w:pStyle w:val="TableContents"/>
              <w:spacing w:before="0" w:after="0"/>
              <w:ind w:left="225" w:right="0" w:hanging="225"/>
              <w:rPr/>
            </w:pPr>
            <w:r>
              <w:rPr/>
              <w:t> </w:t>
            </w:r>
          </w:p>
        </w:tc>
        <w:tc>
          <w:tcPr>
            <w:tcW w:w="356" w:type="dxa"/>
            <w:tcBorders/>
            <w:shd w:fill="auto" w:val="clear"/>
            <w:vAlign w:val="center"/>
          </w:tcPr>
          <w:p>
            <w:pPr>
              <w:pStyle w:val="TableContents"/>
              <w:spacing w:before="0" w:after="283"/>
              <w:rPr/>
            </w:pPr>
            <w:r>
              <w:rPr/>
              <w:t> </w:t>
            </w:r>
          </w:p>
        </w:tc>
        <w:tc>
          <w:tcPr>
            <w:tcW w:w="11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4780" w:type="dxa"/>
            <w:tcBorders/>
            <w:shd w:fill="CCEEFF" w:val="clear"/>
            <w:vAlign w:val="bottom"/>
          </w:tcPr>
          <w:p>
            <w:pPr>
              <w:pStyle w:val="TableContents"/>
              <w:spacing w:before="0" w:after="0"/>
              <w:ind w:left="225" w:right="0" w:hanging="225"/>
              <w:rPr/>
            </w:pPr>
            <w:r>
              <w:rPr/>
              <w:t>Total Matching contributions</w:t>
            </w:r>
          </w:p>
        </w:tc>
        <w:tc>
          <w:tcPr>
            <w:tcW w:w="35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left"/>
              <w:rPr/>
            </w:pPr>
            <w:r>
              <w:rPr/>
              <w:t>$</w:t>
            </w:r>
          </w:p>
        </w:tc>
        <w:tc>
          <w:tcPr>
            <w:tcW w:w="886" w:type="dxa"/>
            <w:tcBorders/>
            <w:shd w:fill="CCEEFF" w:val="clear"/>
            <w:vAlign w:val="bottom"/>
          </w:tcPr>
          <w:p>
            <w:pPr>
              <w:pStyle w:val="TableContents"/>
              <w:spacing w:before="0" w:after="283"/>
              <w:jc w:val="right"/>
              <w:rPr/>
            </w:pPr>
            <w:r>
              <w:rPr/>
              <w:t>377</w:t>
            </w:r>
          </w:p>
        </w:tc>
        <w:tc>
          <w:tcPr>
            <w:tcW w:w="15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jc w:val="left"/>
              <w:rPr/>
            </w:pPr>
            <w:r>
              <w:rPr/>
              <w:t>$</w:t>
            </w:r>
          </w:p>
        </w:tc>
        <w:tc>
          <w:tcPr>
            <w:tcW w:w="1153" w:type="dxa"/>
            <w:tcBorders/>
            <w:shd w:fill="CCEEFF" w:val="clear"/>
            <w:vAlign w:val="bottom"/>
          </w:tcPr>
          <w:p>
            <w:pPr>
              <w:pStyle w:val="TableContents"/>
              <w:spacing w:before="0" w:after="283"/>
              <w:jc w:val="right"/>
              <w:rPr/>
            </w:pPr>
            <w:r>
              <w:rPr/>
              <w:t>260</w:t>
            </w:r>
          </w:p>
        </w:tc>
        <w:tc>
          <w:tcPr>
            <w:tcW w:w="152"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275</w:t>
            </w:r>
          </w:p>
        </w:tc>
        <w:tc>
          <w:tcPr>
            <w:tcW w:w="120" w:type="dxa"/>
            <w:tcBorders/>
            <w:shd w:fill="CCEEFF" w:val="clear"/>
            <w:vAlign w:val="bottom"/>
          </w:tcPr>
          <w:p>
            <w:pPr>
              <w:pStyle w:val="TableContents"/>
              <w:spacing w:before="0" w:after="283"/>
              <w:rPr/>
            </w:pPr>
            <w:r>
              <w:rPr/>
              <w:t> </w:t>
            </w:r>
          </w:p>
        </w:tc>
      </w:tr>
      <w:tr>
        <w:trPr/>
        <w:tc>
          <w:tcPr>
            <w:tcW w:w="4780" w:type="dxa"/>
            <w:tcBorders/>
            <w:shd w:fill="auto" w:val="clear"/>
            <w:vAlign w:val="center"/>
          </w:tcPr>
          <w:p>
            <w:pPr>
              <w:pStyle w:val="TableContents"/>
              <w:spacing w:before="0" w:after="0"/>
              <w:ind w:left="225" w:right="0" w:hanging="225"/>
              <w:rPr/>
            </w:pPr>
            <w:r>
              <w:rPr/>
              <w:t> </w:t>
            </w:r>
          </w:p>
        </w:tc>
        <w:tc>
          <w:tcPr>
            <w:tcW w:w="356" w:type="dxa"/>
            <w:tcBorders/>
            <w:shd w:fill="auto" w:val="clear"/>
            <w:vAlign w:val="center"/>
          </w:tcPr>
          <w:p>
            <w:pPr>
              <w:pStyle w:val="TableContents"/>
              <w:spacing w:before="0" w:after="283"/>
              <w:rPr/>
            </w:pPr>
            <w:r>
              <w:rPr/>
              <w:t> </w:t>
            </w:r>
          </w:p>
        </w:tc>
        <w:tc>
          <w:tcPr>
            <w:tcW w:w="11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5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1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provide a non-qualified Supplemental Executive Retirement Plan for selected executives. Funds in the Supplemental Executive Retirement Plan vest over three years from the grant date, with one-third vesting each year. All of a participants Supplemental Executive Retirement Plan funds from all grants vest 100% in the event of the participants death or disability or the termination of the plan due to a change in control. In addition, the Supplemental Executive Retirement Plan funds are 100% vested when a participant attains his or her normal retirement age (60 years old and five years of active service) while actively employed by us. Expense of contributions to the Supplemental Executive Retirement Plan is recognized based on the vesting schedule.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provides contribution and amortized expense amounts related to the Supplemental Executive Retirement Plan: </w:t>
      </w:r>
    </w:p>
    <w:tbl>
      <w:tblPr>
        <w:tblW w:w="5000" w:type="pct"/>
        <w:jc w:val="center"/>
        <w:tblInd w:w="0" w:type="dxa"/>
        <w:tblCellMar>
          <w:top w:w="0" w:type="dxa"/>
          <w:left w:w="0" w:type="dxa"/>
          <w:bottom w:w="0" w:type="dxa"/>
          <w:right w:w="0" w:type="dxa"/>
        </w:tblCellMar>
      </w:tblPr>
      <w:tblGrid>
        <w:gridCol w:w="4790"/>
        <w:gridCol w:w="353"/>
        <w:gridCol w:w="274"/>
        <w:gridCol w:w="886"/>
        <w:gridCol w:w="152"/>
        <w:gridCol w:w="394"/>
        <w:gridCol w:w="373"/>
        <w:gridCol w:w="1154"/>
        <w:gridCol w:w="152"/>
        <w:gridCol w:w="394"/>
        <w:gridCol w:w="274"/>
        <w:gridCol w:w="892"/>
        <w:gridCol w:w="117"/>
      </w:tblGrid>
      <w:tr>
        <w:trPr/>
        <w:tc>
          <w:tcPr>
            <w:tcW w:w="479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4945"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17"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16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52"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52"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16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7"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7" w:type="dxa"/>
            <w:gridSpan w:val="2"/>
            <w:tcBorders/>
            <w:shd w:fill="auto" w:val="clear"/>
            <w:vAlign w:val="bottom"/>
          </w:tcPr>
          <w:p>
            <w:pPr>
              <w:pStyle w:val="TableContents"/>
              <w:spacing w:before="0" w:after="283"/>
              <w:jc w:val="center"/>
              <w:rPr>
                <w:i/>
              </w:rPr>
            </w:pPr>
            <w:r>
              <w:rPr>
                <w:i/>
              </w:rPr>
              <w:t>(In thousands)</w:t>
            </w:r>
          </w:p>
        </w:tc>
        <w:tc>
          <w:tcPr>
            <w:tcW w:w="152"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0"/>
              <w:ind w:left="225" w:right="0" w:hanging="225"/>
              <w:rPr/>
            </w:pPr>
            <w:r>
              <w:rPr/>
              <w:t>Contributions to the Supplemental Executive Retirement Plan</w:t>
            </w:r>
          </w:p>
        </w:tc>
        <w:tc>
          <w:tcPr>
            <w:tcW w:w="35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701</w:t>
            </w:r>
          </w:p>
        </w:tc>
        <w:tc>
          <w:tcPr>
            <w:tcW w:w="152"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jc w:val="left"/>
              <w:rPr/>
            </w:pPr>
            <w:r>
              <w:rPr/>
              <w:t>$</w:t>
            </w:r>
          </w:p>
        </w:tc>
        <w:tc>
          <w:tcPr>
            <w:tcW w:w="1154" w:type="dxa"/>
            <w:tcBorders/>
            <w:shd w:fill="auto" w:val="clear"/>
            <w:vAlign w:val="bottom"/>
          </w:tcPr>
          <w:p>
            <w:pPr>
              <w:pStyle w:val="TableContents"/>
              <w:spacing w:before="0" w:after="283"/>
              <w:jc w:val="right"/>
              <w:rPr/>
            </w:pPr>
            <w:r>
              <w:rPr/>
              <w:t>746</w:t>
            </w:r>
          </w:p>
        </w:tc>
        <w:tc>
          <w:tcPr>
            <w:tcW w:w="152"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579</w:t>
            </w:r>
          </w:p>
        </w:tc>
        <w:tc>
          <w:tcPr>
            <w:tcW w:w="117"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0"/>
              <w:ind w:left="225" w:right="0" w:hanging="225"/>
              <w:rPr/>
            </w:pPr>
            <w:r>
              <w:rPr/>
              <w:t>Amortized expense due to Supplemental Executive Retirement Plan</w:t>
            </w:r>
          </w:p>
        </w:tc>
        <w:tc>
          <w:tcPr>
            <w:tcW w:w="353"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526</w:t>
            </w:r>
          </w:p>
        </w:tc>
        <w:tc>
          <w:tcPr>
            <w:tcW w:w="152"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jc w:val="left"/>
              <w:rPr/>
            </w:pPr>
            <w:r>
              <w:rPr/>
              <w:t>$</w:t>
            </w:r>
          </w:p>
        </w:tc>
        <w:tc>
          <w:tcPr>
            <w:tcW w:w="1154" w:type="dxa"/>
            <w:tcBorders/>
            <w:shd w:fill="auto" w:val="clear"/>
            <w:vAlign w:val="bottom"/>
          </w:tcPr>
          <w:p>
            <w:pPr>
              <w:pStyle w:val="TableContents"/>
              <w:spacing w:before="0" w:after="283"/>
              <w:jc w:val="right"/>
              <w:rPr/>
            </w:pPr>
            <w:r>
              <w:rPr/>
              <w:t>562</w:t>
            </w:r>
          </w:p>
        </w:tc>
        <w:tc>
          <w:tcPr>
            <w:tcW w:w="152"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463</w:t>
            </w:r>
          </w:p>
        </w:tc>
        <w:tc>
          <w:tcPr>
            <w:tcW w:w="117"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O: Contingencies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P: Quarterly Information (Unaudited)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210"/>
        <w:gridCol w:w="258"/>
        <w:gridCol w:w="193"/>
        <w:gridCol w:w="1079"/>
        <w:gridCol w:w="91"/>
        <w:gridCol w:w="258"/>
        <w:gridCol w:w="229"/>
        <w:gridCol w:w="1281"/>
        <w:gridCol w:w="91"/>
        <w:gridCol w:w="258"/>
        <w:gridCol w:w="206"/>
        <w:gridCol w:w="1152"/>
        <w:gridCol w:w="91"/>
        <w:gridCol w:w="258"/>
        <w:gridCol w:w="219"/>
        <w:gridCol w:w="1229"/>
        <w:gridCol w:w="102"/>
      </w:tblGrid>
      <w:tr>
        <w:trPr/>
        <w:tc>
          <w:tcPr>
            <w:tcW w:w="321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gridSpan w:val="2"/>
            <w:tcBorders>
              <w:bottom w:val="single" w:sz="2" w:space="0" w:color="000000"/>
            </w:tcBorders>
            <w:shd w:fill="auto" w:val="clear"/>
            <w:tcMar>
              <w:bottom w:w="28" w:type="dxa"/>
            </w:tcMar>
            <w:vAlign w:val="bottom"/>
          </w:tcPr>
          <w:p>
            <w:pPr>
              <w:pStyle w:val="TableContents"/>
              <w:spacing w:before="0" w:after="283"/>
              <w:jc w:val="center"/>
              <w:rPr/>
            </w:pPr>
            <w:r>
              <w:rPr/>
              <w:t>First Quarter</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510" w:type="dxa"/>
            <w:gridSpan w:val="2"/>
            <w:tcBorders>
              <w:bottom w:val="single" w:sz="2" w:space="0" w:color="000000"/>
            </w:tcBorders>
            <w:shd w:fill="auto" w:val="clear"/>
            <w:tcMar>
              <w:bottom w:w="28" w:type="dxa"/>
            </w:tcMar>
            <w:vAlign w:val="bottom"/>
          </w:tcPr>
          <w:p>
            <w:pPr>
              <w:pStyle w:val="TableContents"/>
              <w:spacing w:before="0" w:after="283"/>
              <w:jc w:val="center"/>
              <w:rPr/>
            </w:pPr>
            <w:r>
              <w:rPr/>
              <w:t>Second Quarter</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358" w:type="dxa"/>
            <w:gridSpan w:val="2"/>
            <w:tcBorders>
              <w:bottom w:val="single" w:sz="2" w:space="0" w:color="000000"/>
            </w:tcBorders>
            <w:shd w:fill="auto" w:val="clear"/>
            <w:tcMar>
              <w:bottom w:w="28" w:type="dxa"/>
            </w:tcMar>
            <w:vAlign w:val="bottom"/>
          </w:tcPr>
          <w:p>
            <w:pPr>
              <w:pStyle w:val="TableContents"/>
              <w:spacing w:before="0" w:after="283"/>
              <w:jc w:val="center"/>
              <w:rPr/>
            </w:pPr>
            <w:r>
              <w:rPr/>
              <w:t>Third Quarter</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448" w:type="dxa"/>
            <w:gridSpan w:val="2"/>
            <w:tcBorders>
              <w:bottom w:val="single" w:sz="2" w:space="0" w:color="000000"/>
            </w:tcBorders>
            <w:shd w:fill="auto" w:val="clear"/>
            <w:tcMar>
              <w:bottom w:w="28" w:type="dxa"/>
            </w:tcMar>
            <w:vAlign w:val="bottom"/>
          </w:tcPr>
          <w:p>
            <w:pPr>
              <w:pStyle w:val="TableContents"/>
              <w:spacing w:before="0" w:after="283"/>
              <w:jc w:val="center"/>
              <w:rPr/>
            </w:pPr>
            <w:r>
              <w:rPr/>
              <w:t>Fourth Quarter</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6635" w:type="dxa"/>
            <w:gridSpan w:val="14"/>
            <w:tcBorders/>
            <w:shd w:fill="auto" w:val="clear"/>
            <w:vAlign w:val="bottom"/>
          </w:tcPr>
          <w:p>
            <w:pPr>
              <w:pStyle w:val="TableContents"/>
              <w:spacing w:before="0" w:after="283"/>
              <w:jc w:val="center"/>
              <w:rPr>
                <w:i/>
              </w:rPr>
            </w:pPr>
            <w:r>
              <w:rPr>
                <w:i/>
              </w:rPr>
              <w:t>(In thousands, except per share amounts)</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b/>
              </w:rPr>
            </w:pPr>
            <w:r>
              <w:rPr>
                <w:b/>
              </w:rPr>
              <w:t>Year Ended September 30, 2011</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8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Total revenues</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218,826</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281" w:type="dxa"/>
            <w:tcBorders/>
            <w:shd w:fill="auto" w:val="clear"/>
            <w:vAlign w:val="bottom"/>
          </w:tcPr>
          <w:p>
            <w:pPr>
              <w:pStyle w:val="TableContents"/>
              <w:spacing w:before="0" w:after="283"/>
              <w:jc w:val="right"/>
              <w:rPr/>
            </w:pPr>
            <w:r>
              <w:rPr/>
              <w:t>213,254</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52" w:type="dxa"/>
            <w:tcBorders/>
            <w:shd w:fill="auto" w:val="clear"/>
            <w:vAlign w:val="bottom"/>
          </w:tcPr>
          <w:p>
            <w:pPr>
              <w:pStyle w:val="TableContents"/>
              <w:spacing w:before="0" w:after="283"/>
              <w:jc w:val="right"/>
              <w:rPr/>
            </w:pPr>
            <w:r>
              <w:rPr/>
              <w:t>203,152</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1229" w:type="dxa"/>
            <w:tcBorders/>
            <w:shd w:fill="auto" w:val="clear"/>
            <w:vAlign w:val="bottom"/>
          </w:tcPr>
          <w:p>
            <w:pPr>
              <w:pStyle w:val="TableContents"/>
              <w:spacing w:before="0" w:after="283"/>
              <w:jc w:val="right"/>
              <w:rPr/>
            </w:pPr>
            <w:r>
              <w:rPr/>
              <w:t>234,085</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pPr>
            <w:r>
              <w:rPr/>
              <w:t>Net revenues</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134,232</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81" w:type="dxa"/>
            <w:tcBorders/>
            <w:shd w:fill="CCEEFF" w:val="clear"/>
            <w:vAlign w:val="bottom"/>
          </w:tcPr>
          <w:p>
            <w:pPr>
              <w:pStyle w:val="TableContents"/>
              <w:spacing w:before="0" w:after="283"/>
              <w:jc w:val="right"/>
              <w:rPr/>
            </w:pPr>
            <w:r>
              <w:rPr/>
              <w:t>130,950</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122,997</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jc w:val="right"/>
              <w:rPr/>
            </w:pPr>
            <w:r>
              <w:rPr/>
              <w:t>146,759</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Net income</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27,429</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jc w:val="right"/>
              <w:rPr/>
            </w:pPr>
            <w:r>
              <w:rPr/>
              <w:t>31,838</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26,527</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jc w:val="right"/>
              <w:rPr/>
            </w:pPr>
            <w:r>
              <w:rPr/>
              <w:t>36,365</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pPr>
            <w:r>
              <w:rPr/>
              <w:t>Earnings per common share:</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8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450" w:right="0" w:hanging="225"/>
              <w:rPr/>
            </w:pPr>
            <w:r>
              <w:rPr/>
              <w:t>Basic</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0.55</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281" w:type="dxa"/>
            <w:tcBorders/>
            <w:shd w:fill="auto" w:val="clear"/>
            <w:vAlign w:val="bottom"/>
          </w:tcPr>
          <w:p>
            <w:pPr>
              <w:pStyle w:val="TableContents"/>
              <w:spacing w:before="0" w:after="283"/>
              <w:jc w:val="right"/>
              <w:rPr/>
            </w:pPr>
            <w:r>
              <w:rPr/>
              <w:t>0.64</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52" w:type="dxa"/>
            <w:tcBorders/>
            <w:shd w:fill="auto" w:val="clear"/>
            <w:vAlign w:val="bottom"/>
          </w:tcPr>
          <w:p>
            <w:pPr>
              <w:pStyle w:val="TableContents"/>
              <w:spacing w:before="0" w:after="283"/>
              <w:jc w:val="right"/>
              <w:rPr/>
            </w:pPr>
            <w:r>
              <w:rPr/>
              <w:t>0.53</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1229" w:type="dxa"/>
            <w:tcBorders/>
            <w:shd w:fill="auto" w:val="clear"/>
            <w:vAlign w:val="bottom"/>
          </w:tcPr>
          <w:p>
            <w:pPr>
              <w:pStyle w:val="TableContents"/>
              <w:spacing w:before="0" w:after="283"/>
              <w:jc w:val="right"/>
              <w:rPr/>
            </w:pPr>
            <w:r>
              <w:rPr/>
              <w:t>0.73</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450" w:right="0" w:hanging="225"/>
              <w:rPr/>
            </w:pPr>
            <w:r>
              <w:rPr/>
              <w:t>Diluted</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0.55</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281" w:type="dxa"/>
            <w:tcBorders/>
            <w:shd w:fill="CCEEFF" w:val="clear"/>
            <w:vAlign w:val="bottom"/>
          </w:tcPr>
          <w:p>
            <w:pPr>
              <w:pStyle w:val="TableContents"/>
              <w:spacing w:before="0" w:after="283"/>
              <w:jc w:val="right"/>
              <w:rPr/>
            </w:pPr>
            <w:r>
              <w:rPr/>
              <w:t>0.63</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52" w:type="dxa"/>
            <w:tcBorders/>
            <w:shd w:fill="CCEEFF" w:val="clear"/>
            <w:vAlign w:val="bottom"/>
          </w:tcPr>
          <w:p>
            <w:pPr>
              <w:pStyle w:val="TableContents"/>
              <w:spacing w:before="0" w:after="283"/>
              <w:jc w:val="right"/>
              <w:rPr/>
            </w:pPr>
            <w:r>
              <w:rPr/>
              <w:t>0.53</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29" w:type="dxa"/>
            <w:tcBorders/>
            <w:shd w:fill="CCEEFF" w:val="clear"/>
            <w:vAlign w:val="bottom"/>
          </w:tcPr>
          <w:p>
            <w:pPr>
              <w:pStyle w:val="TableContents"/>
              <w:spacing w:before="0" w:after="283"/>
              <w:jc w:val="right"/>
              <w:rPr/>
            </w:pPr>
            <w:r>
              <w:rPr/>
              <w:t>0.72</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b/>
              </w:rPr>
            </w:pPr>
            <w:r>
              <w:rPr>
                <w:b/>
              </w:rPr>
              <w:t>Year Ended September 30, 2010</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pPr>
            <w:r>
              <w:rPr/>
              <w:t>Total revenues</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184,751</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281" w:type="dxa"/>
            <w:tcBorders/>
            <w:shd w:fill="CCEEFF" w:val="clear"/>
            <w:vAlign w:val="bottom"/>
          </w:tcPr>
          <w:p>
            <w:pPr>
              <w:pStyle w:val="TableContents"/>
              <w:spacing w:before="0" w:after="283"/>
              <w:jc w:val="right"/>
              <w:rPr/>
            </w:pPr>
            <w:r>
              <w:rPr/>
              <w:t>176,584</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52" w:type="dxa"/>
            <w:tcBorders/>
            <w:shd w:fill="CCEEFF" w:val="clear"/>
            <w:vAlign w:val="bottom"/>
          </w:tcPr>
          <w:p>
            <w:pPr>
              <w:pStyle w:val="TableContents"/>
              <w:spacing w:before="0" w:after="283"/>
              <w:jc w:val="right"/>
              <w:rPr/>
            </w:pPr>
            <w:r>
              <w:rPr/>
              <w:t>173,542</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29" w:type="dxa"/>
            <w:tcBorders/>
            <w:shd w:fill="CCEEFF" w:val="clear"/>
            <w:vAlign w:val="bottom"/>
          </w:tcPr>
          <w:p>
            <w:pPr>
              <w:pStyle w:val="TableContents"/>
              <w:spacing w:before="0" w:after="283"/>
              <w:jc w:val="right"/>
              <w:rPr/>
            </w:pPr>
            <w:r>
              <w:rPr/>
              <w:t>198,168</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Net revenues</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112,931</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jc w:val="right"/>
              <w:rPr/>
            </w:pPr>
            <w:r>
              <w:rPr/>
              <w:t>109,705</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104,804</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jc w:val="right"/>
              <w:rPr/>
            </w:pPr>
            <w:r>
              <w:rPr/>
              <w:t>120,039</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pPr>
            <w:r>
              <w:rPr/>
              <w:t>Net income</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25,707</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81" w:type="dxa"/>
            <w:tcBorders/>
            <w:shd w:fill="CCEEFF" w:val="clear"/>
            <w:vAlign w:val="bottom"/>
          </w:tcPr>
          <w:p>
            <w:pPr>
              <w:pStyle w:val="TableContents"/>
              <w:spacing w:before="0" w:after="283"/>
              <w:jc w:val="right"/>
              <w:rPr/>
            </w:pPr>
            <w:r>
              <w:rPr/>
              <w:t>23,773</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19,962</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jc w:val="right"/>
              <w:rPr/>
            </w:pPr>
            <w:r>
              <w:rPr/>
              <w:t>27,852</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Earnings per common share:</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450" w:right="0" w:hanging="225"/>
              <w:rPr/>
            </w:pPr>
            <w:r>
              <w:rPr/>
              <w:t>Basic</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0.53</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281" w:type="dxa"/>
            <w:tcBorders/>
            <w:shd w:fill="CCEEFF" w:val="clear"/>
            <w:vAlign w:val="bottom"/>
          </w:tcPr>
          <w:p>
            <w:pPr>
              <w:pStyle w:val="TableContents"/>
              <w:spacing w:before="0" w:after="283"/>
              <w:jc w:val="right"/>
              <w:rPr/>
            </w:pPr>
            <w:r>
              <w:rPr/>
              <w:t>0.49</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52" w:type="dxa"/>
            <w:tcBorders/>
            <w:shd w:fill="CCEEFF" w:val="clear"/>
            <w:vAlign w:val="bottom"/>
          </w:tcPr>
          <w:p>
            <w:pPr>
              <w:pStyle w:val="TableContents"/>
              <w:spacing w:before="0" w:after="283"/>
              <w:jc w:val="right"/>
              <w:rPr/>
            </w:pPr>
            <w:r>
              <w:rPr/>
              <w:t>0.41</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29" w:type="dxa"/>
            <w:tcBorders/>
            <w:shd w:fill="CCEEFF" w:val="clear"/>
            <w:vAlign w:val="bottom"/>
          </w:tcPr>
          <w:p>
            <w:pPr>
              <w:pStyle w:val="TableContents"/>
              <w:spacing w:before="0" w:after="283"/>
              <w:jc w:val="right"/>
              <w:rPr/>
            </w:pPr>
            <w:r>
              <w:rPr/>
              <w:t>0.57</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450" w:right="0" w:hanging="225"/>
              <w:rPr/>
            </w:pPr>
            <w:r>
              <w:rPr/>
              <w:t>Diluted</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0.52</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281" w:type="dxa"/>
            <w:tcBorders/>
            <w:shd w:fill="auto" w:val="clear"/>
            <w:vAlign w:val="bottom"/>
          </w:tcPr>
          <w:p>
            <w:pPr>
              <w:pStyle w:val="TableContents"/>
              <w:spacing w:before="0" w:after="283"/>
              <w:jc w:val="right"/>
              <w:rPr/>
            </w:pPr>
            <w:r>
              <w:rPr/>
              <w:t>0.48</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52" w:type="dxa"/>
            <w:tcBorders/>
            <w:shd w:fill="auto" w:val="clear"/>
            <w:vAlign w:val="bottom"/>
          </w:tcPr>
          <w:p>
            <w:pPr>
              <w:pStyle w:val="TableContents"/>
              <w:spacing w:before="0" w:after="283"/>
              <w:jc w:val="right"/>
              <w:rPr/>
            </w:pPr>
            <w:r>
              <w:rPr/>
              <w:t>0.40</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1229" w:type="dxa"/>
            <w:tcBorders/>
            <w:shd w:fill="auto" w:val="clear"/>
            <w:vAlign w:val="bottom"/>
          </w:tcPr>
          <w:p>
            <w:pPr>
              <w:pStyle w:val="TableContents"/>
              <w:spacing w:before="0" w:after="283"/>
              <w:jc w:val="right"/>
              <w:rPr/>
            </w:pPr>
            <w:r>
              <w:rPr/>
              <w:t>0.56</w:t>
            </w:r>
          </w:p>
        </w:tc>
        <w:tc>
          <w:tcPr>
            <w:tcW w:w="102"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Q: Comprehensive Income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presents the tax benefit (provision) of each component of comprehensive income: </w:t>
      </w:r>
    </w:p>
    <w:tbl>
      <w:tblPr>
        <w:tblW w:w="5000" w:type="pct"/>
        <w:jc w:val="center"/>
        <w:tblInd w:w="0" w:type="dxa"/>
        <w:tblCellMar>
          <w:top w:w="0" w:type="dxa"/>
          <w:left w:w="0" w:type="dxa"/>
          <w:bottom w:w="0" w:type="dxa"/>
          <w:right w:w="0" w:type="dxa"/>
        </w:tblCellMar>
      </w:tblPr>
      <w:tblGrid>
        <w:gridCol w:w="5393"/>
        <w:gridCol w:w="416"/>
        <w:gridCol w:w="190"/>
        <w:gridCol w:w="899"/>
        <w:gridCol w:w="153"/>
        <w:gridCol w:w="428"/>
        <w:gridCol w:w="190"/>
        <w:gridCol w:w="838"/>
        <w:gridCol w:w="124"/>
        <w:gridCol w:w="428"/>
        <w:gridCol w:w="190"/>
        <w:gridCol w:w="840"/>
        <w:gridCol w:w="116"/>
      </w:tblGrid>
      <w:tr>
        <w:trPr/>
        <w:tc>
          <w:tcPr>
            <w:tcW w:w="5393"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5393"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4280"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16" w:type="dxa"/>
            <w:tcBorders/>
            <w:shd w:fill="auto" w:val="clear"/>
            <w:vAlign w:val="bottom"/>
          </w:tcPr>
          <w:p>
            <w:pPr>
              <w:pStyle w:val="TableContents"/>
              <w:spacing w:before="0" w:after="283"/>
              <w:rPr/>
            </w:pPr>
            <w:r>
              <w:rPr/>
              <w:t> </w:t>
            </w:r>
          </w:p>
        </w:tc>
      </w:tr>
      <w:tr>
        <w:trPr/>
        <w:tc>
          <w:tcPr>
            <w:tcW w:w="5393"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0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5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02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4"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03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6" w:type="dxa"/>
            <w:tcBorders/>
            <w:shd w:fill="auto" w:val="clear"/>
            <w:vAlign w:val="bottom"/>
          </w:tcPr>
          <w:p>
            <w:pPr>
              <w:pStyle w:val="TableContents"/>
              <w:spacing w:before="0" w:after="283"/>
              <w:rPr/>
            </w:pPr>
            <w:r>
              <w:rPr/>
              <w:t> </w:t>
            </w:r>
          </w:p>
        </w:tc>
      </w:tr>
      <w:tr>
        <w:trPr/>
        <w:tc>
          <w:tcPr>
            <w:tcW w:w="5393" w:type="dxa"/>
            <w:tcBorders/>
            <w:shd w:fill="CCEEFF" w:val="clear"/>
            <w:vAlign w:val="bottom"/>
          </w:tcPr>
          <w:p>
            <w:pPr>
              <w:pStyle w:val="TableContents"/>
              <w:spacing w:before="0" w:after="0"/>
              <w:ind w:left="225" w:right="0" w:hanging="225"/>
              <w:rPr/>
            </w:pPr>
            <w:r>
              <w:rPr/>
              <w:t>Foreign currency translation tax benefit / (provision)</w:t>
            </w:r>
          </w:p>
        </w:tc>
        <w:tc>
          <w:tcPr>
            <w:tcW w:w="41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99" w:type="dxa"/>
            <w:tcBorders/>
            <w:shd w:fill="CCEEFF" w:val="clear"/>
            <w:vAlign w:val="bottom"/>
          </w:tcPr>
          <w:p>
            <w:pPr>
              <w:pStyle w:val="TableContents"/>
              <w:spacing w:before="0" w:after="283"/>
              <w:jc w:val="right"/>
              <w:rPr/>
            </w:pPr>
            <w:r>
              <w:rPr/>
              <w:t>(5,369</w:t>
            </w:r>
          </w:p>
        </w:tc>
        <w:tc>
          <w:tcPr>
            <w:tcW w:w="153" w:type="dxa"/>
            <w:tcBorders/>
            <w:shd w:fill="CCEEFF" w:val="clear"/>
            <w:vAlign w:val="bottom"/>
          </w:tcPr>
          <w:p>
            <w:pPr>
              <w:pStyle w:val="TableContents"/>
              <w:spacing w:before="0" w:after="283"/>
              <w:rPr/>
            </w:pPr>
            <w:r>
              <w:rPr/>
              <w:t>)</w:t>
            </w:r>
          </w:p>
        </w:tc>
        <w:tc>
          <w:tcPr>
            <w:tcW w:w="42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38" w:type="dxa"/>
            <w:tcBorders/>
            <w:shd w:fill="CCEEFF" w:val="clear"/>
            <w:vAlign w:val="bottom"/>
          </w:tcPr>
          <w:p>
            <w:pPr>
              <w:pStyle w:val="TableContents"/>
              <w:spacing w:before="0" w:after="283"/>
              <w:jc w:val="right"/>
              <w:rPr/>
            </w:pPr>
            <w:r>
              <w:rPr/>
              <w:t>1,918</w:t>
            </w:r>
          </w:p>
        </w:tc>
        <w:tc>
          <w:tcPr>
            <w:tcW w:w="124"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40" w:type="dxa"/>
            <w:tcBorders/>
            <w:shd w:fill="CCEEFF" w:val="clear"/>
            <w:vAlign w:val="bottom"/>
          </w:tcPr>
          <w:p>
            <w:pPr>
              <w:pStyle w:val="TableContents"/>
              <w:spacing w:before="0" w:after="283"/>
              <w:jc w:val="right"/>
              <w:rPr/>
            </w:pPr>
            <w:r>
              <w:rPr/>
              <w:t>1,598</w:t>
            </w:r>
          </w:p>
        </w:tc>
        <w:tc>
          <w:tcPr>
            <w:tcW w:w="116" w:type="dxa"/>
            <w:tcBorders/>
            <w:shd w:fill="CCEEFF" w:val="clear"/>
            <w:vAlign w:val="bottom"/>
          </w:tcPr>
          <w:p>
            <w:pPr>
              <w:pStyle w:val="TableContents"/>
              <w:spacing w:before="0" w:after="283"/>
              <w:rPr/>
            </w:pPr>
            <w:r>
              <w:rPr/>
              <w:t> </w:t>
            </w:r>
          </w:p>
        </w:tc>
      </w:tr>
      <w:tr>
        <w:trPr/>
        <w:tc>
          <w:tcPr>
            <w:tcW w:w="5393" w:type="dxa"/>
            <w:tcBorders/>
            <w:shd w:fill="auto" w:val="clear"/>
            <w:vAlign w:val="bottom"/>
          </w:tcPr>
          <w:p>
            <w:pPr>
              <w:pStyle w:val="TableContents"/>
              <w:spacing w:before="0" w:after="0"/>
              <w:ind w:left="225" w:right="0" w:hanging="225"/>
              <w:rPr/>
            </w:pPr>
            <w:r>
              <w:rPr/>
              <w:t>Available for sale securities tax benefit / (provision)</w:t>
            </w:r>
          </w:p>
        </w:tc>
        <w:tc>
          <w:tcPr>
            <w:tcW w:w="41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 </w:t>
            </w:r>
          </w:p>
        </w:tc>
        <w:tc>
          <w:tcPr>
            <w:tcW w:w="899" w:type="dxa"/>
            <w:tcBorders/>
            <w:shd w:fill="auto" w:val="clear"/>
            <w:vAlign w:val="bottom"/>
          </w:tcPr>
          <w:p>
            <w:pPr>
              <w:pStyle w:val="TableContents"/>
              <w:spacing w:before="0" w:after="283"/>
              <w:jc w:val="right"/>
              <w:rPr/>
            </w:pPr>
            <w:r>
              <w:rPr/>
              <w:t>(325</w:t>
            </w:r>
          </w:p>
        </w:tc>
        <w:tc>
          <w:tcPr>
            <w:tcW w:w="153" w:type="dxa"/>
            <w:tcBorders/>
            <w:shd w:fill="auto" w:val="clear"/>
            <w:vAlign w:val="bottom"/>
          </w:tcPr>
          <w:p>
            <w:pPr>
              <w:pStyle w:val="TableContents"/>
              <w:spacing w:before="0" w:after="283"/>
              <w:rPr/>
            </w:pPr>
            <w:r>
              <w:rPr/>
              <w:t>)</w:t>
            </w:r>
          </w:p>
        </w:tc>
        <w:tc>
          <w:tcPr>
            <w:tcW w:w="42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r>
      <w:tr>
        <w:trPr/>
        <w:tc>
          <w:tcPr>
            <w:tcW w:w="5393" w:type="dxa"/>
            <w:tcBorders/>
            <w:shd w:fill="auto" w:val="clear"/>
            <w:vAlign w:val="center"/>
          </w:tcPr>
          <w:p>
            <w:pPr>
              <w:pStyle w:val="TableContents"/>
              <w:spacing w:before="0" w:after="0"/>
              <w:ind w:left="225" w:right="0" w:hanging="225"/>
              <w:rPr/>
            </w:pPr>
            <w:r>
              <w:rPr/>
              <w:t> </w:t>
            </w:r>
          </w:p>
        </w:tc>
        <w:tc>
          <w:tcPr>
            <w:tcW w:w="416" w:type="dxa"/>
            <w:tcBorders/>
            <w:shd w:fill="auto" w:val="clear"/>
            <w:vAlign w:val="center"/>
          </w:tcPr>
          <w:p>
            <w:pPr>
              <w:pStyle w:val="TableContents"/>
              <w:spacing w:before="0" w:after="283"/>
              <w:rPr/>
            </w:pPr>
            <w:r>
              <w:rPr/>
              <w:t> </w:t>
            </w:r>
          </w:p>
        </w:tc>
        <w:tc>
          <w:tcPr>
            <w:tcW w:w="10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1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5393" w:type="dxa"/>
            <w:tcBorders/>
            <w:shd w:fill="CCEEFF" w:val="clear"/>
            <w:vAlign w:val="bottom"/>
          </w:tcPr>
          <w:p>
            <w:pPr>
              <w:pStyle w:val="TableContents"/>
              <w:spacing w:before="0" w:after="0"/>
              <w:ind w:left="225" w:right="0" w:hanging="225"/>
              <w:rPr/>
            </w:pPr>
            <w:r>
              <w:rPr/>
              <w:t>Total tax benefit / (provision)</w:t>
            </w:r>
          </w:p>
        </w:tc>
        <w:tc>
          <w:tcPr>
            <w:tcW w:w="41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99" w:type="dxa"/>
            <w:tcBorders/>
            <w:shd w:fill="CCEEFF" w:val="clear"/>
            <w:vAlign w:val="bottom"/>
          </w:tcPr>
          <w:p>
            <w:pPr>
              <w:pStyle w:val="TableContents"/>
              <w:spacing w:before="0" w:after="283"/>
              <w:jc w:val="right"/>
              <w:rPr/>
            </w:pPr>
            <w:r>
              <w:rPr/>
              <w:t>(5,694</w:t>
            </w:r>
          </w:p>
        </w:tc>
        <w:tc>
          <w:tcPr>
            <w:tcW w:w="153" w:type="dxa"/>
            <w:tcBorders/>
            <w:shd w:fill="CCEEFF" w:val="clear"/>
            <w:vAlign w:val="bottom"/>
          </w:tcPr>
          <w:p>
            <w:pPr>
              <w:pStyle w:val="TableContents"/>
              <w:spacing w:before="0" w:after="283"/>
              <w:rPr/>
            </w:pPr>
            <w:r>
              <w:rPr/>
              <w:t>)</w:t>
            </w:r>
          </w:p>
        </w:tc>
        <w:tc>
          <w:tcPr>
            <w:tcW w:w="42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38" w:type="dxa"/>
            <w:tcBorders/>
            <w:shd w:fill="CCEEFF" w:val="clear"/>
            <w:vAlign w:val="bottom"/>
          </w:tcPr>
          <w:p>
            <w:pPr>
              <w:pStyle w:val="TableContents"/>
              <w:spacing w:before="0" w:after="283"/>
              <w:jc w:val="right"/>
              <w:rPr/>
            </w:pPr>
            <w:r>
              <w:rPr/>
              <w:t>1,918</w:t>
            </w:r>
          </w:p>
        </w:tc>
        <w:tc>
          <w:tcPr>
            <w:tcW w:w="124"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40" w:type="dxa"/>
            <w:tcBorders/>
            <w:shd w:fill="CCEEFF" w:val="clear"/>
            <w:vAlign w:val="bottom"/>
          </w:tcPr>
          <w:p>
            <w:pPr>
              <w:pStyle w:val="TableContents"/>
              <w:spacing w:before="0" w:after="283"/>
              <w:jc w:val="right"/>
              <w:rPr/>
            </w:pPr>
            <w:r>
              <w:rPr/>
              <w:t>1,598</w:t>
            </w:r>
          </w:p>
        </w:tc>
        <w:tc>
          <w:tcPr>
            <w:tcW w:w="116" w:type="dxa"/>
            <w:tcBorders/>
            <w:shd w:fill="CCEEFF" w:val="clear"/>
            <w:vAlign w:val="bottom"/>
          </w:tcPr>
          <w:p>
            <w:pPr>
              <w:pStyle w:val="TableContents"/>
              <w:spacing w:before="0" w:after="283"/>
              <w:rPr/>
            </w:pPr>
            <w:r>
              <w:rPr/>
              <w:t> </w:t>
            </w:r>
          </w:p>
        </w:tc>
      </w:tr>
      <w:tr>
        <w:trPr/>
        <w:tc>
          <w:tcPr>
            <w:tcW w:w="5393" w:type="dxa"/>
            <w:tcBorders/>
            <w:shd w:fill="auto" w:val="clear"/>
            <w:vAlign w:val="center"/>
          </w:tcPr>
          <w:p>
            <w:pPr>
              <w:pStyle w:val="TableContents"/>
              <w:spacing w:before="0" w:after="0"/>
              <w:ind w:left="225" w:right="0" w:hanging="225"/>
              <w:rPr/>
            </w:pPr>
            <w:r>
              <w:rPr/>
              <w:t> </w:t>
            </w:r>
          </w:p>
        </w:tc>
        <w:tc>
          <w:tcPr>
            <w:tcW w:w="416" w:type="dxa"/>
            <w:tcBorders/>
            <w:shd w:fill="auto" w:val="clear"/>
            <w:vAlign w:val="center"/>
          </w:tcPr>
          <w:p>
            <w:pPr>
              <w:pStyle w:val="TableContents"/>
              <w:spacing w:before="0" w:after="283"/>
              <w:rPr/>
            </w:pPr>
            <w:r>
              <w:rPr/>
              <w:t> </w:t>
            </w:r>
          </w:p>
        </w:tc>
        <w:tc>
          <w:tcPr>
            <w:tcW w:w="10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10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R: Operating Segment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manage our business and internal reporting as three reportable segments with operating results reported separately for each segment. </w:t>
      </w:r>
    </w:p>
    <w:tbl>
      <w:tblPr>
        <w:tblW w:w="5000" w:type="pct"/>
        <w:jc w:val="left"/>
        <w:tblInd w:w="0" w:type="dxa"/>
        <w:tblCellMar>
          <w:top w:w="0" w:type="dxa"/>
          <w:left w:w="0" w:type="dxa"/>
          <w:bottom w:w="0" w:type="dxa"/>
          <w:right w:w="0" w:type="dxa"/>
        </w:tblCellMar>
      </w:tblPr>
      <w:tblGrid>
        <w:gridCol w:w="305"/>
        <w:gridCol w:w="204"/>
        <w:gridCol w:w="101"/>
        <w:gridCol w:w="9595"/>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U.S. Pawn Operations segment offers pawn related activities in our 433 U.S. pawn stores, offers signature loans in 43 pawn stores and six EZMONEY stores and offers auto title loans in 44 pawn stores.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Empeño Fácil segment offers pawn related activities in 178 Mexico pawn stores.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5"/>
        <w:gridCol w:w="204"/>
        <w:gridCol w:w="101"/>
        <w:gridCol w:w="9595"/>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EZMONEY Operations segment offers signature loans in 430 U.S. and 64 Canadian financial services stores. The segment offers auto title loans in 397 of its U.S. stores and buys and sells second-hand goods 15 of its Canadian stores.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are no inter-segment revenues, and the amounts below were determined in accordance with the same accounting principles used in our consolidated financial statements. The following tables present operating segment information: </w:t>
      </w:r>
    </w:p>
    <w:tbl>
      <w:tblPr>
        <w:tblW w:w="5000" w:type="pct"/>
        <w:jc w:val="center"/>
        <w:tblInd w:w="0" w:type="dxa"/>
        <w:tblCellMar>
          <w:top w:w="0" w:type="dxa"/>
          <w:left w:w="0" w:type="dxa"/>
          <w:bottom w:w="0" w:type="dxa"/>
          <w:right w:w="0" w:type="dxa"/>
        </w:tblCellMar>
      </w:tblPr>
      <w:tblGrid>
        <w:gridCol w:w="3893"/>
        <w:gridCol w:w="330"/>
        <w:gridCol w:w="172"/>
        <w:gridCol w:w="947"/>
        <w:gridCol w:w="101"/>
        <w:gridCol w:w="330"/>
        <w:gridCol w:w="160"/>
        <w:gridCol w:w="787"/>
        <w:gridCol w:w="101"/>
        <w:gridCol w:w="330"/>
        <w:gridCol w:w="190"/>
        <w:gridCol w:w="1051"/>
        <w:gridCol w:w="101"/>
        <w:gridCol w:w="329"/>
        <w:gridCol w:w="195"/>
        <w:gridCol w:w="1079"/>
        <w:gridCol w:w="109"/>
      </w:tblGrid>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spacing w:before="0" w:after="283"/>
              <w:jc w:val="center"/>
              <w:rPr/>
            </w:pPr>
            <w:r>
              <w:rPr/>
              <w:t>Empeño</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1"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1"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5873" w:type="dxa"/>
            <w:gridSpan w:val="14"/>
            <w:tcBorders/>
            <w:shd w:fill="auto" w:val="clear"/>
            <w:vAlign w:val="bottom"/>
          </w:tcPr>
          <w:p>
            <w:pPr>
              <w:pStyle w:val="TableContents"/>
              <w:spacing w:before="0" w:after="283"/>
              <w:jc w:val="center"/>
              <w:rPr>
                <w:i/>
              </w:rPr>
            </w:pPr>
            <w:r>
              <w:rPr>
                <w:i/>
              </w:rPr>
              <w:t>(In thousands)</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Year Ended September 30, 2011:</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Merchandise Sales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256,643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25,237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203</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282,083</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Jewelry Scrapping Sales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195,276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15,997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1,206</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212,479</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Pawn service charges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184,234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16,901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201,135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Signature loan fees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2,501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147,749</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150,250</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Auto title loan fees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1,539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20,162</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21,701</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Other</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634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122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913</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1,669</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Total revenues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640,827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58,257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170,233</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869,317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Merchandise cost of goods sold</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147,239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14,672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149</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162,060</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Jewelry scrapping cost of goods sold</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120,767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12,205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588</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133,560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Signature loan bad debt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923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35,405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36,328</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Auto title loan bad debt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165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2,266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2,431</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Net 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371,733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31,380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131,825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534,938</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Operations expense</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177,191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20,636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69,225</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267,052</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Store operating income</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194,542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10,744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51" w:type="dxa"/>
            <w:tcBorders/>
            <w:shd w:fill="auto" w:val="clear"/>
            <w:vAlign w:val="bottom"/>
          </w:tcPr>
          <w:p>
            <w:pPr>
              <w:pStyle w:val="TableContents"/>
              <w:spacing w:before="0" w:after="283"/>
              <w:jc w:val="right"/>
              <w:rPr/>
            </w:pPr>
            <w:r>
              <w:rPr/>
              <w:t>62,600</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267,886</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893"/>
        <w:gridCol w:w="330"/>
        <w:gridCol w:w="172"/>
        <w:gridCol w:w="947"/>
        <w:gridCol w:w="101"/>
        <w:gridCol w:w="330"/>
        <w:gridCol w:w="160"/>
        <w:gridCol w:w="787"/>
        <w:gridCol w:w="101"/>
        <w:gridCol w:w="330"/>
        <w:gridCol w:w="190"/>
        <w:gridCol w:w="1051"/>
        <w:gridCol w:w="101"/>
        <w:gridCol w:w="329"/>
        <w:gridCol w:w="195"/>
        <w:gridCol w:w="1079"/>
        <w:gridCol w:w="109"/>
      </w:tblGrid>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spacing w:before="0" w:after="283"/>
              <w:jc w:val="center"/>
              <w:rPr/>
            </w:pPr>
            <w:r>
              <w:rPr/>
              <w:t>Empeño</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1"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1"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5873" w:type="dxa"/>
            <w:gridSpan w:val="14"/>
            <w:tcBorders/>
            <w:shd w:fill="auto" w:val="clear"/>
            <w:vAlign w:val="bottom"/>
          </w:tcPr>
          <w:p>
            <w:pPr>
              <w:pStyle w:val="TableContents"/>
              <w:spacing w:before="0" w:after="283"/>
              <w:jc w:val="center"/>
              <w:rPr>
                <w:i/>
              </w:rPr>
            </w:pPr>
            <w:r>
              <w:rPr>
                <w:i/>
              </w:rPr>
              <w:t>(In thousands)</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Year Ended September 30, 2010:</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Merchandise Sales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226,424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14,030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240,454</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Jewelry scrapping Sales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163,667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7,389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355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171,411</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Pawn service charges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154,505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9,190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163,695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Signature loan fees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1,930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137,385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139,315</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Auto title loan fees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1,659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16,048</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17,707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Other</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442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21</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463</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Total revenues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548,627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30,609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153,809</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733,045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Merchandise cost of goods sold</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131,825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8,459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140,284</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Jewelry scrapping cost of goods sold</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104,531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6,137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170</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110,838</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Signature loan bad debt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641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31,068</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31,709</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Auto title loan bad debt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236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2,499</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2,735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Net 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311,394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16,013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120,072</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447,479</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Operations expense</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161,145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11,658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63,861</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236,664</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Store operating income</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150,249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4,355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51" w:type="dxa"/>
            <w:tcBorders/>
            <w:shd w:fill="auto" w:val="clear"/>
            <w:vAlign w:val="bottom"/>
          </w:tcPr>
          <w:p>
            <w:pPr>
              <w:pStyle w:val="TableContents"/>
              <w:spacing w:before="0" w:after="283"/>
              <w:jc w:val="right"/>
              <w:rPr/>
            </w:pPr>
            <w:r>
              <w:rPr/>
              <w:t>56,211</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210,815</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Year Ended September 30, 2009:</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Merchandise Sales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202,250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8,751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211,001</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Jewelry scrap Sales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117,013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1,900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9</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118,922</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Pawn service charges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124,396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5,773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130,169</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Signature loan fees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2,293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131,051</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133,344</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Auto title loan fees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1,313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2,276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3,589</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Other</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431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431</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Total revenues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447,696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16,424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133,336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597,456</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Merchandise cost of goods sold</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121,170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5,392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126,562</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Jewelry scraping cost of goods sold</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75,744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1,277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77,027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Signature loan bad debt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828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32,725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33,553</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Auto title loan bad debt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124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256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380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Net 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249,830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9,755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100,349</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359,934</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Operations expense</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140,525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5,833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59,879</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206,237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Store operating income</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109,305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3,922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51" w:type="dxa"/>
            <w:tcBorders/>
            <w:shd w:fill="auto" w:val="clear"/>
            <w:vAlign w:val="bottom"/>
          </w:tcPr>
          <w:p>
            <w:pPr>
              <w:pStyle w:val="TableContents"/>
              <w:spacing w:before="0" w:after="283"/>
              <w:jc w:val="right"/>
              <w:rPr/>
            </w:pPr>
            <w:r>
              <w:rPr/>
              <w:t>40,470</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153,697</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store operating income, as shown above, to our consolidated income before income taxes: </w:t>
      </w:r>
    </w:p>
    <w:tbl>
      <w:tblPr>
        <w:tblW w:w="5000" w:type="pct"/>
        <w:jc w:val="center"/>
        <w:tblInd w:w="0" w:type="dxa"/>
        <w:tblCellMar>
          <w:top w:w="0" w:type="dxa"/>
          <w:left w:w="0" w:type="dxa"/>
          <w:bottom w:w="0" w:type="dxa"/>
          <w:right w:w="0" w:type="dxa"/>
        </w:tblCellMar>
      </w:tblPr>
      <w:tblGrid>
        <w:gridCol w:w="5055"/>
        <w:gridCol w:w="369"/>
        <w:gridCol w:w="172"/>
        <w:gridCol w:w="938"/>
        <w:gridCol w:w="137"/>
        <w:gridCol w:w="371"/>
        <w:gridCol w:w="215"/>
        <w:gridCol w:w="1186"/>
        <w:gridCol w:w="137"/>
        <w:gridCol w:w="371"/>
        <w:gridCol w:w="171"/>
        <w:gridCol w:w="942"/>
        <w:gridCol w:w="141"/>
      </w:tblGrid>
      <w:tr>
        <w:trPr/>
        <w:tc>
          <w:tcPr>
            <w:tcW w:w="5055"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055"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4640"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41" w:type="dxa"/>
            <w:tcBorders/>
            <w:shd w:fill="auto" w:val="clear"/>
            <w:vAlign w:val="bottom"/>
          </w:tcPr>
          <w:p>
            <w:pPr>
              <w:pStyle w:val="TableContents"/>
              <w:spacing w:before="0" w:after="283"/>
              <w:rPr/>
            </w:pPr>
            <w:r>
              <w:rPr/>
              <w:t> </w:t>
            </w:r>
          </w:p>
        </w:tc>
      </w:tr>
      <w:tr>
        <w:trPr/>
        <w:tc>
          <w:tcPr>
            <w:tcW w:w="5055"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1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11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1" w:type="dxa"/>
            <w:tcBorders/>
            <w:shd w:fill="auto" w:val="clear"/>
            <w:vAlign w:val="bottom"/>
          </w:tcPr>
          <w:p>
            <w:pPr>
              <w:pStyle w:val="TableContents"/>
              <w:spacing w:before="0" w:after="283"/>
              <w:rPr/>
            </w:pPr>
            <w:r>
              <w:rPr/>
              <w:t> </w:t>
            </w:r>
          </w:p>
        </w:tc>
      </w:tr>
      <w:tr>
        <w:trPr/>
        <w:tc>
          <w:tcPr>
            <w:tcW w:w="5055"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1" w:type="dxa"/>
            <w:gridSpan w:val="2"/>
            <w:tcBorders/>
            <w:shd w:fill="auto" w:val="clear"/>
            <w:vAlign w:val="bottom"/>
          </w:tcPr>
          <w:p>
            <w:pPr>
              <w:pStyle w:val="TableContents"/>
              <w:spacing w:before="0" w:after="283"/>
              <w:jc w:val="center"/>
              <w:rPr>
                <w:i/>
              </w:rPr>
            </w:pPr>
            <w:r>
              <w:rPr>
                <w:i/>
              </w:rPr>
              <w:t>(In thousands)</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055" w:type="dxa"/>
            <w:tcBorders/>
            <w:shd w:fill="CCEEFF" w:val="clear"/>
            <w:vAlign w:val="bottom"/>
          </w:tcPr>
          <w:p>
            <w:pPr>
              <w:pStyle w:val="TableContents"/>
              <w:spacing w:before="0" w:after="0"/>
              <w:ind w:left="225" w:right="0" w:hanging="225"/>
              <w:rPr/>
            </w:pPr>
            <w:r>
              <w:rPr/>
              <w:t>Consolidated store operating income</w:t>
            </w:r>
          </w:p>
        </w:tc>
        <w:tc>
          <w:tcPr>
            <w:tcW w:w="3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38" w:type="dxa"/>
            <w:tcBorders/>
            <w:shd w:fill="CCEEFF" w:val="clear"/>
            <w:vAlign w:val="bottom"/>
          </w:tcPr>
          <w:p>
            <w:pPr>
              <w:pStyle w:val="TableContents"/>
              <w:spacing w:before="0" w:after="283"/>
              <w:jc w:val="right"/>
              <w:rPr/>
            </w:pPr>
            <w:r>
              <w:rPr/>
              <w:t>267,886</w:t>
            </w:r>
          </w:p>
        </w:tc>
        <w:tc>
          <w:tcPr>
            <w:tcW w:w="13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6" w:type="dxa"/>
            <w:tcBorders/>
            <w:shd w:fill="CCEEFF" w:val="clear"/>
            <w:vAlign w:val="bottom"/>
          </w:tcPr>
          <w:p>
            <w:pPr>
              <w:pStyle w:val="TableContents"/>
              <w:spacing w:before="0" w:after="283"/>
              <w:jc w:val="right"/>
              <w:rPr/>
            </w:pPr>
            <w:r>
              <w:rPr/>
              <w:t>210,815</w:t>
            </w:r>
          </w:p>
        </w:tc>
        <w:tc>
          <w:tcPr>
            <w:tcW w:w="13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942" w:type="dxa"/>
            <w:tcBorders/>
            <w:shd w:fill="CCEEFF" w:val="clear"/>
            <w:vAlign w:val="bottom"/>
          </w:tcPr>
          <w:p>
            <w:pPr>
              <w:pStyle w:val="TableContents"/>
              <w:spacing w:before="0" w:after="283"/>
              <w:jc w:val="right"/>
              <w:rPr/>
            </w:pPr>
            <w:r>
              <w:rPr/>
              <w:t>153,697</w:t>
            </w:r>
          </w:p>
        </w:tc>
        <w:tc>
          <w:tcPr>
            <w:tcW w:w="141" w:type="dxa"/>
            <w:tcBorders/>
            <w:shd w:fill="CCEEFF" w:val="clear"/>
            <w:vAlign w:val="bottom"/>
          </w:tcPr>
          <w:p>
            <w:pPr>
              <w:pStyle w:val="TableContents"/>
              <w:spacing w:before="0" w:after="283"/>
              <w:rPr/>
            </w:pPr>
            <w:r>
              <w:rPr/>
              <w:t> </w:t>
            </w:r>
          </w:p>
        </w:tc>
      </w:tr>
      <w:tr>
        <w:trPr/>
        <w:tc>
          <w:tcPr>
            <w:tcW w:w="5055" w:type="dxa"/>
            <w:tcBorders/>
            <w:shd w:fill="auto" w:val="clear"/>
            <w:vAlign w:val="bottom"/>
          </w:tcPr>
          <w:p>
            <w:pPr>
              <w:pStyle w:val="TableContents"/>
              <w:spacing w:before="0" w:after="0"/>
              <w:ind w:left="225" w:right="0" w:hanging="225"/>
              <w:rPr/>
            </w:pPr>
            <w:r>
              <w:rPr/>
              <w:t>Administrative expenses</w:t>
            </w:r>
          </w:p>
        </w:tc>
        <w:tc>
          <w:tcPr>
            <w:tcW w:w="3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75,270</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52,740</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40,497</w:t>
            </w:r>
          </w:p>
        </w:tc>
        <w:tc>
          <w:tcPr>
            <w:tcW w:w="141" w:type="dxa"/>
            <w:tcBorders/>
            <w:shd w:fill="auto" w:val="clear"/>
            <w:vAlign w:val="bottom"/>
          </w:tcPr>
          <w:p>
            <w:pPr>
              <w:pStyle w:val="TableContents"/>
              <w:spacing w:before="0" w:after="283"/>
              <w:rPr/>
            </w:pPr>
            <w:r>
              <w:rPr/>
              <w:t> </w:t>
            </w:r>
          </w:p>
        </w:tc>
      </w:tr>
      <w:tr>
        <w:trPr/>
        <w:tc>
          <w:tcPr>
            <w:tcW w:w="5055" w:type="dxa"/>
            <w:tcBorders/>
            <w:shd w:fill="CCEEFF" w:val="clear"/>
            <w:vAlign w:val="bottom"/>
          </w:tcPr>
          <w:p>
            <w:pPr>
              <w:pStyle w:val="TableContents"/>
              <w:spacing w:before="0" w:after="0"/>
              <w:ind w:left="225" w:right="0" w:hanging="225"/>
              <w:rPr/>
            </w:pPr>
            <w:r>
              <w:rPr/>
              <w:t>Depreciation and amortization</w:t>
            </w:r>
          </w:p>
        </w:tc>
        <w:tc>
          <w:tcPr>
            <w:tcW w:w="3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18,344</w:t>
            </w:r>
          </w:p>
        </w:tc>
        <w:tc>
          <w:tcPr>
            <w:tcW w:w="13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14,661</w:t>
            </w:r>
          </w:p>
        </w:tc>
        <w:tc>
          <w:tcPr>
            <w:tcW w:w="13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12,746</w:t>
            </w:r>
          </w:p>
        </w:tc>
        <w:tc>
          <w:tcPr>
            <w:tcW w:w="141" w:type="dxa"/>
            <w:tcBorders/>
            <w:shd w:fill="CCEEFF" w:val="clear"/>
            <w:vAlign w:val="bottom"/>
          </w:tcPr>
          <w:p>
            <w:pPr>
              <w:pStyle w:val="TableContents"/>
              <w:spacing w:before="0" w:after="283"/>
              <w:rPr/>
            </w:pPr>
            <w:r>
              <w:rPr/>
              <w:t> </w:t>
            </w:r>
          </w:p>
        </w:tc>
      </w:tr>
      <w:tr>
        <w:trPr/>
        <w:tc>
          <w:tcPr>
            <w:tcW w:w="5055" w:type="dxa"/>
            <w:tcBorders/>
            <w:shd w:fill="auto" w:val="clear"/>
            <w:vAlign w:val="bottom"/>
          </w:tcPr>
          <w:p>
            <w:pPr>
              <w:pStyle w:val="TableContents"/>
              <w:spacing w:before="0" w:after="0"/>
              <w:ind w:left="225" w:right="0" w:hanging="225"/>
              <w:rPr/>
            </w:pPr>
            <w:r>
              <w:rPr/>
              <w:t>(Gain) / loss on sale or disposal of assets</w:t>
            </w:r>
          </w:p>
        </w:tc>
        <w:tc>
          <w:tcPr>
            <w:tcW w:w="3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309</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1,528</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942" w:type="dxa"/>
            <w:tcBorders/>
            <w:shd w:fill="auto" w:val="clear"/>
            <w:vAlign w:val="bottom"/>
          </w:tcPr>
          <w:p>
            <w:pPr>
              <w:pStyle w:val="TableContents"/>
              <w:spacing w:before="0" w:after="283"/>
              <w:jc w:val="right"/>
              <w:rPr/>
            </w:pPr>
            <w:r>
              <w:rPr/>
              <w:t>(1,024</w:t>
            </w:r>
          </w:p>
        </w:tc>
        <w:tc>
          <w:tcPr>
            <w:tcW w:w="141" w:type="dxa"/>
            <w:tcBorders/>
            <w:shd w:fill="auto" w:val="clear"/>
            <w:vAlign w:val="bottom"/>
          </w:tcPr>
          <w:p>
            <w:pPr>
              <w:pStyle w:val="TableContents"/>
              <w:spacing w:before="0" w:after="283"/>
              <w:rPr/>
            </w:pPr>
            <w:r>
              <w:rPr/>
              <w:t>)</w:t>
            </w:r>
          </w:p>
        </w:tc>
      </w:tr>
      <w:tr>
        <w:trPr/>
        <w:tc>
          <w:tcPr>
            <w:tcW w:w="5055" w:type="dxa"/>
            <w:tcBorders/>
            <w:shd w:fill="CCEEFF" w:val="clear"/>
            <w:vAlign w:val="bottom"/>
          </w:tcPr>
          <w:p>
            <w:pPr>
              <w:pStyle w:val="TableContents"/>
              <w:spacing w:before="0" w:after="0"/>
              <w:ind w:left="225" w:right="0" w:hanging="225"/>
              <w:rPr/>
            </w:pPr>
            <w:r>
              <w:rPr/>
              <w:t>Interest income</w:t>
            </w:r>
          </w:p>
        </w:tc>
        <w:tc>
          <w:tcPr>
            <w:tcW w:w="3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right"/>
              <w:rPr/>
            </w:pPr>
            <w:r>
              <w:rPr/>
              <w:t>(37</w:t>
            </w:r>
          </w:p>
        </w:tc>
        <w:tc>
          <w:tcPr>
            <w:tcW w:w="137" w:type="dxa"/>
            <w:tcBorders/>
            <w:shd w:fill="CCEEFF" w:val="clear"/>
            <w:vAlign w:val="bottom"/>
          </w:tcPr>
          <w:p>
            <w:pPr>
              <w:pStyle w:val="TableContents"/>
              <w:spacing w:before="0" w:after="283"/>
              <w:rPr/>
            </w:pPr>
            <w:r>
              <w:rPr/>
              <w:t>)</w:t>
            </w:r>
          </w:p>
        </w:tc>
        <w:tc>
          <w:tcPr>
            <w:tcW w:w="37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6" w:type="dxa"/>
            <w:tcBorders/>
            <w:shd w:fill="CCEEFF" w:val="clear"/>
            <w:vAlign w:val="bottom"/>
          </w:tcPr>
          <w:p>
            <w:pPr>
              <w:pStyle w:val="TableContents"/>
              <w:spacing w:before="0" w:after="283"/>
              <w:jc w:val="right"/>
              <w:rPr/>
            </w:pPr>
            <w:r>
              <w:rPr/>
              <w:t>(186</w:t>
            </w:r>
          </w:p>
        </w:tc>
        <w:tc>
          <w:tcPr>
            <w:tcW w:w="137" w:type="dxa"/>
            <w:tcBorders/>
            <w:shd w:fill="CCEEFF" w:val="clear"/>
            <w:vAlign w:val="bottom"/>
          </w:tcPr>
          <w:p>
            <w:pPr>
              <w:pStyle w:val="TableContents"/>
              <w:spacing w:before="0" w:after="283"/>
              <w:rPr/>
            </w:pPr>
            <w:r>
              <w:rPr/>
              <w:t>)</w:t>
            </w:r>
          </w:p>
        </w:tc>
        <w:tc>
          <w:tcPr>
            <w:tcW w:w="3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942" w:type="dxa"/>
            <w:tcBorders/>
            <w:shd w:fill="CCEEFF" w:val="clear"/>
            <w:vAlign w:val="bottom"/>
          </w:tcPr>
          <w:p>
            <w:pPr>
              <w:pStyle w:val="TableContents"/>
              <w:spacing w:before="0" w:after="283"/>
              <w:jc w:val="right"/>
              <w:rPr/>
            </w:pPr>
            <w:r>
              <w:rPr/>
              <w:t>(281</w:t>
            </w:r>
          </w:p>
        </w:tc>
        <w:tc>
          <w:tcPr>
            <w:tcW w:w="141" w:type="dxa"/>
            <w:tcBorders/>
            <w:shd w:fill="CCEEFF" w:val="clear"/>
            <w:vAlign w:val="bottom"/>
          </w:tcPr>
          <w:p>
            <w:pPr>
              <w:pStyle w:val="TableContents"/>
              <w:spacing w:before="0" w:after="283"/>
              <w:rPr/>
            </w:pPr>
            <w:r>
              <w:rPr/>
              <w:t>)</w:t>
            </w:r>
          </w:p>
        </w:tc>
      </w:tr>
      <w:tr>
        <w:trPr/>
        <w:tc>
          <w:tcPr>
            <w:tcW w:w="5055" w:type="dxa"/>
            <w:tcBorders/>
            <w:shd w:fill="auto" w:val="clear"/>
            <w:vAlign w:val="bottom"/>
          </w:tcPr>
          <w:p>
            <w:pPr>
              <w:pStyle w:val="TableContents"/>
              <w:spacing w:before="0" w:after="0"/>
              <w:ind w:left="225" w:right="0" w:hanging="225"/>
              <w:rPr/>
            </w:pPr>
            <w:r>
              <w:rPr/>
              <w:t>Interest expense</w:t>
            </w:r>
          </w:p>
        </w:tc>
        <w:tc>
          <w:tcPr>
            <w:tcW w:w="3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1,690</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1,385</w:t>
            </w:r>
          </w:p>
        </w:tc>
        <w:tc>
          <w:tcPr>
            <w:tcW w:w="13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1,425</w:t>
            </w:r>
          </w:p>
        </w:tc>
        <w:tc>
          <w:tcPr>
            <w:tcW w:w="141" w:type="dxa"/>
            <w:tcBorders/>
            <w:shd w:fill="auto" w:val="clear"/>
            <w:vAlign w:val="bottom"/>
          </w:tcPr>
          <w:p>
            <w:pPr>
              <w:pStyle w:val="TableContents"/>
              <w:spacing w:before="0" w:after="283"/>
              <w:rPr/>
            </w:pPr>
            <w:r>
              <w:rPr/>
              <w:t> </w:t>
            </w:r>
          </w:p>
        </w:tc>
      </w:tr>
      <w:tr>
        <w:trPr/>
        <w:tc>
          <w:tcPr>
            <w:tcW w:w="5055" w:type="dxa"/>
            <w:tcBorders/>
            <w:shd w:fill="CCEEFF" w:val="clear"/>
            <w:vAlign w:val="bottom"/>
          </w:tcPr>
          <w:p>
            <w:pPr>
              <w:pStyle w:val="TableContents"/>
              <w:spacing w:before="0" w:after="0"/>
              <w:ind w:left="225" w:right="0" w:hanging="225"/>
              <w:rPr/>
            </w:pPr>
            <w:r>
              <w:rPr/>
              <w:t>Equity in net income of unconsolidated affiliates</w:t>
            </w:r>
          </w:p>
        </w:tc>
        <w:tc>
          <w:tcPr>
            <w:tcW w:w="3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right"/>
              <w:rPr/>
            </w:pPr>
            <w:r>
              <w:rPr/>
              <w:t>(16,237</w:t>
            </w:r>
          </w:p>
        </w:tc>
        <w:tc>
          <w:tcPr>
            <w:tcW w:w="137" w:type="dxa"/>
            <w:tcBorders/>
            <w:shd w:fill="CCEEFF" w:val="clear"/>
            <w:vAlign w:val="bottom"/>
          </w:tcPr>
          <w:p>
            <w:pPr>
              <w:pStyle w:val="TableContents"/>
              <w:spacing w:before="0" w:after="283"/>
              <w:rPr/>
            </w:pPr>
            <w:r>
              <w:rPr/>
              <w:t>)</w:t>
            </w:r>
          </w:p>
        </w:tc>
        <w:tc>
          <w:tcPr>
            <w:tcW w:w="37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86" w:type="dxa"/>
            <w:tcBorders/>
            <w:shd w:fill="CCEEFF" w:val="clear"/>
            <w:vAlign w:val="bottom"/>
          </w:tcPr>
          <w:p>
            <w:pPr>
              <w:pStyle w:val="TableContents"/>
              <w:spacing w:before="0" w:after="283"/>
              <w:jc w:val="right"/>
              <w:rPr/>
            </w:pPr>
            <w:r>
              <w:rPr/>
              <w:t>(10,750</w:t>
            </w:r>
          </w:p>
        </w:tc>
        <w:tc>
          <w:tcPr>
            <w:tcW w:w="137" w:type="dxa"/>
            <w:tcBorders/>
            <w:shd w:fill="CCEEFF" w:val="clear"/>
            <w:vAlign w:val="bottom"/>
          </w:tcPr>
          <w:p>
            <w:pPr>
              <w:pStyle w:val="TableContents"/>
              <w:spacing w:before="0" w:after="283"/>
              <w:rPr/>
            </w:pPr>
            <w:r>
              <w:rPr/>
              <w:t>)</w:t>
            </w:r>
          </w:p>
        </w:tc>
        <w:tc>
          <w:tcPr>
            <w:tcW w:w="3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942" w:type="dxa"/>
            <w:tcBorders/>
            <w:shd w:fill="CCEEFF" w:val="clear"/>
            <w:vAlign w:val="bottom"/>
          </w:tcPr>
          <w:p>
            <w:pPr>
              <w:pStyle w:val="TableContents"/>
              <w:spacing w:before="0" w:after="283"/>
              <w:jc w:val="right"/>
              <w:rPr/>
            </w:pPr>
            <w:r>
              <w:rPr/>
              <w:t>(5,016</w:t>
            </w:r>
          </w:p>
        </w:tc>
        <w:tc>
          <w:tcPr>
            <w:tcW w:w="141" w:type="dxa"/>
            <w:tcBorders/>
            <w:shd w:fill="CCEEFF" w:val="clear"/>
            <w:vAlign w:val="bottom"/>
          </w:tcPr>
          <w:p>
            <w:pPr>
              <w:pStyle w:val="TableContents"/>
              <w:spacing w:before="0" w:after="283"/>
              <w:rPr/>
            </w:pPr>
            <w:r>
              <w:rPr/>
              <w:t>)</w:t>
            </w:r>
          </w:p>
        </w:tc>
      </w:tr>
      <w:tr>
        <w:trPr/>
        <w:tc>
          <w:tcPr>
            <w:tcW w:w="5055" w:type="dxa"/>
            <w:tcBorders/>
            <w:shd w:fill="auto" w:val="clear"/>
            <w:vAlign w:val="bottom"/>
          </w:tcPr>
          <w:p>
            <w:pPr>
              <w:pStyle w:val="TableContents"/>
              <w:spacing w:before="0" w:after="0"/>
              <w:ind w:left="225" w:right="0" w:hanging="225"/>
              <w:rPr/>
            </w:pPr>
            <w:r>
              <w:rPr/>
              <w:t>Other</w:t>
            </w:r>
          </w:p>
        </w:tc>
        <w:tc>
          <w:tcPr>
            <w:tcW w:w="3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38" w:type="dxa"/>
            <w:tcBorders/>
            <w:shd w:fill="auto" w:val="clear"/>
            <w:vAlign w:val="bottom"/>
          </w:tcPr>
          <w:p>
            <w:pPr>
              <w:pStyle w:val="TableContents"/>
              <w:spacing w:before="0" w:after="283"/>
              <w:jc w:val="right"/>
              <w:rPr/>
            </w:pPr>
            <w:r>
              <w:rPr/>
              <w:t>(164</w:t>
            </w:r>
          </w:p>
        </w:tc>
        <w:tc>
          <w:tcPr>
            <w:tcW w:w="137" w:type="dxa"/>
            <w:tcBorders/>
            <w:shd w:fill="auto" w:val="clear"/>
            <w:vAlign w:val="bottom"/>
          </w:tcPr>
          <w:p>
            <w:pPr>
              <w:pStyle w:val="TableContents"/>
              <w:spacing w:before="0" w:after="283"/>
              <w:rPr/>
            </w:pPr>
            <w:r>
              <w:rPr/>
              <w:t>)</w:t>
            </w:r>
          </w:p>
        </w:tc>
        <w:tc>
          <w:tcPr>
            <w:tcW w:w="37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86" w:type="dxa"/>
            <w:tcBorders/>
            <w:shd w:fill="auto" w:val="clear"/>
            <w:vAlign w:val="bottom"/>
          </w:tcPr>
          <w:p>
            <w:pPr>
              <w:pStyle w:val="TableContents"/>
              <w:spacing w:before="0" w:after="283"/>
              <w:jc w:val="right"/>
              <w:rPr/>
            </w:pPr>
            <w:r>
              <w:rPr/>
              <w:t>(93</w:t>
            </w:r>
          </w:p>
        </w:tc>
        <w:tc>
          <w:tcPr>
            <w:tcW w:w="137" w:type="dxa"/>
            <w:tcBorders/>
            <w:shd w:fill="auto" w:val="clear"/>
            <w:vAlign w:val="bottom"/>
          </w:tcPr>
          <w:p>
            <w:pPr>
              <w:pStyle w:val="TableContents"/>
              <w:spacing w:before="0" w:after="283"/>
              <w:rPr/>
            </w:pPr>
            <w:r>
              <w:rPr/>
              <w:t>)</w:t>
            </w:r>
          </w:p>
        </w:tc>
        <w:tc>
          <w:tcPr>
            <w:tcW w:w="3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38</w:t>
            </w:r>
          </w:p>
        </w:tc>
        <w:tc>
          <w:tcPr>
            <w:tcW w:w="141" w:type="dxa"/>
            <w:tcBorders/>
            <w:shd w:fill="auto" w:val="clear"/>
            <w:vAlign w:val="bottom"/>
          </w:tcPr>
          <w:p>
            <w:pPr>
              <w:pStyle w:val="TableContents"/>
              <w:spacing w:before="0" w:after="283"/>
              <w:rPr/>
            </w:pPr>
            <w:r>
              <w:rPr/>
              <w:t> </w:t>
            </w:r>
          </w:p>
        </w:tc>
      </w:tr>
      <w:tr>
        <w:trPr/>
        <w:tc>
          <w:tcPr>
            <w:tcW w:w="5055"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1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4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5055" w:type="dxa"/>
            <w:tcBorders/>
            <w:shd w:fill="CCEEFF" w:val="clear"/>
            <w:vAlign w:val="bottom"/>
          </w:tcPr>
          <w:p>
            <w:pPr>
              <w:pStyle w:val="TableContents"/>
              <w:spacing w:before="0" w:after="0"/>
              <w:ind w:left="225" w:right="0" w:hanging="225"/>
              <w:rPr/>
            </w:pPr>
            <w:r>
              <w:rPr/>
              <w:t>Consolidated income before income taxes</w:t>
            </w:r>
          </w:p>
        </w:tc>
        <w:tc>
          <w:tcPr>
            <w:tcW w:w="3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38" w:type="dxa"/>
            <w:tcBorders/>
            <w:shd w:fill="CCEEFF" w:val="clear"/>
            <w:vAlign w:val="bottom"/>
          </w:tcPr>
          <w:p>
            <w:pPr>
              <w:pStyle w:val="TableContents"/>
              <w:spacing w:before="0" w:after="283"/>
              <w:jc w:val="right"/>
              <w:rPr/>
            </w:pPr>
            <w:r>
              <w:rPr/>
              <w:t>188,711</w:t>
            </w:r>
          </w:p>
        </w:tc>
        <w:tc>
          <w:tcPr>
            <w:tcW w:w="13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86" w:type="dxa"/>
            <w:tcBorders/>
            <w:shd w:fill="CCEEFF" w:val="clear"/>
            <w:vAlign w:val="bottom"/>
          </w:tcPr>
          <w:p>
            <w:pPr>
              <w:pStyle w:val="TableContents"/>
              <w:spacing w:before="0" w:after="283"/>
              <w:jc w:val="right"/>
              <w:rPr/>
            </w:pPr>
            <w:r>
              <w:rPr/>
              <w:t>151,530</w:t>
            </w:r>
          </w:p>
        </w:tc>
        <w:tc>
          <w:tcPr>
            <w:tcW w:w="13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942" w:type="dxa"/>
            <w:tcBorders/>
            <w:shd w:fill="CCEEFF" w:val="clear"/>
            <w:vAlign w:val="bottom"/>
          </w:tcPr>
          <w:p>
            <w:pPr>
              <w:pStyle w:val="TableContents"/>
              <w:spacing w:before="0" w:after="283"/>
              <w:jc w:val="right"/>
              <w:rPr/>
            </w:pPr>
            <w:r>
              <w:rPr/>
              <w:t>105,312</w:t>
            </w:r>
          </w:p>
        </w:tc>
        <w:tc>
          <w:tcPr>
            <w:tcW w:w="141" w:type="dxa"/>
            <w:tcBorders/>
            <w:shd w:fill="CCEEFF" w:val="clear"/>
            <w:vAlign w:val="bottom"/>
          </w:tcPr>
          <w:p>
            <w:pPr>
              <w:pStyle w:val="TableContents"/>
              <w:spacing w:before="0" w:after="283"/>
              <w:rPr/>
            </w:pPr>
            <w:r>
              <w:rPr/>
              <w:t> </w:t>
            </w:r>
          </w:p>
        </w:tc>
      </w:tr>
      <w:tr>
        <w:trPr/>
        <w:tc>
          <w:tcPr>
            <w:tcW w:w="5055"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4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11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separately identified segment assets: </w:t>
      </w:r>
    </w:p>
    <w:tbl>
      <w:tblPr>
        <w:tblW w:w="5000" w:type="pct"/>
        <w:jc w:val="center"/>
        <w:tblInd w:w="0" w:type="dxa"/>
        <w:tblCellMar>
          <w:top w:w="0" w:type="dxa"/>
          <w:left w:w="0" w:type="dxa"/>
          <w:bottom w:w="0" w:type="dxa"/>
          <w:right w:w="0" w:type="dxa"/>
        </w:tblCellMar>
      </w:tblPr>
      <w:tblGrid>
        <w:gridCol w:w="3893"/>
        <w:gridCol w:w="330"/>
        <w:gridCol w:w="172"/>
        <w:gridCol w:w="947"/>
        <w:gridCol w:w="101"/>
        <w:gridCol w:w="330"/>
        <w:gridCol w:w="160"/>
        <w:gridCol w:w="787"/>
        <w:gridCol w:w="101"/>
        <w:gridCol w:w="330"/>
        <w:gridCol w:w="210"/>
        <w:gridCol w:w="1030"/>
        <w:gridCol w:w="101"/>
        <w:gridCol w:w="330"/>
        <w:gridCol w:w="195"/>
        <w:gridCol w:w="1079"/>
        <w:gridCol w:w="109"/>
      </w:tblGrid>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spacing w:before="0" w:after="283"/>
              <w:jc w:val="center"/>
              <w:rPr/>
            </w:pPr>
            <w:r>
              <w:rPr/>
              <w:t>Empeño</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0"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5873" w:type="dxa"/>
            <w:gridSpan w:val="14"/>
            <w:tcBorders/>
            <w:shd w:fill="auto" w:val="clear"/>
            <w:vAlign w:val="bottom"/>
          </w:tcPr>
          <w:p>
            <w:pPr>
              <w:pStyle w:val="TableContents"/>
              <w:spacing w:before="0" w:after="283"/>
              <w:jc w:val="center"/>
              <w:rPr>
                <w:i/>
              </w:rPr>
            </w:pPr>
            <w:r>
              <w:rPr>
                <w:i/>
              </w:rPr>
              <w:t>(In thousands)</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September 30, 2011:</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134,457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10,861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145,318</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990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10,399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11,389</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930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2,292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3,222</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25,148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1,663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6,419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33,230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81,257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8,514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602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90,373</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163,897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9,309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173,206</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406,679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30,347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19,712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456,738</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206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20,767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20,973</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175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5,892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6,067</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September 30, 2010:</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113,944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7,257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121,201</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456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10,319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10,775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651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2,494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3,145</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20,830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1,053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7,177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29,060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66,542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4,935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71,502</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110,255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7,050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117,305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312,678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20,295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20,015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352,988</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231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22,709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22,940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236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6,589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6,825</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September 30, 2009:</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98,099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3,585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101,684</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453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7,904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8,357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685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978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1,663</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17,910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513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5,892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24,315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61,196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2,804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64,001</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94,192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6,527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100,719</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272,535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13,429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14,775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300,739</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450"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278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22,706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22,984</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276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1,910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2,186</w:t>
            </w:r>
          </w:p>
        </w:tc>
        <w:tc>
          <w:tcPr>
            <w:tcW w:w="109"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Brokered loans are not recorded as an asset on our balance sheet, as we do not own a participation in the loans made by unaffiliated lenders. We monitor the principal balance of these loans, as our credit service fees and bad debt are directly related to their volume due to the letters of credit we issue on these loans. The balance shown above is the gross principal balance of the loans outstanding.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separately identified recorded segment assets, as shown above, to our consolidated total assets: </w:t>
      </w:r>
    </w:p>
    <w:tbl>
      <w:tblPr>
        <w:tblW w:w="5000" w:type="pct"/>
        <w:jc w:val="center"/>
        <w:tblInd w:w="0" w:type="dxa"/>
        <w:tblCellMar>
          <w:top w:w="0" w:type="dxa"/>
          <w:left w:w="0" w:type="dxa"/>
          <w:bottom w:w="0" w:type="dxa"/>
          <w:right w:w="0" w:type="dxa"/>
        </w:tblCellMar>
      </w:tblPr>
      <w:tblGrid>
        <w:gridCol w:w="5659"/>
        <w:gridCol w:w="442"/>
        <w:gridCol w:w="151"/>
        <w:gridCol w:w="808"/>
        <w:gridCol w:w="112"/>
        <w:gridCol w:w="442"/>
        <w:gridCol w:w="151"/>
        <w:gridCol w:w="808"/>
        <w:gridCol w:w="112"/>
        <w:gridCol w:w="442"/>
        <w:gridCol w:w="151"/>
        <w:gridCol w:w="807"/>
        <w:gridCol w:w="120"/>
      </w:tblGrid>
      <w:tr>
        <w:trPr/>
        <w:tc>
          <w:tcPr>
            <w:tcW w:w="5659"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5659"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3984" w:type="dxa"/>
            <w:gridSpan w:val="10"/>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20" w:type="dxa"/>
            <w:tcBorders/>
            <w:shd w:fill="auto" w:val="clear"/>
            <w:vAlign w:val="bottom"/>
          </w:tcPr>
          <w:p>
            <w:pPr>
              <w:pStyle w:val="TableContents"/>
              <w:spacing w:before="0" w:after="283"/>
              <w:rPr/>
            </w:pPr>
            <w:r>
              <w:rPr/>
              <w:t> </w:t>
            </w:r>
          </w:p>
        </w:tc>
      </w:tr>
      <w:tr>
        <w:trPr/>
        <w:tc>
          <w:tcPr>
            <w:tcW w:w="5659"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95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95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95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5659"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3984" w:type="dxa"/>
            <w:gridSpan w:val="10"/>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5659" w:type="dxa"/>
            <w:tcBorders/>
            <w:shd w:fill="CCEEFF" w:val="clear"/>
            <w:vAlign w:val="bottom"/>
          </w:tcPr>
          <w:p>
            <w:pPr>
              <w:pStyle w:val="TableContents"/>
              <w:spacing w:before="0" w:after="0"/>
              <w:ind w:left="225" w:right="0" w:hanging="225"/>
              <w:rPr/>
            </w:pPr>
            <w:r>
              <w:rPr/>
              <w:t>Total separately identified recorded segment assets</w:t>
            </w:r>
          </w:p>
        </w:tc>
        <w:tc>
          <w:tcPr>
            <w:tcW w:w="4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8" w:type="dxa"/>
            <w:tcBorders/>
            <w:shd w:fill="CCEEFF" w:val="clear"/>
            <w:vAlign w:val="bottom"/>
          </w:tcPr>
          <w:p>
            <w:pPr>
              <w:pStyle w:val="TableContents"/>
              <w:spacing w:before="0" w:after="283"/>
              <w:jc w:val="right"/>
              <w:rPr/>
            </w:pPr>
            <w:r>
              <w:rPr/>
              <w:t>456,738</w:t>
            </w:r>
          </w:p>
        </w:tc>
        <w:tc>
          <w:tcPr>
            <w:tcW w:w="112"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8" w:type="dxa"/>
            <w:tcBorders/>
            <w:shd w:fill="CCEEFF" w:val="clear"/>
            <w:vAlign w:val="bottom"/>
          </w:tcPr>
          <w:p>
            <w:pPr>
              <w:pStyle w:val="TableContents"/>
              <w:spacing w:before="0" w:after="283"/>
              <w:jc w:val="right"/>
              <w:rPr/>
            </w:pPr>
            <w:r>
              <w:rPr/>
              <w:t>352,988</w:t>
            </w:r>
          </w:p>
        </w:tc>
        <w:tc>
          <w:tcPr>
            <w:tcW w:w="112"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300,739</w:t>
            </w:r>
          </w:p>
        </w:tc>
        <w:tc>
          <w:tcPr>
            <w:tcW w:w="120" w:type="dxa"/>
            <w:tcBorders/>
            <w:shd w:fill="CCEEFF" w:val="clear"/>
            <w:vAlign w:val="bottom"/>
          </w:tcPr>
          <w:p>
            <w:pPr>
              <w:pStyle w:val="TableContents"/>
              <w:spacing w:before="0" w:after="283"/>
              <w:rPr/>
            </w:pPr>
            <w:r>
              <w:rPr/>
              <w:t> </w:t>
            </w:r>
          </w:p>
        </w:tc>
      </w:tr>
      <w:tr>
        <w:trPr/>
        <w:tc>
          <w:tcPr>
            <w:tcW w:w="5659" w:type="dxa"/>
            <w:tcBorders/>
            <w:shd w:fill="auto" w:val="clear"/>
            <w:vAlign w:val="bottom"/>
          </w:tcPr>
          <w:p>
            <w:pPr>
              <w:pStyle w:val="TableContents"/>
              <w:spacing w:before="0" w:after="0"/>
              <w:ind w:left="225" w:right="0" w:hanging="225"/>
              <w:rPr/>
            </w:pPr>
            <w:r>
              <w:rPr/>
              <w:t>Corporate assets</w:t>
            </w:r>
          </w:p>
        </w:tc>
        <w:tc>
          <w:tcPr>
            <w:tcW w:w="4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299,712</w:t>
            </w:r>
          </w:p>
        </w:tc>
        <w:tc>
          <w:tcPr>
            <w:tcW w:w="11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253,424</w:t>
            </w:r>
          </w:p>
        </w:tc>
        <w:tc>
          <w:tcPr>
            <w:tcW w:w="11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191,778</w:t>
            </w:r>
          </w:p>
        </w:tc>
        <w:tc>
          <w:tcPr>
            <w:tcW w:w="120" w:type="dxa"/>
            <w:tcBorders/>
            <w:shd w:fill="auto" w:val="clear"/>
            <w:vAlign w:val="bottom"/>
          </w:tcPr>
          <w:p>
            <w:pPr>
              <w:pStyle w:val="TableContents"/>
              <w:spacing w:before="0" w:after="283"/>
              <w:rPr/>
            </w:pPr>
            <w:r>
              <w:rPr/>
              <w:t> </w:t>
            </w:r>
          </w:p>
        </w:tc>
      </w:tr>
      <w:tr>
        <w:trPr/>
        <w:tc>
          <w:tcPr>
            <w:tcW w:w="5659" w:type="dxa"/>
            <w:tcBorders/>
            <w:shd w:fill="auto" w:val="clear"/>
            <w:vAlign w:val="center"/>
          </w:tcPr>
          <w:p>
            <w:pPr>
              <w:pStyle w:val="TableContents"/>
              <w:spacing w:before="0" w:after="0"/>
              <w:ind w:left="225" w:right="0" w:hanging="225"/>
              <w:rPr/>
            </w:pPr>
            <w:r>
              <w:rPr/>
              <w:t> </w:t>
            </w:r>
          </w:p>
        </w:tc>
        <w:tc>
          <w:tcPr>
            <w:tcW w:w="442"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9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5659" w:type="dxa"/>
            <w:tcBorders/>
            <w:shd w:fill="CCEEFF" w:val="clear"/>
            <w:vAlign w:val="bottom"/>
          </w:tcPr>
          <w:p>
            <w:pPr>
              <w:pStyle w:val="TableContents"/>
              <w:spacing w:before="0" w:after="0"/>
              <w:ind w:left="225" w:right="0" w:hanging="225"/>
              <w:rPr/>
            </w:pPr>
            <w:r>
              <w:rPr/>
              <w:t>Total assets</w:t>
            </w:r>
          </w:p>
        </w:tc>
        <w:tc>
          <w:tcPr>
            <w:tcW w:w="4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8" w:type="dxa"/>
            <w:tcBorders/>
            <w:shd w:fill="CCEEFF" w:val="clear"/>
            <w:vAlign w:val="bottom"/>
          </w:tcPr>
          <w:p>
            <w:pPr>
              <w:pStyle w:val="TableContents"/>
              <w:spacing w:before="0" w:after="283"/>
              <w:jc w:val="right"/>
              <w:rPr/>
            </w:pPr>
            <w:r>
              <w:rPr/>
              <w:t>756,450</w:t>
            </w:r>
          </w:p>
        </w:tc>
        <w:tc>
          <w:tcPr>
            <w:tcW w:w="112"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8" w:type="dxa"/>
            <w:tcBorders/>
            <w:shd w:fill="CCEEFF" w:val="clear"/>
            <w:vAlign w:val="bottom"/>
          </w:tcPr>
          <w:p>
            <w:pPr>
              <w:pStyle w:val="TableContents"/>
              <w:spacing w:before="0" w:after="283"/>
              <w:jc w:val="right"/>
              <w:rPr/>
            </w:pPr>
            <w:r>
              <w:rPr/>
              <w:t>606,412</w:t>
            </w:r>
          </w:p>
        </w:tc>
        <w:tc>
          <w:tcPr>
            <w:tcW w:w="112"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492,517</w:t>
            </w:r>
          </w:p>
        </w:tc>
        <w:tc>
          <w:tcPr>
            <w:tcW w:w="120" w:type="dxa"/>
            <w:tcBorders/>
            <w:shd w:fill="CCEEFF" w:val="clear"/>
            <w:vAlign w:val="bottom"/>
          </w:tcPr>
          <w:p>
            <w:pPr>
              <w:pStyle w:val="TableContents"/>
              <w:spacing w:before="0" w:after="283"/>
              <w:rPr/>
            </w:pPr>
            <w:r>
              <w:rPr/>
              <w:t> </w:t>
            </w:r>
          </w:p>
        </w:tc>
      </w:tr>
      <w:tr>
        <w:trPr/>
        <w:tc>
          <w:tcPr>
            <w:tcW w:w="5659" w:type="dxa"/>
            <w:tcBorders/>
            <w:shd w:fill="auto" w:val="clear"/>
            <w:vAlign w:val="center"/>
          </w:tcPr>
          <w:p>
            <w:pPr>
              <w:pStyle w:val="TableContents"/>
              <w:spacing w:before="0" w:after="0"/>
              <w:ind w:left="225" w:right="0" w:hanging="225"/>
              <w:rPr/>
            </w:pPr>
            <w:r>
              <w:rPr/>
              <w:t> </w:t>
            </w:r>
          </w:p>
        </w:tc>
        <w:tc>
          <w:tcPr>
            <w:tcW w:w="442" w:type="dxa"/>
            <w:tcBorders/>
            <w:shd w:fill="auto" w:val="clear"/>
            <w:vAlign w:val="center"/>
          </w:tcPr>
          <w:p>
            <w:pPr>
              <w:pStyle w:val="TableContents"/>
              <w:spacing w:before="0" w:after="283"/>
              <w:rPr/>
            </w:pPr>
            <w:r>
              <w:rPr/>
              <w:t> </w:t>
            </w:r>
          </w:p>
        </w:tc>
        <w:tc>
          <w:tcPr>
            <w:tcW w:w="9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9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9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S: Allowance for Losses and Credit Quality of Financing Receivables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offer a variety of loan products and credit services to customers who do not have cash resources or access to credit to meet their short-term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additionally inspect the automobile, title and reference to market values of used automobiles.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described in Note A, Significant Accounting Policies, we consider a signature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Accrued fees related to defaulted loans reduce fee revenue upon loan default, and increase fee revenue upon collection. Based on historical collection experience, the age of past-due loans and amounts we expect to receive through the sale of repossessed vehicles, we provide an allowance for losses on auto title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changes in the allowance for credit losses as well as the recorded investment in our financing receivables by portfolio segment for the periods presented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887"/>
        <w:gridCol w:w="212"/>
        <w:gridCol w:w="211"/>
        <w:gridCol w:w="876"/>
        <w:gridCol w:w="83"/>
        <w:gridCol w:w="212"/>
        <w:gridCol w:w="183"/>
        <w:gridCol w:w="979"/>
        <w:gridCol w:w="112"/>
        <w:gridCol w:w="212"/>
        <w:gridCol w:w="186"/>
        <w:gridCol w:w="913"/>
        <w:gridCol w:w="83"/>
        <w:gridCol w:w="212"/>
        <w:gridCol w:w="165"/>
        <w:gridCol w:w="807"/>
        <w:gridCol w:w="83"/>
        <w:gridCol w:w="212"/>
        <w:gridCol w:w="211"/>
        <w:gridCol w:w="875"/>
        <w:gridCol w:w="83"/>
        <w:gridCol w:w="212"/>
        <w:gridCol w:w="185"/>
        <w:gridCol w:w="914"/>
        <w:gridCol w:w="97"/>
      </w:tblGrid>
      <w:tr>
        <w:trPr/>
        <w:tc>
          <w:tcPr>
            <w:tcW w:w="188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r>
      <w:tr>
        <w:trPr/>
        <w:tc>
          <w:tcPr>
            <w:tcW w:w="188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87" w:type="dxa"/>
            <w:gridSpan w:val="2"/>
            <w:tcBorders/>
            <w:shd w:fill="auto" w:val="clear"/>
            <w:vAlign w:val="bottom"/>
          </w:tcPr>
          <w:p>
            <w:pPr>
              <w:pStyle w:val="TableContents"/>
              <w:spacing w:before="0" w:after="283"/>
              <w:jc w:val="center"/>
              <w:rPr/>
            </w:pPr>
            <w:r>
              <w:rPr/>
              <w:t>Allowance</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jc w:val="center"/>
              <w:rPr/>
            </w:pPr>
            <w:r>
              <w:rPr/>
              <w:t>Allowance</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99" w:type="dxa"/>
            <w:gridSpan w:val="2"/>
            <w:tcBorders/>
            <w:shd w:fill="auto" w:val="clear"/>
            <w:vAlign w:val="bottom"/>
          </w:tcPr>
          <w:p>
            <w:pPr>
              <w:pStyle w:val="TableContents"/>
              <w:spacing w:before="0" w:after="283"/>
              <w:jc w:val="center"/>
              <w:rPr/>
            </w:pPr>
            <w:r>
              <w:rPr/>
              <w:t>Financing</w:t>
            </w:r>
          </w:p>
        </w:tc>
        <w:tc>
          <w:tcPr>
            <w:tcW w:w="97" w:type="dxa"/>
            <w:tcBorders/>
            <w:shd w:fill="auto" w:val="clear"/>
            <w:vAlign w:val="bottom"/>
          </w:tcPr>
          <w:p>
            <w:pPr>
              <w:pStyle w:val="TableContents"/>
              <w:spacing w:before="0" w:after="283"/>
              <w:rPr/>
            </w:pPr>
            <w:r>
              <w:rPr/>
              <w:t> </w:t>
            </w:r>
          </w:p>
        </w:tc>
      </w:tr>
      <w:tr>
        <w:trPr/>
        <w:tc>
          <w:tcPr>
            <w:tcW w:w="188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87" w:type="dxa"/>
            <w:gridSpan w:val="2"/>
            <w:tcBorders/>
            <w:shd w:fill="auto" w:val="clear"/>
            <w:vAlign w:val="bottom"/>
          </w:tcPr>
          <w:p>
            <w:pPr>
              <w:pStyle w:val="TableContents"/>
              <w:spacing w:before="0" w:after="283"/>
              <w:jc w:val="center"/>
              <w:rPr/>
            </w:pPr>
            <w:r>
              <w:rPr/>
              <w:t>Balance at</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jc w:val="center"/>
              <w:rPr/>
            </w:pPr>
            <w:r>
              <w:rPr/>
              <w:t>Balance at</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99" w:type="dxa"/>
            <w:gridSpan w:val="2"/>
            <w:tcBorders/>
            <w:shd w:fill="auto" w:val="clear"/>
            <w:vAlign w:val="bottom"/>
          </w:tcPr>
          <w:p>
            <w:pPr>
              <w:pStyle w:val="TableContents"/>
              <w:spacing w:before="0" w:after="283"/>
              <w:jc w:val="center"/>
              <w:rPr/>
            </w:pPr>
            <w:r>
              <w:rPr/>
              <w:t>Receivable</w:t>
            </w:r>
          </w:p>
        </w:tc>
        <w:tc>
          <w:tcPr>
            <w:tcW w:w="97" w:type="dxa"/>
            <w:tcBorders/>
            <w:shd w:fill="auto" w:val="clear"/>
            <w:vAlign w:val="bottom"/>
          </w:tcPr>
          <w:p>
            <w:pPr>
              <w:pStyle w:val="TableContents"/>
              <w:spacing w:before="0" w:after="283"/>
              <w:rPr/>
            </w:pPr>
            <w:r>
              <w:rPr/>
              <w:t> </w:t>
            </w:r>
          </w:p>
        </w:tc>
      </w:tr>
      <w:tr>
        <w:trPr/>
        <w:tc>
          <w:tcPr>
            <w:tcW w:w="188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87" w:type="dxa"/>
            <w:gridSpan w:val="2"/>
            <w:tcBorders/>
            <w:shd w:fill="auto" w:val="clear"/>
            <w:vAlign w:val="bottom"/>
          </w:tcPr>
          <w:p>
            <w:pPr>
              <w:pStyle w:val="TableContents"/>
              <w:spacing w:before="0" w:after="283"/>
              <w:jc w:val="center"/>
              <w:rPr/>
            </w:pPr>
            <w:r>
              <w:rPr/>
              <w:t>Beginning</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jc w:val="center"/>
              <w:rPr/>
            </w:pPr>
            <w:r>
              <w:rPr/>
              <w:t>End of</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99" w:type="dxa"/>
            <w:gridSpan w:val="2"/>
            <w:tcBorders/>
            <w:shd w:fill="auto" w:val="clear"/>
            <w:vAlign w:val="bottom"/>
          </w:tcPr>
          <w:p>
            <w:pPr>
              <w:pStyle w:val="TableContents"/>
              <w:spacing w:before="0" w:after="283"/>
              <w:jc w:val="center"/>
              <w:rPr/>
            </w:pPr>
            <w:r>
              <w:rPr/>
              <w:t>End of</w:t>
            </w:r>
          </w:p>
        </w:tc>
        <w:tc>
          <w:tcPr>
            <w:tcW w:w="97" w:type="dxa"/>
            <w:tcBorders/>
            <w:shd w:fill="auto" w:val="clear"/>
            <w:vAlign w:val="bottom"/>
          </w:tcPr>
          <w:p>
            <w:pPr>
              <w:pStyle w:val="TableContents"/>
              <w:spacing w:before="0" w:after="283"/>
              <w:rPr/>
            </w:pPr>
            <w:r>
              <w:rPr/>
              <w:t> </w:t>
            </w:r>
          </w:p>
        </w:tc>
      </w:tr>
      <w:tr>
        <w:trPr/>
        <w:tc>
          <w:tcPr>
            <w:tcW w:w="1887"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c>
          <w:tcPr>
            <w:tcW w:w="212" w:type="dxa"/>
            <w:tcBorders/>
            <w:shd w:fill="auto" w:val="clear"/>
            <w:vAlign w:val="bottom"/>
          </w:tcPr>
          <w:p>
            <w:pPr>
              <w:pStyle w:val="TableContents"/>
              <w:spacing w:before="0" w:after="283"/>
              <w:rPr/>
            </w:pPr>
            <w:r>
              <w:rPr/>
              <w:t> </w:t>
            </w:r>
          </w:p>
        </w:tc>
        <w:tc>
          <w:tcPr>
            <w:tcW w:w="1087"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2" w:type="dxa"/>
            <w:gridSpan w:val="2"/>
            <w:tcBorders>
              <w:bottom w:val="single" w:sz="2" w:space="0" w:color="000000"/>
            </w:tcBorders>
            <w:shd w:fill="auto" w:val="clear"/>
            <w:tcMar>
              <w:bottom w:w="28" w:type="dxa"/>
            </w:tcMar>
            <w:vAlign w:val="bottom"/>
          </w:tcPr>
          <w:p>
            <w:pPr>
              <w:pStyle w:val="TableContents"/>
              <w:spacing w:before="0" w:after="283"/>
              <w:jc w:val="center"/>
              <w:rPr/>
            </w:pPr>
            <w:r>
              <w:rPr/>
              <w:t>Charge-offs</w:t>
            </w:r>
          </w:p>
        </w:tc>
        <w:tc>
          <w:tcPr>
            <w:tcW w:w="1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99" w:type="dxa"/>
            <w:gridSpan w:val="2"/>
            <w:tcBorders>
              <w:bottom w:val="single" w:sz="2" w:space="0" w:color="000000"/>
            </w:tcBorders>
            <w:shd w:fill="auto" w:val="clear"/>
            <w:tcMar>
              <w:bottom w:w="28" w:type="dxa"/>
            </w:tcMar>
            <w:vAlign w:val="bottom"/>
          </w:tcPr>
          <w:p>
            <w:pPr>
              <w:pStyle w:val="TableContents"/>
              <w:spacing w:before="0" w:after="283"/>
              <w:jc w:val="center"/>
              <w:rPr/>
            </w:pPr>
            <w:r>
              <w:rPr/>
              <w:t>Recoveries</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72" w:type="dxa"/>
            <w:gridSpan w:val="2"/>
            <w:tcBorders>
              <w:bottom w:val="single" w:sz="2" w:space="0" w:color="000000"/>
            </w:tcBorders>
            <w:shd w:fill="auto" w:val="clear"/>
            <w:tcMar>
              <w:bottom w:w="28" w:type="dxa"/>
            </w:tcMar>
            <w:vAlign w:val="bottom"/>
          </w:tcPr>
          <w:p>
            <w:pPr>
              <w:pStyle w:val="TableContents"/>
              <w:spacing w:before="0" w:after="283"/>
              <w:jc w:val="center"/>
              <w:rPr/>
            </w:pPr>
            <w:r>
              <w:rPr/>
              <w:t>Provision</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86" w:type="dxa"/>
            <w:gridSpan w:val="2"/>
            <w:tcBorders>
              <w:bottom w:val="single" w:sz="2" w:space="0" w:color="000000"/>
            </w:tcBorders>
            <w:shd w:fill="auto" w:val="clear"/>
            <w:tcMar>
              <w:bottom w:w="28" w:type="dxa"/>
            </w:tcMar>
            <w:vAlign w:val="bottom"/>
          </w:tcPr>
          <w:p>
            <w:pPr>
              <w:pStyle w:val="TableContents"/>
              <w:spacing w:before="0" w:after="283"/>
              <w:jc w:val="center"/>
              <w:rPr/>
            </w:pPr>
            <w:r>
              <w:rPr/>
              <w:t>Period</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99" w:type="dxa"/>
            <w:gridSpan w:val="2"/>
            <w:tcBorders>
              <w:bottom w:val="single" w:sz="2" w:space="0" w:color="000000"/>
            </w:tcBorders>
            <w:shd w:fill="auto" w:val="clear"/>
            <w:tcMar>
              <w:bottom w:w="28" w:type="dxa"/>
            </w:tcMar>
            <w:vAlign w:val="bottom"/>
          </w:tcPr>
          <w:p>
            <w:pPr>
              <w:pStyle w:val="TableContents"/>
              <w:spacing w:before="0" w:after="283"/>
              <w:jc w:val="center"/>
              <w:rPr/>
            </w:pPr>
            <w:r>
              <w:rPr/>
              <w:t>Period</w:t>
            </w:r>
          </w:p>
        </w:tc>
        <w:tc>
          <w:tcPr>
            <w:tcW w:w="97" w:type="dxa"/>
            <w:tcBorders/>
            <w:shd w:fill="auto" w:val="clear"/>
            <w:vAlign w:val="bottom"/>
          </w:tcPr>
          <w:p>
            <w:pPr>
              <w:pStyle w:val="TableContents"/>
              <w:spacing w:before="0" w:after="283"/>
              <w:rPr/>
            </w:pPr>
            <w:r>
              <w:rPr/>
              <w:t> </w:t>
            </w:r>
          </w:p>
        </w:tc>
      </w:tr>
      <w:tr>
        <w:trPr/>
        <w:tc>
          <w:tcPr>
            <w:tcW w:w="1887" w:type="dxa"/>
            <w:tcBorders/>
            <w:shd w:fill="CCEEFF" w:val="clear"/>
            <w:vAlign w:val="bottom"/>
          </w:tcPr>
          <w:p>
            <w:pPr>
              <w:pStyle w:val="TableContents"/>
              <w:spacing w:before="0" w:after="0"/>
              <w:ind w:left="225" w:right="0" w:hanging="225"/>
              <w:rPr>
                <w:b/>
              </w:rPr>
            </w:pPr>
            <w:r>
              <w:rPr>
                <w:b/>
              </w:rPr>
              <w:t>Allowance for losses on signature loans:</w:t>
            </w:r>
          </w:p>
        </w:tc>
        <w:tc>
          <w:tcPr>
            <w:tcW w:w="2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r>
      <w:tr>
        <w:trPr/>
        <w:tc>
          <w:tcPr>
            <w:tcW w:w="1887" w:type="dxa"/>
            <w:tcBorders/>
            <w:shd w:fill="auto" w:val="clear"/>
            <w:vAlign w:val="bottom"/>
          </w:tcPr>
          <w:p>
            <w:pPr>
              <w:pStyle w:val="TableContents"/>
              <w:spacing w:before="0" w:after="0"/>
              <w:ind w:left="450" w:right="0" w:hanging="225"/>
              <w:rPr/>
            </w:pPr>
            <w:r>
              <w:rPr/>
              <w:t>Year ended September 30, 2011</w:t>
            </w:r>
          </w:p>
        </w:tc>
        <w:tc>
          <w:tcPr>
            <w:tcW w:w="2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750</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79" w:type="dxa"/>
            <w:tcBorders/>
            <w:shd w:fill="auto" w:val="clear"/>
            <w:vAlign w:val="bottom"/>
          </w:tcPr>
          <w:p>
            <w:pPr>
              <w:pStyle w:val="TableContents"/>
              <w:spacing w:before="0" w:after="283"/>
              <w:jc w:val="right"/>
              <w:rPr/>
            </w:pPr>
            <w:r>
              <w:rPr/>
              <w:t>(18,043</w:t>
            </w:r>
          </w:p>
        </w:tc>
        <w:tc>
          <w:tcPr>
            <w:tcW w:w="112"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6,349</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12,671</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1,727</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914" w:type="dxa"/>
            <w:tcBorders/>
            <w:shd w:fill="auto" w:val="clear"/>
            <w:vAlign w:val="bottom"/>
          </w:tcPr>
          <w:p>
            <w:pPr>
              <w:pStyle w:val="TableContents"/>
              <w:spacing w:before="0" w:after="283"/>
              <w:jc w:val="right"/>
              <w:rPr/>
            </w:pPr>
            <w:r>
              <w:rPr/>
              <w:t>13,116</w:t>
            </w:r>
          </w:p>
        </w:tc>
        <w:tc>
          <w:tcPr>
            <w:tcW w:w="97" w:type="dxa"/>
            <w:tcBorders/>
            <w:shd w:fill="auto" w:val="clear"/>
            <w:vAlign w:val="bottom"/>
          </w:tcPr>
          <w:p>
            <w:pPr>
              <w:pStyle w:val="TableContents"/>
              <w:spacing w:before="0" w:after="283"/>
              <w:rPr/>
            </w:pPr>
            <w:r>
              <w:rPr/>
              <w:t> </w:t>
            </w:r>
          </w:p>
        </w:tc>
      </w:tr>
      <w:tr>
        <w:trPr/>
        <w:tc>
          <w:tcPr>
            <w:tcW w:w="1887" w:type="dxa"/>
            <w:tcBorders/>
            <w:shd w:fill="CCEEFF" w:val="clear"/>
            <w:vAlign w:val="bottom"/>
          </w:tcPr>
          <w:p>
            <w:pPr>
              <w:pStyle w:val="TableContents"/>
              <w:spacing w:before="0" w:after="0"/>
              <w:ind w:left="450" w:right="0" w:hanging="225"/>
              <w:rPr/>
            </w:pPr>
            <w:r>
              <w:rPr/>
              <w:t>Year ended September 30, 2010</w:t>
            </w:r>
          </w:p>
        </w:tc>
        <w:tc>
          <w:tcPr>
            <w:tcW w:w="2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532</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(14,807</w:t>
            </w:r>
          </w:p>
        </w:tc>
        <w:tc>
          <w:tcPr>
            <w:tcW w:w="112" w:type="dxa"/>
            <w:tcBorders/>
            <w:shd w:fill="CCEEFF" w:val="clear"/>
            <w:vAlign w:val="bottom"/>
          </w:tcPr>
          <w:p>
            <w:pPr>
              <w:pStyle w:val="TableContents"/>
              <w:spacing w:before="0" w:after="283"/>
              <w:rPr/>
            </w:pPr>
            <w:r>
              <w:rPr/>
              <w:t>)</w:t>
            </w:r>
          </w:p>
        </w:tc>
        <w:tc>
          <w:tcPr>
            <w:tcW w:w="212"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5,757</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9,268</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750</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11,525</w:t>
            </w:r>
          </w:p>
        </w:tc>
        <w:tc>
          <w:tcPr>
            <w:tcW w:w="97" w:type="dxa"/>
            <w:tcBorders/>
            <w:shd w:fill="CCEEFF" w:val="clear"/>
            <w:vAlign w:val="bottom"/>
          </w:tcPr>
          <w:p>
            <w:pPr>
              <w:pStyle w:val="TableContents"/>
              <w:spacing w:before="0" w:after="283"/>
              <w:rPr/>
            </w:pPr>
            <w:r>
              <w:rPr/>
              <w:t> </w:t>
            </w:r>
          </w:p>
        </w:tc>
      </w:tr>
      <w:tr>
        <w:trPr/>
        <w:tc>
          <w:tcPr>
            <w:tcW w:w="1887" w:type="dxa"/>
            <w:tcBorders/>
            <w:shd w:fill="auto" w:val="clear"/>
            <w:vAlign w:val="bottom"/>
          </w:tcPr>
          <w:p>
            <w:pPr>
              <w:pStyle w:val="TableContents"/>
              <w:spacing w:before="0" w:after="0"/>
              <w:ind w:left="450" w:right="0" w:hanging="225"/>
              <w:rPr/>
            </w:pPr>
            <w:r>
              <w:rPr/>
              <w:t>Year ended September 30, 2009</w:t>
            </w:r>
          </w:p>
        </w:tc>
        <w:tc>
          <w:tcPr>
            <w:tcW w:w="2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580</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79" w:type="dxa"/>
            <w:tcBorders/>
            <w:shd w:fill="auto" w:val="clear"/>
            <w:vAlign w:val="bottom"/>
          </w:tcPr>
          <w:p>
            <w:pPr>
              <w:pStyle w:val="TableContents"/>
              <w:spacing w:before="0" w:after="283"/>
              <w:jc w:val="right"/>
              <w:rPr/>
            </w:pPr>
            <w:r>
              <w:rPr/>
              <w:t>(14,456</w:t>
            </w:r>
          </w:p>
        </w:tc>
        <w:tc>
          <w:tcPr>
            <w:tcW w:w="112"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5,571</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8,837</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532</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8,889</w:t>
            </w:r>
          </w:p>
        </w:tc>
        <w:tc>
          <w:tcPr>
            <w:tcW w:w="97" w:type="dxa"/>
            <w:tcBorders/>
            <w:shd w:fill="auto" w:val="clear"/>
            <w:vAlign w:val="bottom"/>
          </w:tcPr>
          <w:p>
            <w:pPr>
              <w:pStyle w:val="TableContents"/>
              <w:spacing w:before="0" w:after="283"/>
              <w:rPr/>
            </w:pPr>
            <w:r>
              <w:rPr/>
              <w:t> </w:t>
            </w:r>
          </w:p>
        </w:tc>
      </w:tr>
      <w:tr>
        <w:trPr/>
        <w:tc>
          <w:tcPr>
            <w:tcW w:w="1887" w:type="dxa"/>
            <w:tcBorders/>
            <w:shd w:fill="auto" w:val="clear"/>
            <w:vAlign w:val="bottom"/>
          </w:tcPr>
          <w:p>
            <w:pPr>
              <w:pStyle w:val="TableContents"/>
              <w:spacing w:before="0" w:after="0"/>
              <w:ind w:left="225" w:right="0" w:hanging="225"/>
              <w:rPr/>
            </w:pPr>
            <w:r>
              <w:rPr/>
              <w:t> </w:t>
            </w:r>
          </w:p>
        </w:tc>
        <w:tc>
          <w:tcPr>
            <w:tcW w:w="2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r>
      <w:tr>
        <w:trPr/>
        <w:tc>
          <w:tcPr>
            <w:tcW w:w="1887" w:type="dxa"/>
            <w:tcBorders/>
            <w:shd w:fill="CCEEFF" w:val="clear"/>
            <w:vAlign w:val="bottom"/>
          </w:tcPr>
          <w:p>
            <w:pPr>
              <w:pStyle w:val="TableContents"/>
              <w:spacing w:before="0" w:after="0"/>
              <w:ind w:left="225" w:right="0" w:hanging="225"/>
              <w:rPr>
                <w:b/>
              </w:rPr>
            </w:pPr>
            <w:r>
              <w:rPr>
                <w:b/>
              </w:rPr>
              <w:t>Allowance for losses on auto title loans:</w:t>
            </w:r>
          </w:p>
        </w:tc>
        <w:tc>
          <w:tcPr>
            <w:tcW w:w="2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r>
      <w:tr>
        <w:trPr/>
        <w:tc>
          <w:tcPr>
            <w:tcW w:w="1887" w:type="dxa"/>
            <w:tcBorders/>
            <w:shd w:fill="auto" w:val="clear"/>
            <w:vAlign w:val="bottom"/>
          </w:tcPr>
          <w:p>
            <w:pPr>
              <w:pStyle w:val="TableContents"/>
              <w:spacing w:before="0" w:after="0"/>
              <w:ind w:left="450" w:right="0" w:hanging="225"/>
              <w:rPr/>
            </w:pPr>
            <w:r>
              <w:rPr/>
              <w:t>Year ended September 30, 2011</w:t>
            </w:r>
          </w:p>
        </w:tc>
        <w:tc>
          <w:tcPr>
            <w:tcW w:w="2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1,137</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79" w:type="dxa"/>
            <w:tcBorders/>
            <w:shd w:fill="auto" w:val="clear"/>
            <w:vAlign w:val="bottom"/>
          </w:tcPr>
          <w:p>
            <w:pPr>
              <w:pStyle w:val="TableContents"/>
              <w:spacing w:before="0" w:after="283"/>
              <w:jc w:val="right"/>
              <w:rPr/>
            </w:pPr>
            <w:r>
              <w:rPr/>
              <w:t>(12,616</w:t>
            </w:r>
          </w:p>
        </w:tc>
        <w:tc>
          <w:tcPr>
            <w:tcW w:w="112"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10,074</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1,943</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538</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914" w:type="dxa"/>
            <w:tcBorders/>
            <w:shd w:fill="auto" w:val="clear"/>
            <w:vAlign w:val="bottom"/>
          </w:tcPr>
          <w:p>
            <w:pPr>
              <w:pStyle w:val="TableContents"/>
              <w:spacing w:before="0" w:after="283"/>
              <w:jc w:val="right"/>
              <w:rPr/>
            </w:pPr>
            <w:r>
              <w:rPr/>
              <w:t>3,760</w:t>
            </w:r>
          </w:p>
        </w:tc>
        <w:tc>
          <w:tcPr>
            <w:tcW w:w="97" w:type="dxa"/>
            <w:tcBorders/>
            <w:shd w:fill="auto" w:val="clear"/>
            <w:vAlign w:val="bottom"/>
          </w:tcPr>
          <w:p>
            <w:pPr>
              <w:pStyle w:val="TableContents"/>
              <w:spacing w:before="0" w:after="283"/>
              <w:rPr/>
            </w:pPr>
            <w:r>
              <w:rPr/>
              <w:t> </w:t>
            </w:r>
          </w:p>
        </w:tc>
      </w:tr>
      <w:tr>
        <w:trPr/>
        <w:tc>
          <w:tcPr>
            <w:tcW w:w="1887" w:type="dxa"/>
            <w:tcBorders/>
            <w:shd w:fill="CCEEFF" w:val="clear"/>
            <w:vAlign w:val="bottom"/>
          </w:tcPr>
          <w:p>
            <w:pPr>
              <w:pStyle w:val="TableContents"/>
              <w:spacing w:before="0" w:after="0"/>
              <w:ind w:left="450" w:right="0" w:hanging="225"/>
              <w:rPr/>
            </w:pPr>
            <w:r>
              <w:rPr/>
              <w:t>Year ended September 30, 2010</w:t>
            </w:r>
          </w:p>
        </w:tc>
        <w:tc>
          <w:tcPr>
            <w:tcW w:w="2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291</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(9,240</w:t>
            </w:r>
          </w:p>
        </w:tc>
        <w:tc>
          <w:tcPr>
            <w:tcW w:w="112" w:type="dxa"/>
            <w:tcBorders/>
            <w:shd w:fill="CCEEFF" w:val="clear"/>
            <w:vAlign w:val="bottom"/>
          </w:tcPr>
          <w:p>
            <w:pPr>
              <w:pStyle w:val="TableContents"/>
              <w:spacing w:before="0" w:after="283"/>
              <w:rPr/>
            </w:pPr>
            <w:r>
              <w:rPr/>
              <w:t>)</w:t>
            </w:r>
          </w:p>
        </w:tc>
        <w:tc>
          <w:tcPr>
            <w:tcW w:w="212"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7,425</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2,661</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1,137</w:t>
            </w:r>
          </w:p>
        </w:tc>
        <w:tc>
          <w:tcPr>
            <w:tcW w:w="8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4,282</w:t>
            </w:r>
          </w:p>
        </w:tc>
        <w:tc>
          <w:tcPr>
            <w:tcW w:w="97" w:type="dxa"/>
            <w:tcBorders/>
            <w:shd w:fill="CCEEFF" w:val="clear"/>
            <w:vAlign w:val="bottom"/>
          </w:tcPr>
          <w:p>
            <w:pPr>
              <w:pStyle w:val="TableContents"/>
              <w:spacing w:before="0" w:after="283"/>
              <w:rPr/>
            </w:pPr>
            <w:r>
              <w:rPr/>
              <w:t> </w:t>
            </w:r>
          </w:p>
        </w:tc>
      </w:tr>
      <w:tr>
        <w:trPr/>
        <w:tc>
          <w:tcPr>
            <w:tcW w:w="1887" w:type="dxa"/>
            <w:tcBorders/>
            <w:shd w:fill="auto" w:val="clear"/>
            <w:vAlign w:val="bottom"/>
          </w:tcPr>
          <w:p>
            <w:pPr>
              <w:pStyle w:val="TableContents"/>
              <w:spacing w:before="0" w:after="0"/>
              <w:ind w:left="450" w:right="0" w:hanging="225"/>
              <w:rPr/>
            </w:pPr>
            <w:r>
              <w:rPr/>
              <w:t>Year ended September 30, 2009</w:t>
            </w:r>
          </w:p>
        </w:tc>
        <w:tc>
          <w:tcPr>
            <w:tcW w:w="2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79" w:type="dxa"/>
            <w:tcBorders/>
            <w:shd w:fill="auto" w:val="clear"/>
            <w:vAlign w:val="bottom"/>
          </w:tcPr>
          <w:p>
            <w:pPr>
              <w:pStyle w:val="TableContents"/>
              <w:spacing w:before="0" w:after="283"/>
              <w:jc w:val="right"/>
              <w:rPr/>
            </w:pPr>
            <w:r>
              <w:rPr/>
              <w:t>(2,478</w:t>
            </w:r>
          </w:p>
        </w:tc>
        <w:tc>
          <w:tcPr>
            <w:tcW w:w="112"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2,387</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382</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291</w:t>
            </w:r>
          </w:p>
        </w:tc>
        <w:tc>
          <w:tcPr>
            <w:tcW w:w="8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1,954</w:t>
            </w:r>
          </w:p>
        </w:tc>
        <w:tc>
          <w:tcPr>
            <w:tcW w:w="97"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provision presented in the table above includes only principal and excludes items such as NSF fees, late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 Expected losses on credit services are accrued and reported in Accounts payable and other accrued expenses on our balance sheets.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Auto title loans are our only loans that remain as recorded investments when in delinquent/nonaccrual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an aging analysis of past due financing receivables by portfolio segment: </w:t>
      </w:r>
    </w:p>
    <w:tbl>
      <w:tblPr>
        <w:tblW w:w="5000" w:type="pct"/>
        <w:jc w:val="center"/>
        <w:tblInd w:w="0" w:type="dxa"/>
        <w:tblCellMar>
          <w:top w:w="0" w:type="dxa"/>
          <w:left w:w="0" w:type="dxa"/>
          <w:bottom w:w="0" w:type="dxa"/>
          <w:right w:w="0" w:type="dxa"/>
        </w:tblCellMar>
      </w:tblPr>
      <w:tblGrid>
        <w:gridCol w:w="1179"/>
        <w:gridCol w:w="63"/>
        <w:gridCol w:w="140"/>
        <w:gridCol w:w="384"/>
        <w:gridCol w:w="215"/>
        <w:gridCol w:w="63"/>
        <w:gridCol w:w="154"/>
        <w:gridCol w:w="425"/>
        <w:gridCol w:w="215"/>
        <w:gridCol w:w="63"/>
        <w:gridCol w:w="153"/>
        <w:gridCol w:w="425"/>
        <w:gridCol w:w="215"/>
        <w:gridCol w:w="63"/>
        <w:gridCol w:w="140"/>
        <w:gridCol w:w="384"/>
        <w:gridCol w:w="215"/>
        <w:gridCol w:w="63"/>
        <w:gridCol w:w="175"/>
        <w:gridCol w:w="703"/>
        <w:gridCol w:w="215"/>
        <w:gridCol w:w="63"/>
        <w:gridCol w:w="214"/>
        <w:gridCol w:w="860"/>
        <w:gridCol w:w="215"/>
        <w:gridCol w:w="63"/>
        <w:gridCol w:w="214"/>
        <w:gridCol w:w="860"/>
        <w:gridCol w:w="215"/>
        <w:gridCol w:w="63"/>
        <w:gridCol w:w="698"/>
        <w:gridCol w:w="1004"/>
        <w:gridCol w:w="84"/>
      </w:tblGrid>
      <w:tr>
        <w:trPr/>
        <w:tc>
          <w:tcPr>
            <w:tcW w:w="117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jc w:val="center"/>
              <w:rPr/>
            </w:pPr>
            <w:r>
              <w:rPr/>
              <w:t>Total</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02" w:type="dxa"/>
            <w:gridSpan w:val="2"/>
            <w:tcBorders/>
            <w:shd w:fill="auto" w:val="clear"/>
            <w:vAlign w:val="bottom"/>
          </w:tcPr>
          <w:p>
            <w:pPr>
              <w:pStyle w:val="TableContents"/>
              <w:spacing w:before="0" w:after="283"/>
              <w:jc w:val="center"/>
              <w:rPr/>
            </w:pPr>
            <w:r>
              <w:rPr/>
              <w:t>Recorded</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3039" w:type="dxa"/>
            <w:gridSpan w:val="14"/>
            <w:tcBorders>
              <w:bottom w:val="single" w:sz="2" w:space="0" w:color="000000"/>
            </w:tcBorders>
            <w:shd w:fill="auto" w:val="clear"/>
            <w:tcMar>
              <w:bottom w:w="28" w:type="dxa"/>
            </w:tcMar>
            <w:vAlign w:val="bottom"/>
          </w:tcPr>
          <w:p>
            <w:pPr>
              <w:pStyle w:val="TableContents"/>
              <w:spacing w:before="0" w:after="283"/>
              <w:jc w:val="center"/>
              <w:rPr/>
            </w:pPr>
            <w:r>
              <w:rPr/>
              <w:t>Days Past Due</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78" w:type="dxa"/>
            <w:gridSpan w:val="2"/>
            <w:tcBorders/>
            <w:shd w:fill="auto" w:val="clear"/>
            <w:vAlign w:val="bottom"/>
          </w:tcPr>
          <w:p>
            <w:pPr>
              <w:pStyle w:val="TableContents"/>
              <w:spacing w:before="0" w:after="283"/>
              <w:jc w:val="center"/>
              <w:rPr/>
            </w:pPr>
            <w:r>
              <w:rPr/>
              <w:t>Total</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jc w:val="center"/>
              <w:rPr/>
            </w:pPr>
            <w:r>
              <w:rPr/>
              <w:t>Current</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jc w:val="center"/>
              <w:rPr/>
            </w:pPr>
            <w:r>
              <w:rPr/>
              <w:t>Financing</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02" w:type="dxa"/>
            <w:gridSpan w:val="2"/>
            <w:tcBorders/>
            <w:shd w:fill="auto" w:val="clear"/>
            <w:vAlign w:val="bottom"/>
          </w:tcPr>
          <w:p>
            <w:pPr>
              <w:pStyle w:val="TableContents"/>
              <w:spacing w:before="0" w:after="283"/>
              <w:jc w:val="center"/>
              <w:rPr/>
            </w:pPr>
            <w:r>
              <w:rPr/>
              <w:t>Investment &gt; 90</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524" w:type="dxa"/>
            <w:gridSpan w:val="2"/>
            <w:tcBorders>
              <w:bottom w:val="single" w:sz="2" w:space="0" w:color="000000"/>
            </w:tcBorders>
            <w:shd w:fill="auto" w:val="clear"/>
            <w:tcMar>
              <w:bottom w:w="28" w:type="dxa"/>
            </w:tcMar>
            <w:vAlign w:val="bottom"/>
          </w:tcPr>
          <w:p>
            <w:pPr>
              <w:pStyle w:val="TableContents"/>
              <w:spacing w:before="0" w:after="283"/>
              <w:jc w:val="center"/>
              <w:rPr/>
            </w:pPr>
            <w:r>
              <w:rPr/>
              <w:t>1-30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579" w:type="dxa"/>
            <w:gridSpan w:val="2"/>
            <w:tcBorders>
              <w:bottom w:val="single" w:sz="2" w:space="0" w:color="000000"/>
            </w:tcBorders>
            <w:shd w:fill="auto" w:val="clear"/>
            <w:tcMar>
              <w:bottom w:w="28" w:type="dxa"/>
            </w:tcMar>
            <w:vAlign w:val="bottom"/>
          </w:tcPr>
          <w:p>
            <w:pPr>
              <w:pStyle w:val="TableContents"/>
              <w:spacing w:before="0" w:after="283"/>
              <w:jc w:val="center"/>
              <w:rPr/>
            </w:pPr>
            <w:r>
              <w:rPr/>
              <w:t>31-60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578" w:type="dxa"/>
            <w:gridSpan w:val="2"/>
            <w:tcBorders>
              <w:bottom w:val="single" w:sz="2" w:space="0" w:color="000000"/>
            </w:tcBorders>
            <w:shd w:fill="auto" w:val="clear"/>
            <w:tcMar>
              <w:bottom w:w="28" w:type="dxa"/>
            </w:tcMar>
            <w:vAlign w:val="bottom"/>
          </w:tcPr>
          <w:p>
            <w:pPr>
              <w:pStyle w:val="TableContents"/>
              <w:spacing w:before="0" w:after="283"/>
              <w:jc w:val="center"/>
              <w:rPr/>
            </w:pPr>
            <w:r>
              <w:rPr/>
              <w:t>61-90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524" w:type="dxa"/>
            <w:gridSpan w:val="2"/>
            <w:tcBorders>
              <w:bottom w:val="single" w:sz="2" w:space="0" w:color="000000"/>
            </w:tcBorders>
            <w:shd w:fill="auto" w:val="clear"/>
            <w:tcMar>
              <w:bottom w:w="28" w:type="dxa"/>
            </w:tcMar>
            <w:vAlign w:val="bottom"/>
          </w:tcPr>
          <w:p>
            <w:pPr>
              <w:pStyle w:val="TableContents"/>
              <w:spacing w:before="0" w:after="283"/>
              <w:jc w:val="center"/>
              <w:rPr/>
            </w:pPr>
            <w:r>
              <w:rPr/>
              <w:t>&gt;90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78" w:type="dxa"/>
            <w:gridSpan w:val="2"/>
            <w:tcBorders>
              <w:bottom w:val="single" w:sz="2" w:space="0" w:color="000000"/>
            </w:tcBorders>
            <w:shd w:fill="auto" w:val="clear"/>
            <w:tcMar>
              <w:bottom w:w="28" w:type="dxa"/>
            </w:tcMar>
            <w:vAlign w:val="bottom"/>
          </w:tcPr>
          <w:p>
            <w:pPr>
              <w:pStyle w:val="TableContents"/>
              <w:spacing w:before="0" w:after="283"/>
              <w:jc w:val="center"/>
              <w:rPr/>
            </w:pPr>
            <w:r>
              <w:rPr/>
              <w:t>Past Due</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bottom w:val="single" w:sz="2" w:space="0" w:color="000000"/>
            </w:tcBorders>
            <w:shd w:fill="auto" w:val="clear"/>
            <w:tcMar>
              <w:bottom w:w="28" w:type="dxa"/>
            </w:tcMar>
            <w:vAlign w:val="bottom"/>
          </w:tcPr>
          <w:p>
            <w:pPr>
              <w:pStyle w:val="TableContents"/>
              <w:spacing w:before="0" w:after="283"/>
              <w:jc w:val="center"/>
              <w:rPr/>
            </w:pPr>
            <w:r>
              <w:rPr/>
              <w:t>Receivable</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4" w:type="dxa"/>
            <w:gridSpan w:val="2"/>
            <w:tcBorders>
              <w:bottom w:val="single" w:sz="2" w:space="0" w:color="000000"/>
            </w:tcBorders>
            <w:shd w:fill="auto" w:val="clear"/>
            <w:tcMar>
              <w:bottom w:w="28" w:type="dxa"/>
            </w:tcMar>
            <w:vAlign w:val="bottom"/>
          </w:tcPr>
          <w:p>
            <w:pPr>
              <w:pStyle w:val="TableContents"/>
              <w:spacing w:before="0" w:after="283"/>
              <w:jc w:val="center"/>
              <w:rPr/>
            </w:pPr>
            <w:r>
              <w:rPr/>
              <w:t>Receivable</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02" w:type="dxa"/>
            <w:gridSpan w:val="2"/>
            <w:tcBorders>
              <w:bottom w:val="single" w:sz="2" w:space="0" w:color="000000"/>
            </w:tcBorders>
            <w:shd w:fill="auto" w:val="clear"/>
            <w:tcMar>
              <w:bottom w:w="28" w:type="dxa"/>
            </w:tcMar>
            <w:vAlign w:val="bottom"/>
          </w:tcPr>
          <w:p>
            <w:pPr>
              <w:pStyle w:val="TableContents"/>
              <w:spacing w:before="0" w:after="283"/>
              <w:jc w:val="center"/>
              <w:rPr/>
            </w:pPr>
            <w:r>
              <w:rPr/>
              <w:t>Days &amp; Accruing</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225" w:right="0" w:hanging="225"/>
              <w:rPr/>
            </w:pPr>
            <w:r>
              <w:rPr/>
              <w:t>September 30, 2011</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675" w:right="0" w:hanging="225"/>
              <w:rPr/>
            </w:pPr>
            <w:r>
              <w:rPr/>
              <w:t>Auto title loans</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840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479</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283</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219</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703" w:type="dxa"/>
            <w:tcBorders/>
            <w:shd w:fill="auto" w:val="clear"/>
            <w:vAlign w:val="bottom"/>
          </w:tcPr>
          <w:p>
            <w:pPr>
              <w:pStyle w:val="TableContents"/>
              <w:spacing w:before="0" w:after="283"/>
              <w:jc w:val="right"/>
              <w:rPr/>
            </w:pPr>
            <w:r>
              <w:rPr/>
              <w:t>1,821</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1,939</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3,760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left"/>
              <w:rPr/>
            </w:pPr>
            <w:r>
              <w:rPr/>
              <w:t>$</w:t>
            </w:r>
          </w:p>
        </w:tc>
        <w:tc>
          <w:tcPr>
            <w:tcW w:w="1004"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675" w:right="0" w:hanging="225"/>
              <w:rPr/>
            </w:pPr>
            <w:r>
              <w:rPr/>
              <w:t>Reserve</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117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114</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67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172</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470</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68</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538</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left"/>
              <w:rPr/>
            </w:pPr>
            <w:r>
              <w:rPr/>
              <w:t>$</w:t>
            </w:r>
          </w:p>
        </w:tc>
        <w:tc>
          <w:tcPr>
            <w:tcW w:w="1004"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675" w:right="0" w:hanging="225"/>
              <w:rPr/>
            </w:pPr>
            <w:r>
              <w:rPr/>
              <w:t>Reserve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14</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24</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24</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79</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703" w:type="dxa"/>
            <w:tcBorders/>
            <w:shd w:fill="auto" w:val="clear"/>
            <w:vAlign w:val="bottom"/>
          </w:tcPr>
          <w:p>
            <w:pPr>
              <w:pStyle w:val="TableContents"/>
              <w:spacing w:before="0" w:after="283"/>
              <w:jc w:val="right"/>
              <w:rPr/>
            </w:pPr>
            <w:r>
              <w:rPr/>
              <w:t>26</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4</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14</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225" w:right="0" w:hanging="225"/>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225" w:right="0" w:hanging="225"/>
              <w:rPr/>
            </w:pPr>
            <w:r>
              <w:rPr/>
              <w:t>September 30, 2010</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100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Auto title loans</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796</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552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425" w:type="dxa"/>
            <w:tcBorders/>
            <w:shd w:fill="auto" w:val="clear"/>
            <w:vAlign w:val="bottom"/>
          </w:tcPr>
          <w:p>
            <w:pPr>
              <w:pStyle w:val="TableContents"/>
              <w:spacing w:before="0" w:after="283"/>
              <w:jc w:val="right"/>
              <w:rPr/>
            </w:pPr>
            <w:r>
              <w:rPr/>
              <w:t>432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384" w:type="dxa"/>
            <w:tcBorders/>
            <w:shd w:fill="auto" w:val="clear"/>
            <w:vAlign w:val="bottom"/>
          </w:tcPr>
          <w:p>
            <w:pPr>
              <w:pStyle w:val="TableContents"/>
              <w:spacing w:before="0" w:after="283"/>
              <w:jc w:val="right"/>
              <w:rPr/>
            </w:pPr>
            <w:r>
              <w:rPr/>
              <w:t>532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703" w:type="dxa"/>
            <w:tcBorders/>
            <w:shd w:fill="auto" w:val="clear"/>
            <w:vAlign w:val="bottom"/>
          </w:tcPr>
          <w:p>
            <w:pPr>
              <w:pStyle w:val="TableContents"/>
              <w:spacing w:before="0" w:after="283"/>
              <w:jc w:val="right"/>
              <w:rPr/>
            </w:pPr>
            <w:r>
              <w:rPr/>
              <w:t>2,312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1,970</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4,282</w:t>
            </w:r>
          </w:p>
        </w:tc>
        <w:tc>
          <w:tcPr>
            <w:tcW w:w="21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left"/>
              <w:rPr/>
            </w:pPr>
            <w:r>
              <w:rPr/>
              <w:t>$</w:t>
            </w:r>
          </w:p>
        </w:tc>
        <w:tc>
          <w:tcPr>
            <w:tcW w:w="1004"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r>
      <w:tr>
        <w:trPr/>
        <w:tc>
          <w:tcPr>
            <w:tcW w:w="1179" w:type="dxa"/>
            <w:tcBorders/>
            <w:shd w:fill="CCEEFF" w:val="clear"/>
            <w:vAlign w:val="bottom"/>
          </w:tcPr>
          <w:p>
            <w:pPr>
              <w:pStyle w:val="TableContents"/>
              <w:spacing w:before="0" w:after="0"/>
              <w:ind w:left="450" w:right="0" w:hanging="225"/>
              <w:rPr/>
            </w:pPr>
            <w:r>
              <w:rPr/>
              <w:t>Reserve</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188</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229</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425" w:type="dxa"/>
            <w:tcBorders/>
            <w:shd w:fill="CCEEFF" w:val="clear"/>
            <w:vAlign w:val="bottom"/>
          </w:tcPr>
          <w:p>
            <w:pPr>
              <w:pStyle w:val="TableContents"/>
              <w:spacing w:before="0" w:after="283"/>
              <w:jc w:val="right"/>
              <w:rPr/>
            </w:pPr>
            <w:r>
              <w:rPr/>
              <w:t>256</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384" w:type="dxa"/>
            <w:tcBorders/>
            <w:shd w:fill="CCEEFF" w:val="clear"/>
            <w:vAlign w:val="bottom"/>
          </w:tcPr>
          <w:p>
            <w:pPr>
              <w:pStyle w:val="TableContents"/>
              <w:spacing w:before="0" w:after="283"/>
              <w:jc w:val="right"/>
              <w:rPr/>
            </w:pPr>
            <w:r>
              <w:rPr/>
              <w:t>367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1,040</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97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1,137</w:t>
            </w:r>
          </w:p>
        </w:tc>
        <w:tc>
          <w:tcPr>
            <w:tcW w:w="21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left"/>
              <w:rPr/>
            </w:pPr>
            <w:r>
              <w:rPr/>
              <w:t>$</w:t>
            </w:r>
          </w:p>
        </w:tc>
        <w:tc>
          <w:tcPr>
            <w:tcW w:w="1004"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r>
      <w:tr>
        <w:trPr/>
        <w:tc>
          <w:tcPr>
            <w:tcW w:w="1179" w:type="dxa"/>
            <w:tcBorders/>
            <w:shd w:fill="auto" w:val="clear"/>
            <w:vAlign w:val="bottom"/>
          </w:tcPr>
          <w:p>
            <w:pPr>
              <w:pStyle w:val="TableContents"/>
              <w:spacing w:before="0" w:after="0"/>
              <w:ind w:left="450" w:right="0" w:hanging="225"/>
              <w:rPr/>
            </w:pPr>
            <w:r>
              <w:rPr/>
              <w:t>Reserve %</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24</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41</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59</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384" w:type="dxa"/>
            <w:tcBorders/>
            <w:shd w:fill="auto" w:val="clear"/>
            <w:vAlign w:val="bottom"/>
          </w:tcPr>
          <w:p>
            <w:pPr>
              <w:pStyle w:val="TableContents"/>
              <w:spacing w:before="0" w:after="283"/>
              <w:jc w:val="right"/>
              <w:rPr/>
            </w:pPr>
            <w:r>
              <w:rPr/>
              <w:t>69</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703" w:type="dxa"/>
            <w:tcBorders/>
            <w:shd w:fill="auto" w:val="clear"/>
            <w:vAlign w:val="bottom"/>
          </w:tcPr>
          <w:p>
            <w:pPr>
              <w:pStyle w:val="TableContents"/>
              <w:spacing w:before="0" w:after="283"/>
              <w:jc w:val="right"/>
              <w:rPr/>
            </w:pPr>
            <w:r>
              <w:rPr/>
              <w:t>45</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5</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27</w:t>
            </w:r>
          </w:p>
        </w:tc>
        <w:tc>
          <w:tcPr>
            <w:tcW w:w="215" w:type="dxa"/>
            <w:tcBorders/>
            <w:shd w:fill="auto" w:val="clear"/>
            <w:vAlign w:val="bottom"/>
          </w:tcPr>
          <w:p>
            <w:pPr>
              <w:pStyle w:val="TableContents"/>
              <w:spacing w:before="0" w:after="283"/>
              <w:rPr/>
            </w:pPr>
            <w:r>
              <w:rPr/>
              <w:t>%</w:t>
            </w:r>
          </w:p>
        </w:tc>
        <w:tc>
          <w:tcPr>
            <w:tcW w:w="6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T: Supplemental Consolidated Financial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Supplemental Consolidated Statements of Financial Position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provides information on amounts included in accounts receivable, net and inventories, net: </w:t>
      </w:r>
    </w:p>
    <w:tbl>
      <w:tblPr>
        <w:tblW w:w="5000" w:type="pct"/>
        <w:jc w:val="center"/>
        <w:tblInd w:w="0" w:type="dxa"/>
        <w:tblCellMar>
          <w:top w:w="0" w:type="dxa"/>
          <w:left w:w="0" w:type="dxa"/>
          <w:bottom w:w="0" w:type="dxa"/>
          <w:right w:w="0" w:type="dxa"/>
        </w:tblCellMar>
      </w:tblPr>
      <w:tblGrid>
        <w:gridCol w:w="7173"/>
        <w:gridCol w:w="474"/>
        <w:gridCol w:w="150"/>
        <w:gridCol w:w="776"/>
        <w:gridCol w:w="130"/>
        <w:gridCol w:w="474"/>
        <w:gridCol w:w="150"/>
        <w:gridCol w:w="743"/>
        <w:gridCol w:w="135"/>
      </w:tblGrid>
      <w:tr>
        <w:trPr/>
        <w:tc>
          <w:tcPr>
            <w:tcW w:w="7173"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73"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2423"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35" w:type="dxa"/>
            <w:tcBorders/>
            <w:shd w:fill="auto" w:val="clear"/>
            <w:vAlign w:val="bottom"/>
          </w:tcPr>
          <w:p>
            <w:pPr>
              <w:pStyle w:val="TableContents"/>
              <w:spacing w:before="0" w:after="283"/>
              <w:rPr/>
            </w:pPr>
            <w:r>
              <w:rPr/>
              <w:t> </w:t>
            </w:r>
          </w:p>
        </w:tc>
      </w:tr>
      <w:tr>
        <w:trPr/>
        <w:tc>
          <w:tcPr>
            <w:tcW w:w="7173"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92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89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5" w:type="dxa"/>
            <w:tcBorders/>
            <w:shd w:fill="auto" w:val="clear"/>
            <w:vAlign w:val="bottom"/>
          </w:tcPr>
          <w:p>
            <w:pPr>
              <w:pStyle w:val="TableContents"/>
              <w:spacing w:before="0" w:after="283"/>
              <w:rPr/>
            </w:pPr>
            <w:r>
              <w:rPr/>
              <w:t> </w:t>
            </w:r>
          </w:p>
        </w:tc>
      </w:tr>
      <w:tr>
        <w:trPr/>
        <w:tc>
          <w:tcPr>
            <w:tcW w:w="7173"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2423" w:type="dxa"/>
            <w:gridSpan w:val="6"/>
            <w:tcBorders/>
            <w:shd w:fill="auto" w:val="clear"/>
            <w:vAlign w:val="bottom"/>
          </w:tcPr>
          <w:p>
            <w:pPr>
              <w:pStyle w:val="TableContents"/>
              <w:spacing w:before="0" w:after="283"/>
              <w:jc w:val="center"/>
              <w:rPr>
                <w:i/>
              </w:rPr>
            </w:pPr>
            <w:r>
              <w:rPr>
                <w:i/>
              </w:rPr>
              <w:t>(In thousands)</w:t>
            </w:r>
          </w:p>
        </w:tc>
        <w:tc>
          <w:tcPr>
            <w:tcW w:w="135" w:type="dxa"/>
            <w:tcBorders/>
            <w:shd w:fill="auto" w:val="clear"/>
            <w:vAlign w:val="bottom"/>
          </w:tcPr>
          <w:p>
            <w:pPr>
              <w:pStyle w:val="TableContents"/>
              <w:spacing w:before="0" w:after="283"/>
              <w:rPr/>
            </w:pPr>
            <w:r>
              <w:rPr/>
              <w:t> </w:t>
            </w:r>
          </w:p>
        </w:tc>
      </w:tr>
      <w:tr>
        <w:trPr/>
        <w:tc>
          <w:tcPr>
            <w:tcW w:w="7173" w:type="dxa"/>
            <w:tcBorders/>
            <w:shd w:fill="CCEEFF" w:val="clear"/>
            <w:vAlign w:val="bottom"/>
          </w:tcPr>
          <w:p>
            <w:pPr>
              <w:pStyle w:val="TableContents"/>
              <w:spacing w:before="0" w:after="0"/>
              <w:ind w:left="225" w:right="0" w:hanging="225"/>
              <w:rPr/>
            </w:pPr>
            <w:r>
              <w:rPr/>
              <w:t>Pawn service charges receivable:</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7173" w:type="dxa"/>
            <w:tcBorders/>
            <w:shd w:fill="auto" w:val="clear"/>
            <w:vAlign w:val="bottom"/>
          </w:tcPr>
          <w:p>
            <w:pPr>
              <w:pStyle w:val="TableContents"/>
              <w:spacing w:before="0" w:after="0"/>
              <w:ind w:left="450" w:right="0" w:hanging="225"/>
              <w:rPr/>
            </w:pPr>
            <w:r>
              <w:rPr/>
              <w:t>Gross pawn service charges receivable</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76" w:type="dxa"/>
            <w:tcBorders/>
            <w:shd w:fill="auto" w:val="clear"/>
            <w:vAlign w:val="bottom"/>
          </w:tcPr>
          <w:p>
            <w:pPr>
              <w:pStyle w:val="TableContents"/>
              <w:spacing w:before="0" w:after="283"/>
              <w:jc w:val="right"/>
              <w:rPr/>
            </w:pPr>
            <w:r>
              <w:rPr/>
              <w:t>37,175</w:t>
            </w:r>
          </w:p>
        </w:tc>
        <w:tc>
          <w:tcPr>
            <w:tcW w:w="13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31,575</w:t>
            </w:r>
          </w:p>
        </w:tc>
        <w:tc>
          <w:tcPr>
            <w:tcW w:w="135" w:type="dxa"/>
            <w:tcBorders/>
            <w:shd w:fill="auto" w:val="clear"/>
            <w:vAlign w:val="bottom"/>
          </w:tcPr>
          <w:p>
            <w:pPr>
              <w:pStyle w:val="TableContents"/>
              <w:spacing w:before="0" w:after="283"/>
              <w:rPr/>
            </w:pPr>
            <w:r>
              <w:rPr/>
              <w:t> </w:t>
            </w:r>
          </w:p>
        </w:tc>
      </w:tr>
      <w:tr>
        <w:trPr/>
        <w:tc>
          <w:tcPr>
            <w:tcW w:w="7173" w:type="dxa"/>
            <w:tcBorders/>
            <w:shd w:fill="CCEEFF" w:val="clear"/>
            <w:vAlign w:val="bottom"/>
          </w:tcPr>
          <w:p>
            <w:pPr>
              <w:pStyle w:val="TableContents"/>
              <w:spacing w:before="0" w:after="0"/>
              <w:ind w:left="450" w:right="0" w:hanging="225"/>
              <w:rPr/>
            </w:pPr>
            <w:r>
              <w:rPr/>
              <w:t>Allowance for doubtful accounts</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76" w:type="dxa"/>
            <w:tcBorders/>
            <w:shd w:fill="CCEEFF" w:val="clear"/>
            <w:vAlign w:val="bottom"/>
          </w:tcPr>
          <w:p>
            <w:pPr>
              <w:pStyle w:val="TableContents"/>
              <w:spacing w:before="0" w:after="283"/>
              <w:jc w:val="right"/>
              <w:rPr/>
            </w:pPr>
            <w:r>
              <w:rPr/>
              <w:t>(10,720</w:t>
            </w:r>
          </w:p>
        </w:tc>
        <w:tc>
          <w:tcPr>
            <w:tcW w:w="130" w:type="dxa"/>
            <w:tcBorders/>
            <w:shd w:fill="CCEEFF" w:val="clear"/>
            <w:vAlign w:val="bottom"/>
          </w:tcPr>
          <w:p>
            <w:pPr>
              <w:pStyle w:val="TableContents"/>
              <w:spacing w:before="0" w:after="283"/>
              <w:rPr/>
            </w:pPr>
            <w:r>
              <w:rPr/>
              <w:t>)</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43" w:type="dxa"/>
            <w:tcBorders/>
            <w:shd w:fill="CCEEFF" w:val="clear"/>
            <w:vAlign w:val="bottom"/>
          </w:tcPr>
          <w:p>
            <w:pPr>
              <w:pStyle w:val="TableContents"/>
              <w:spacing w:before="0" w:after="283"/>
              <w:jc w:val="right"/>
              <w:rPr/>
            </w:pPr>
            <w:r>
              <w:rPr/>
              <w:t>(9,949</w:t>
            </w:r>
          </w:p>
        </w:tc>
        <w:tc>
          <w:tcPr>
            <w:tcW w:w="135" w:type="dxa"/>
            <w:tcBorders/>
            <w:shd w:fill="CCEEFF" w:val="clear"/>
            <w:vAlign w:val="bottom"/>
          </w:tcPr>
          <w:p>
            <w:pPr>
              <w:pStyle w:val="TableContents"/>
              <w:spacing w:before="0" w:after="283"/>
              <w:rPr/>
            </w:pPr>
            <w:r>
              <w:rPr/>
              <w:t>)</w:t>
            </w:r>
          </w:p>
        </w:tc>
      </w:tr>
      <w:tr>
        <w:trPr/>
        <w:tc>
          <w:tcPr>
            <w:tcW w:w="7173"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9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73" w:type="dxa"/>
            <w:tcBorders/>
            <w:shd w:fill="auto" w:val="clear"/>
            <w:vAlign w:val="bottom"/>
          </w:tcPr>
          <w:p>
            <w:pPr>
              <w:pStyle w:val="TableContents"/>
              <w:spacing w:before="0" w:after="0"/>
              <w:ind w:left="675" w:right="0" w:hanging="225"/>
              <w:rPr/>
            </w:pPr>
            <w:r>
              <w:rPr/>
              <w:t>Pawn service charges receivable, net</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76" w:type="dxa"/>
            <w:tcBorders/>
            <w:shd w:fill="auto" w:val="clear"/>
            <w:vAlign w:val="bottom"/>
          </w:tcPr>
          <w:p>
            <w:pPr>
              <w:pStyle w:val="TableContents"/>
              <w:spacing w:before="0" w:after="283"/>
              <w:jc w:val="right"/>
              <w:rPr/>
            </w:pPr>
            <w:r>
              <w:rPr/>
              <w:t>26,455</w:t>
            </w:r>
          </w:p>
        </w:tc>
        <w:tc>
          <w:tcPr>
            <w:tcW w:w="13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21,626</w:t>
            </w:r>
          </w:p>
        </w:tc>
        <w:tc>
          <w:tcPr>
            <w:tcW w:w="135" w:type="dxa"/>
            <w:tcBorders/>
            <w:shd w:fill="auto" w:val="clear"/>
            <w:vAlign w:val="bottom"/>
          </w:tcPr>
          <w:p>
            <w:pPr>
              <w:pStyle w:val="TableContents"/>
              <w:spacing w:before="0" w:after="283"/>
              <w:rPr/>
            </w:pPr>
            <w:r>
              <w:rPr/>
              <w:t> </w:t>
            </w:r>
          </w:p>
        </w:tc>
      </w:tr>
      <w:tr>
        <w:trPr/>
        <w:tc>
          <w:tcPr>
            <w:tcW w:w="7173"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9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73" w:type="dxa"/>
            <w:tcBorders/>
            <w:shd w:fill="auto" w:val="clear"/>
            <w:vAlign w:val="bottom"/>
          </w:tcPr>
          <w:p>
            <w:pPr>
              <w:pStyle w:val="TableContents"/>
              <w:spacing w:before="0" w:after="0"/>
              <w:ind w:left="225" w:right="0" w:hanging="225"/>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73" w:type="dxa"/>
            <w:tcBorders/>
            <w:shd w:fill="CCEEFF" w:val="clear"/>
            <w:vAlign w:val="bottom"/>
          </w:tcPr>
          <w:p>
            <w:pPr>
              <w:pStyle w:val="TableContents"/>
              <w:spacing w:before="0" w:after="0"/>
              <w:ind w:left="225" w:right="0" w:hanging="225"/>
              <w:rPr/>
            </w:pPr>
            <w:r>
              <w:rPr/>
              <w:t>Signature loan fees receivable:</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7173" w:type="dxa"/>
            <w:tcBorders/>
            <w:shd w:fill="auto" w:val="clear"/>
            <w:vAlign w:val="bottom"/>
          </w:tcPr>
          <w:p>
            <w:pPr>
              <w:pStyle w:val="TableContents"/>
              <w:spacing w:before="0" w:after="0"/>
              <w:ind w:left="450" w:right="0" w:hanging="225"/>
              <w:rPr/>
            </w:pPr>
            <w:r>
              <w:rPr/>
              <w:t>Gross signature loan fees receivable</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76" w:type="dxa"/>
            <w:tcBorders/>
            <w:shd w:fill="auto" w:val="clear"/>
            <w:vAlign w:val="bottom"/>
          </w:tcPr>
          <w:p>
            <w:pPr>
              <w:pStyle w:val="TableContents"/>
              <w:spacing w:before="0" w:after="283"/>
              <w:jc w:val="right"/>
              <w:rPr/>
            </w:pPr>
            <w:r>
              <w:rPr/>
              <w:t>5,839</w:t>
            </w:r>
          </w:p>
        </w:tc>
        <w:tc>
          <w:tcPr>
            <w:tcW w:w="13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6,144</w:t>
            </w:r>
          </w:p>
        </w:tc>
        <w:tc>
          <w:tcPr>
            <w:tcW w:w="135" w:type="dxa"/>
            <w:tcBorders/>
            <w:shd w:fill="auto" w:val="clear"/>
            <w:vAlign w:val="bottom"/>
          </w:tcPr>
          <w:p>
            <w:pPr>
              <w:pStyle w:val="TableContents"/>
              <w:spacing w:before="0" w:after="283"/>
              <w:rPr/>
            </w:pPr>
            <w:r>
              <w:rPr/>
              <w:t> </w:t>
            </w:r>
          </w:p>
        </w:tc>
      </w:tr>
      <w:tr>
        <w:trPr/>
        <w:tc>
          <w:tcPr>
            <w:tcW w:w="7173" w:type="dxa"/>
            <w:tcBorders/>
            <w:shd w:fill="CCEEFF" w:val="clear"/>
            <w:vAlign w:val="bottom"/>
          </w:tcPr>
          <w:p>
            <w:pPr>
              <w:pStyle w:val="TableContents"/>
              <w:spacing w:before="0" w:after="0"/>
              <w:ind w:left="450" w:right="0" w:hanging="225"/>
              <w:rPr/>
            </w:pPr>
            <w:r>
              <w:rPr/>
              <w:t>Allowance for doubtful accounts</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76" w:type="dxa"/>
            <w:tcBorders/>
            <w:shd w:fill="CCEEFF" w:val="clear"/>
            <w:vAlign w:val="bottom"/>
          </w:tcPr>
          <w:p>
            <w:pPr>
              <w:pStyle w:val="TableContents"/>
              <w:spacing w:before="0" w:after="283"/>
              <w:jc w:val="right"/>
              <w:rPr/>
            </w:pPr>
            <w:r>
              <w:rPr/>
              <w:t>(491</w:t>
            </w:r>
          </w:p>
        </w:tc>
        <w:tc>
          <w:tcPr>
            <w:tcW w:w="130" w:type="dxa"/>
            <w:tcBorders/>
            <w:shd w:fill="CCEEFF" w:val="clear"/>
            <w:vAlign w:val="bottom"/>
          </w:tcPr>
          <w:p>
            <w:pPr>
              <w:pStyle w:val="TableContents"/>
              <w:spacing w:before="0" w:after="283"/>
              <w:rPr/>
            </w:pPr>
            <w:r>
              <w:rPr/>
              <w:t>)</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43" w:type="dxa"/>
            <w:tcBorders/>
            <w:shd w:fill="CCEEFF" w:val="clear"/>
            <w:vAlign w:val="bottom"/>
          </w:tcPr>
          <w:p>
            <w:pPr>
              <w:pStyle w:val="TableContents"/>
              <w:spacing w:before="0" w:after="283"/>
              <w:jc w:val="right"/>
              <w:rPr/>
            </w:pPr>
            <w:r>
              <w:rPr/>
              <w:t>(326</w:t>
            </w:r>
          </w:p>
        </w:tc>
        <w:tc>
          <w:tcPr>
            <w:tcW w:w="135" w:type="dxa"/>
            <w:tcBorders/>
            <w:shd w:fill="CCEEFF" w:val="clear"/>
            <w:vAlign w:val="bottom"/>
          </w:tcPr>
          <w:p>
            <w:pPr>
              <w:pStyle w:val="TableContents"/>
              <w:spacing w:before="0" w:after="283"/>
              <w:rPr/>
            </w:pPr>
            <w:r>
              <w:rPr/>
              <w:t>)</w:t>
            </w:r>
          </w:p>
        </w:tc>
      </w:tr>
      <w:tr>
        <w:trPr/>
        <w:tc>
          <w:tcPr>
            <w:tcW w:w="7173"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9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73" w:type="dxa"/>
            <w:tcBorders/>
            <w:shd w:fill="auto" w:val="clear"/>
            <w:vAlign w:val="bottom"/>
          </w:tcPr>
          <w:p>
            <w:pPr>
              <w:pStyle w:val="TableContents"/>
              <w:spacing w:before="0" w:after="0"/>
              <w:ind w:left="675" w:right="0" w:hanging="225"/>
              <w:rPr/>
            </w:pPr>
            <w:r>
              <w:rPr/>
              <w:t>Signature loan fees receivable, net</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76" w:type="dxa"/>
            <w:tcBorders/>
            <w:shd w:fill="auto" w:val="clear"/>
            <w:vAlign w:val="bottom"/>
          </w:tcPr>
          <w:p>
            <w:pPr>
              <w:pStyle w:val="TableContents"/>
              <w:spacing w:before="0" w:after="283"/>
              <w:jc w:val="right"/>
              <w:rPr/>
            </w:pPr>
            <w:r>
              <w:rPr/>
              <w:t>5,348</w:t>
            </w:r>
          </w:p>
        </w:tc>
        <w:tc>
          <w:tcPr>
            <w:tcW w:w="13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5,818</w:t>
            </w:r>
          </w:p>
        </w:tc>
        <w:tc>
          <w:tcPr>
            <w:tcW w:w="135" w:type="dxa"/>
            <w:tcBorders/>
            <w:shd w:fill="auto" w:val="clear"/>
            <w:vAlign w:val="bottom"/>
          </w:tcPr>
          <w:p>
            <w:pPr>
              <w:pStyle w:val="TableContents"/>
              <w:spacing w:before="0" w:after="283"/>
              <w:rPr/>
            </w:pPr>
            <w:r>
              <w:rPr/>
              <w:t> </w:t>
            </w:r>
          </w:p>
        </w:tc>
      </w:tr>
      <w:tr>
        <w:trPr/>
        <w:tc>
          <w:tcPr>
            <w:tcW w:w="7173"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9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73" w:type="dxa"/>
            <w:tcBorders/>
            <w:shd w:fill="auto" w:val="clear"/>
            <w:vAlign w:val="bottom"/>
          </w:tcPr>
          <w:p>
            <w:pPr>
              <w:pStyle w:val="TableContents"/>
              <w:spacing w:before="0" w:after="0"/>
              <w:ind w:left="225" w:right="0" w:hanging="225"/>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73" w:type="dxa"/>
            <w:tcBorders/>
            <w:shd w:fill="CCEEFF" w:val="clear"/>
            <w:vAlign w:val="bottom"/>
          </w:tcPr>
          <w:p>
            <w:pPr>
              <w:pStyle w:val="TableContents"/>
              <w:spacing w:before="0" w:after="0"/>
              <w:ind w:left="225" w:right="0" w:hanging="225"/>
              <w:rPr/>
            </w:pPr>
            <w:r>
              <w:rPr/>
              <w:t>Auto title loan fees receivable:</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7173" w:type="dxa"/>
            <w:tcBorders/>
            <w:shd w:fill="auto" w:val="clear"/>
            <w:vAlign w:val="bottom"/>
          </w:tcPr>
          <w:p>
            <w:pPr>
              <w:pStyle w:val="TableContents"/>
              <w:spacing w:before="0" w:after="0"/>
              <w:ind w:left="450" w:right="0" w:hanging="225"/>
              <w:rPr/>
            </w:pPr>
            <w:r>
              <w:rPr/>
              <w:t>Gross auto title loan fees receivable</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76" w:type="dxa"/>
            <w:tcBorders/>
            <w:shd w:fill="auto" w:val="clear"/>
            <w:vAlign w:val="bottom"/>
          </w:tcPr>
          <w:p>
            <w:pPr>
              <w:pStyle w:val="TableContents"/>
              <w:spacing w:before="0" w:after="283"/>
              <w:jc w:val="right"/>
              <w:rPr/>
            </w:pPr>
            <w:r>
              <w:rPr/>
              <w:t>1,507</w:t>
            </w:r>
          </w:p>
        </w:tc>
        <w:tc>
          <w:tcPr>
            <w:tcW w:w="13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1,721</w:t>
            </w:r>
          </w:p>
        </w:tc>
        <w:tc>
          <w:tcPr>
            <w:tcW w:w="135" w:type="dxa"/>
            <w:tcBorders/>
            <w:shd w:fill="auto" w:val="clear"/>
            <w:vAlign w:val="bottom"/>
          </w:tcPr>
          <w:p>
            <w:pPr>
              <w:pStyle w:val="TableContents"/>
              <w:spacing w:before="0" w:after="283"/>
              <w:rPr/>
            </w:pPr>
            <w:r>
              <w:rPr/>
              <w:t> </w:t>
            </w:r>
          </w:p>
        </w:tc>
      </w:tr>
      <w:tr>
        <w:trPr/>
        <w:tc>
          <w:tcPr>
            <w:tcW w:w="7173" w:type="dxa"/>
            <w:tcBorders/>
            <w:shd w:fill="CCEEFF" w:val="clear"/>
            <w:vAlign w:val="bottom"/>
          </w:tcPr>
          <w:p>
            <w:pPr>
              <w:pStyle w:val="TableContents"/>
              <w:spacing w:before="0" w:after="0"/>
              <w:ind w:left="450" w:right="0" w:hanging="225"/>
              <w:rPr/>
            </w:pPr>
            <w:r>
              <w:rPr/>
              <w:t>Allowance for doubtful accounts</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76" w:type="dxa"/>
            <w:tcBorders/>
            <w:shd w:fill="CCEEFF" w:val="clear"/>
            <w:vAlign w:val="bottom"/>
          </w:tcPr>
          <w:p>
            <w:pPr>
              <w:pStyle w:val="TableContents"/>
              <w:spacing w:before="0" w:after="283"/>
              <w:jc w:val="right"/>
              <w:rPr/>
            </w:pPr>
            <w:r>
              <w:rPr/>
              <w:t>(80</w:t>
            </w:r>
          </w:p>
        </w:tc>
        <w:tc>
          <w:tcPr>
            <w:tcW w:w="130" w:type="dxa"/>
            <w:tcBorders/>
            <w:shd w:fill="CCEEFF" w:val="clear"/>
            <w:vAlign w:val="bottom"/>
          </w:tcPr>
          <w:p>
            <w:pPr>
              <w:pStyle w:val="TableContents"/>
              <w:spacing w:before="0" w:after="283"/>
              <w:rPr/>
            </w:pPr>
            <w:r>
              <w:rPr/>
              <w:t>)</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43" w:type="dxa"/>
            <w:tcBorders/>
            <w:shd w:fill="CCEEFF" w:val="clear"/>
            <w:vAlign w:val="bottom"/>
          </w:tcPr>
          <w:p>
            <w:pPr>
              <w:pStyle w:val="TableContents"/>
              <w:spacing w:before="0" w:after="283"/>
              <w:jc w:val="right"/>
              <w:rPr/>
            </w:pPr>
            <w:r>
              <w:rPr/>
              <w:t>(105</w:t>
            </w:r>
          </w:p>
        </w:tc>
        <w:tc>
          <w:tcPr>
            <w:tcW w:w="135" w:type="dxa"/>
            <w:tcBorders/>
            <w:shd w:fill="CCEEFF" w:val="clear"/>
            <w:vAlign w:val="bottom"/>
          </w:tcPr>
          <w:p>
            <w:pPr>
              <w:pStyle w:val="TableContents"/>
              <w:spacing w:before="0" w:after="283"/>
              <w:rPr/>
            </w:pPr>
            <w:r>
              <w:rPr/>
              <w:t>)</w:t>
            </w:r>
          </w:p>
        </w:tc>
      </w:tr>
      <w:tr>
        <w:trPr/>
        <w:tc>
          <w:tcPr>
            <w:tcW w:w="7173"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9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73" w:type="dxa"/>
            <w:tcBorders/>
            <w:shd w:fill="auto" w:val="clear"/>
            <w:vAlign w:val="bottom"/>
          </w:tcPr>
          <w:p>
            <w:pPr>
              <w:pStyle w:val="TableContents"/>
              <w:spacing w:before="0" w:after="0"/>
              <w:ind w:left="675" w:right="0" w:hanging="225"/>
              <w:rPr/>
            </w:pPr>
            <w:r>
              <w:rPr/>
              <w:t>Auto title loan fees receivable, net</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76" w:type="dxa"/>
            <w:tcBorders/>
            <w:shd w:fill="auto" w:val="clear"/>
            <w:vAlign w:val="bottom"/>
          </w:tcPr>
          <w:p>
            <w:pPr>
              <w:pStyle w:val="TableContents"/>
              <w:spacing w:before="0" w:after="283"/>
              <w:jc w:val="right"/>
              <w:rPr/>
            </w:pPr>
            <w:r>
              <w:rPr/>
              <w:t>1,427</w:t>
            </w:r>
          </w:p>
        </w:tc>
        <w:tc>
          <w:tcPr>
            <w:tcW w:w="13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1,616</w:t>
            </w:r>
          </w:p>
        </w:tc>
        <w:tc>
          <w:tcPr>
            <w:tcW w:w="135" w:type="dxa"/>
            <w:tcBorders/>
            <w:shd w:fill="auto" w:val="clear"/>
            <w:vAlign w:val="bottom"/>
          </w:tcPr>
          <w:p>
            <w:pPr>
              <w:pStyle w:val="TableContents"/>
              <w:spacing w:before="0" w:after="283"/>
              <w:rPr/>
            </w:pPr>
            <w:r>
              <w:rPr/>
              <w:t> </w:t>
            </w:r>
          </w:p>
        </w:tc>
      </w:tr>
      <w:tr>
        <w:trPr/>
        <w:tc>
          <w:tcPr>
            <w:tcW w:w="7173"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9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73" w:type="dxa"/>
            <w:tcBorders/>
            <w:shd w:fill="auto" w:val="clear"/>
            <w:vAlign w:val="bottom"/>
          </w:tcPr>
          <w:p>
            <w:pPr>
              <w:pStyle w:val="TableContents"/>
              <w:spacing w:before="0" w:after="0"/>
              <w:ind w:left="225" w:right="0" w:hanging="225"/>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73" w:type="dxa"/>
            <w:tcBorders/>
            <w:shd w:fill="CCEEFF" w:val="clear"/>
            <w:vAlign w:val="bottom"/>
          </w:tcPr>
          <w:p>
            <w:pPr>
              <w:pStyle w:val="TableContents"/>
              <w:spacing w:before="0" w:after="0"/>
              <w:ind w:left="225" w:right="0" w:hanging="225"/>
              <w:rPr/>
            </w:pPr>
            <w:r>
              <w:rPr/>
              <w:t>Inventory:</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7173" w:type="dxa"/>
            <w:tcBorders/>
            <w:shd w:fill="auto" w:val="clear"/>
            <w:vAlign w:val="bottom"/>
          </w:tcPr>
          <w:p>
            <w:pPr>
              <w:pStyle w:val="TableContents"/>
              <w:spacing w:before="0" w:after="0"/>
              <w:ind w:left="450" w:right="0" w:hanging="225"/>
              <w:rPr/>
            </w:pPr>
            <w:r>
              <w:rPr/>
              <w:t>Inventory, gross</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73" w:type="dxa"/>
            <w:tcBorders/>
            <w:shd w:fill="CCEEFF" w:val="clear"/>
            <w:vAlign w:val="bottom"/>
          </w:tcPr>
          <w:p>
            <w:pPr>
              <w:pStyle w:val="TableContents"/>
              <w:spacing w:before="0" w:after="0"/>
              <w:ind w:left="450" w:right="0" w:hanging="225"/>
              <w:rPr/>
            </w:pPr>
            <w:r>
              <w:rPr/>
              <w:t>Inventory reserves</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76" w:type="dxa"/>
            <w:tcBorders/>
            <w:shd w:fill="CCEEFF" w:val="clear"/>
            <w:vAlign w:val="bottom"/>
          </w:tcPr>
          <w:p>
            <w:pPr>
              <w:pStyle w:val="TableContents"/>
              <w:spacing w:before="0" w:after="283"/>
              <w:jc w:val="right"/>
              <w:rPr/>
            </w:pPr>
            <w:r>
              <w:rPr/>
              <w:t>99,854</w:t>
            </w:r>
          </w:p>
        </w:tc>
        <w:tc>
          <w:tcPr>
            <w:tcW w:w="130"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43" w:type="dxa"/>
            <w:tcBorders/>
            <w:shd w:fill="CCEEFF" w:val="clear"/>
            <w:vAlign w:val="bottom"/>
          </w:tcPr>
          <w:p>
            <w:pPr>
              <w:pStyle w:val="TableContents"/>
              <w:spacing w:before="0" w:after="283"/>
              <w:jc w:val="right"/>
              <w:rPr/>
            </w:pPr>
            <w:r>
              <w:rPr/>
              <w:t>77,211</w:t>
            </w:r>
          </w:p>
        </w:tc>
        <w:tc>
          <w:tcPr>
            <w:tcW w:w="135" w:type="dxa"/>
            <w:tcBorders/>
            <w:shd w:fill="CCEEFF" w:val="clear"/>
            <w:vAlign w:val="bottom"/>
          </w:tcPr>
          <w:p>
            <w:pPr>
              <w:pStyle w:val="TableContents"/>
              <w:spacing w:before="0" w:after="283"/>
              <w:rPr/>
            </w:pPr>
            <w:r>
              <w:rPr/>
              <w:t> </w:t>
            </w:r>
          </w:p>
        </w:tc>
      </w:tr>
      <w:tr>
        <w:trPr/>
        <w:tc>
          <w:tcPr>
            <w:tcW w:w="7173" w:type="dxa"/>
            <w:tcBorders/>
            <w:shd w:fill="auto" w:val="clear"/>
            <w:vAlign w:val="bottom"/>
          </w:tcPr>
          <w:p>
            <w:pPr>
              <w:pStyle w:val="TableContents"/>
              <w:spacing w:before="0" w:after="0"/>
              <w:ind w:left="675" w:right="0" w:hanging="225"/>
              <w:rPr/>
            </w:pPr>
            <w:r>
              <w:rPr/>
              <w:t>Inventory, net</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76" w:type="dxa"/>
            <w:tcBorders/>
            <w:shd w:fill="auto" w:val="clear"/>
            <w:vAlign w:val="bottom"/>
          </w:tcPr>
          <w:p>
            <w:pPr>
              <w:pStyle w:val="TableContents"/>
              <w:spacing w:before="0" w:after="283"/>
              <w:jc w:val="right"/>
              <w:rPr/>
            </w:pPr>
            <w:r>
              <w:rPr/>
              <w:t>(9,481</w:t>
            </w:r>
          </w:p>
        </w:tc>
        <w:tc>
          <w:tcPr>
            <w:tcW w:w="130" w:type="dxa"/>
            <w:tcBorders/>
            <w:shd w:fill="auto" w:val="clear"/>
            <w:vAlign w:val="bottom"/>
          </w:tcPr>
          <w:p>
            <w:pPr>
              <w:pStyle w:val="TableContents"/>
              <w:spacing w:before="0" w:after="283"/>
              <w:rPr/>
            </w:pPr>
            <w:r>
              <w:rPr/>
              <w:t>)</w:t>
            </w:r>
          </w:p>
        </w:tc>
        <w:tc>
          <w:tcPr>
            <w:tcW w:w="47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283"/>
              <w:jc w:val="right"/>
              <w:rPr/>
            </w:pPr>
            <w:r>
              <w:rPr/>
              <w:t>(5,709</w:t>
            </w:r>
          </w:p>
        </w:tc>
        <w:tc>
          <w:tcPr>
            <w:tcW w:w="135" w:type="dxa"/>
            <w:tcBorders/>
            <w:shd w:fill="auto" w:val="clear"/>
            <w:vAlign w:val="bottom"/>
          </w:tcPr>
          <w:p>
            <w:pPr>
              <w:pStyle w:val="TableContents"/>
              <w:spacing w:before="0" w:after="283"/>
              <w:rPr/>
            </w:pPr>
            <w:r>
              <w:rPr/>
              <w:t>)</w:t>
            </w:r>
          </w:p>
        </w:tc>
      </w:tr>
      <w:tr>
        <w:trPr/>
        <w:tc>
          <w:tcPr>
            <w:tcW w:w="7173"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9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73" w:type="dxa"/>
            <w:tcBorders/>
            <w:shd w:fill="CCEEFF" w:val="clear"/>
            <w:vAlign w:val="bottom"/>
          </w:tcPr>
          <w:p>
            <w:pPr>
              <w:pStyle w:val="TableContents"/>
              <w:spacing w:before="0" w:after="0"/>
              <w:ind w:left="225" w:right="0" w:hanging="225"/>
              <w:rPr/>
            </w:pPr>
            <w:r>
              <w:rPr/>
              <w:t> </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76" w:type="dxa"/>
            <w:tcBorders/>
            <w:shd w:fill="CCEEFF" w:val="clear"/>
            <w:vAlign w:val="bottom"/>
          </w:tcPr>
          <w:p>
            <w:pPr>
              <w:pStyle w:val="TableContents"/>
              <w:spacing w:before="0" w:after="283"/>
              <w:jc w:val="right"/>
              <w:rPr/>
            </w:pPr>
            <w:r>
              <w:rPr/>
              <w:t>90,373</w:t>
            </w:r>
          </w:p>
        </w:tc>
        <w:tc>
          <w:tcPr>
            <w:tcW w:w="130"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43" w:type="dxa"/>
            <w:tcBorders/>
            <w:shd w:fill="CCEEFF" w:val="clear"/>
            <w:vAlign w:val="bottom"/>
          </w:tcPr>
          <w:p>
            <w:pPr>
              <w:pStyle w:val="TableContents"/>
              <w:spacing w:before="0" w:after="283"/>
              <w:jc w:val="right"/>
              <w:rPr/>
            </w:pPr>
            <w:r>
              <w:rPr/>
              <w:t>71,502</w:t>
            </w:r>
          </w:p>
        </w:tc>
        <w:tc>
          <w:tcPr>
            <w:tcW w:w="135" w:type="dxa"/>
            <w:tcBorders/>
            <w:shd w:fill="CCEEFF" w:val="clear"/>
            <w:vAlign w:val="bottom"/>
          </w:tcPr>
          <w:p>
            <w:pPr>
              <w:pStyle w:val="TableContents"/>
              <w:spacing w:before="0" w:after="283"/>
              <w:rPr/>
            </w:pPr>
            <w:r>
              <w:rPr/>
              <w:t> </w:t>
            </w:r>
          </w:p>
        </w:tc>
      </w:tr>
      <w:tr>
        <w:trPr/>
        <w:tc>
          <w:tcPr>
            <w:tcW w:w="7173"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9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Supplemental Consolidated Statements of Income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provides advertising expense for periods presented. Advertising costs are included in administrative expenses in the Consolidated Statements of Income: </w:t>
      </w:r>
    </w:p>
    <w:tbl>
      <w:tblPr>
        <w:tblW w:w="5000" w:type="pct"/>
        <w:jc w:val="center"/>
        <w:tblInd w:w="0" w:type="dxa"/>
        <w:tblCellMar>
          <w:top w:w="0" w:type="dxa"/>
          <w:left w:w="0" w:type="dxa"/>
          <w:bottom w:w="0" w:type="dxa"/>
          <w:right w:w="0" w:type="dxa"/>
        </w:tblCellMar>
      </w:tblPr>
      <w:tblGrid>
        <w:gridCol w:w="4920"/>
        <w:gridCol w:w="376"/>
        <w:gridCol w:w="215"/>
        <w:gridCol w:w="930"/>
        <w:gridCol w:w="130"/>
        <w:gridCol w:w="394"/>
        <w:gridCol w:w="276"/>
        <w:gridCol w:w="1175"/>
        <w:gridCol w:w="130"/>
        <w:gridCol w:w="394"/>
        <w:gridCol w:w="214"/>
        <w:gridCol w:w="933"/>
        <w:gridCol w:w="118"/>
      </w:tblGrid>
      <w:tr>
        <w:trPr/>
        <w:tc>
          <w:tcPr>
            <w:tcW w:w="492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4791"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18" w:type="dxa"/>
            <w:tcBorders/>
            <w:shd w:fill="auto"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14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4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14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8" w:type="dxa"/>
            <w:tcBorders/>
            <w:shd w:fill="auto"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451" w:type="dxa"/>
            <w:gridSpan w:val="2"/>
            <w:tcBorders/>
            <w:shd w:fill="auto" w:val="clear"/>
            <w:vAlign w:val="bottom"/>
          </w:tcPr>
          <w:p>
            <w:pPr>
              <w:pStyle w:val="TableContents"/>
              <w:spacing w:before="0" w:after="283"/>
              <w:jc w:val="center"/>
              <w:rPr>
                <w:i/>
              </w:rPr>
            </w:pPr>
            <w:r>
              <w:rPr>
                <w:i/>
              </w:rPr>
              <w:t>(In thousands)</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0"/>
              <w:ind w:left="225" w:right="0" w:hanging="225"/>
              <w:rPr/>
            </w:pPr>
            <w:r>
              <w:rPr/>
              <w:t>Advertising Expense</w:t>
            </w:r>
          </w:p>
        </w:tc>
        <w:tc>
          <w:tcPr>
            <w:tcW w:w="37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3,577</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jc w:val="left"/>
              <w:rPr/>
            </w:pPr>
            <w:r>
              <w:rPr/>
              <w:t>$</w:t>
            </w:r>
          </w:p>
        </w:tc>
        <w:tc>
          <w:tcPr>
            <w:tcW w:w="1175" w:type="dxa"/>
            <w:tcBorders/>
            <w:shd w:fill="auto" w:val="clear"/>
            <w:vAlign w:val="bottom"/>
          </w:tcPr>
          <w:p>
            <w:pPr>
              <w:pStyle w:val="TableContents"/>
              <w:spacing w:before="0" w:after="283"/>
              <w:jc w:val="right"/>
              <w:rPr/>
            </w:pPr>
            <w:r>
              <w:rPr/>
              <w:t>2,205</w:t>
            </w:r>
          </w:p>
        </w:tc>
        <w:tc>
          <w:tcPr>
            <w:tcW w:w="13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33" w:type="dxa"/>
            <w:tcBorders/>
            <w:shd w:fill="auto" w:val="clear"/>
            <w:vAlign w:val="bottom"/>
          </w:tcPr>
          <w:p>
            <w:pPr>
              <w:pStyle w:val="TableContents"/>
              <w:spacing w:before="0" w:after="283"/>
              <w:jc w:val="right"/>
              <w:rPr/>
            </w:pPr>
            <w:r>
              <w:rPr/>
              <w:t>2,033</w:t>
            </w:r>
          </w:p>
        </w:tc>
        <w:tc>
          <w:tcPr>
            <w:tcW w:w="118"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u w:val="single"/>
        </w:rPr>
        <w:t>Other Supplemental Information</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289"/>
        <w:gridCol w:w="483"/>
        <w:gridCol w:w="144"/>
        <w:gridCol w:w="715"/>
        <w:gridCol w:w="114"/>
        <w:gridCol w:w="483"/>
        <w:gridCol w:w="144"/>
        <w:gridCol w:w="715"/>
        <w:gridCol w:w="118"/>
      </w:tblGrid>
      <w:tr>
        <w:trPr/>
        <w:tc>
          <w:tcPr>
            <w:tcW w:w="7289"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2315"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18" w:type="dxa"/>
            <w:tcBorders/>
            <w:shd w:fill="auto"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114"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8" w:type="dxa"/>
            <w:tcBorders/>
            <w:shd w:fill="auto"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2315" w:type="dxa"/>
            <w:gridSpan w:val="6"/>
            <w:tcBorders/>
            <w:shd w:fill="auto" w:val="clear"/>
            <w:vAlign w:val="bottom"/>
          </w:tcPr>
          <w:p>
            <w:pPr>
              <w:pStyle w:val="TableContents"/>
              <w:spacing w:before="0" w:after="283"/>
              <w:jc w:val="center"/>
              <w:rPr>
                <w:i/>
              </w:rPr>
            </w:pPr>
            <w:r>
              <w:rPr>
                <w:i/>
              </w:rPr>
              <w:t>(In thousands)</w:t>
            </w:r>
          </w:p>
        </w:tc>
        <w:tc>
          <w:tcPr>
            <w:tcW w:w="118" w:type="dxa"/>
            <w:tcBorders/>
            <w:shd w:fill="auto" w:val="clear"/>
            <w:vAlign w:val="bottom"/>
          </w:tcPr>
          <w:p>
            <w:pPr>
              <w:pStyle w:val="TableContents"/>
              <w:spacing w:before="0" w:after="283"/>
              <w:rPr/>
            </w:pPr>
            <w:r>
              <w:rPr/>
              <w:t> </w:t>
            </w:r>
          </w:p>
        </w:tc>
      </w:tr>
      <w:tr>
        <w:trPr/>
        <w:tc>
          <w:tcPr>
            <w:tcW w:w="7289" w:type="dxa"/>
            <w:tcBorders/>
            <w:shd w:fill="CCEEFF" w:val="clear"/>
            <w:vAlign w:val="bottom"/>
          </w:tcPr>
          <w:p>
            <w:pPr>
              <w:pStyle w:val="TableContents"/>
              <w:spacing w:before="0" w:after="0"/>
              <w:ind w:left="225" w:right="0" w:hanging="225"/>
              <w:rPr/>
            </w:pPr>
            <w:r>
              <w:rPr/>
              <w:t>Signature Loans:</w:t>
            </w:r>
          </w:p>
        </w:tc>
        <w:tc>
          <w:tcPr>
            <w:tcW w:w="48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0"/>
              <w:ind w:left="225" w:right="0" w:hanging="225"/>
              <w:rPr/>
            </w:pPr>
            <w:r>
              <w:rPr/>
              <w:t>Expected LOC losses</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1,562</w:t>
            </w:r>
          </w:p>
        </w:tc>
        <w:tc>
          <w:tcPr>
            <w:tcW w:w="114"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1,337</w:t>
            </w:r>
          </w:p>
        </w:tc>
        <w:tc>
          <w:tcPr>
            <w:tcW w:w="118" w:type="dxa"/>
            <w:tcBorders/>
            <w:shd w:fill="auto" w:val="clear"/>
            <w:vAlign w:val="bottom"/>
          </w:tcPr>
          <w:p>
            <w:pPr>
              <w:pStyle w:val="TableContents"/>
              <w:spacing w:before="0" w:after="283"/>
              <w:rPr/>
            </w:pPr>
            <w:r>
              <w:rPr/>
              <w:t> </w:t>
            </w:r>
          </w:p>
        </w:tc>
      </w:tr>
      <w:tr>
        <w:trPr/>
        <w:tc>
          <w:tcPr>
            <w:tcW w:w="7289" w:type="dxa"/>
            <w:tcBorders/>
            <w:shd w:fill="CCEEFF" w:val="clear"/>
            <w:vAlign w:val="bottom"/>
          </w:tcPr>
          <w:p>
            <w:pPr>
              <w:pStyle w:val="TableContents"/>
              <w:spacing w:before="0" w:after="0"/>
              <w:ind w:left="225" w:right="0" w:hanging="225"/>
              <w:rPr/>
            </w:pPr>
            <w:r>
              <w:rPr/>
              <w:t>Maximum exposure for LOC losses</w:t>
            </w:r>
          </w:p>
        </w:tc>
        <w:tc>
          <w:tcPr>
            <w:tcW w:w="48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715" w:type="dxa"/>
            <w:tcBorders/>
            <w:shd w:fill="CCEEFF" w:val="clear"/>
            <w:vAlign w:val="bottom"/>
          </w:tcPr>
          <w:p>
            <w:pPr>
              <w:pStyle w:val="TableContents"/>
              <w:spacing w:before="0" w:after="283"/>
              <w:jc w:val="right"/>
              <w:rPr/>
            </w:pPr>
            <w:r>
              <w:rPr/>
              <w:t>23,845</w:t>
            </w:r>
          </w:p>
        </w:tc>
        <w:tc>
          <w:tcPr>
            <w:tcW w:w="114"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715" w:type="dxa"/>
            <w:tcBorders/>
            <w:shd w:fill="CCEEFF" w:val="clear"/>
            <w:vAlign w:val="bottom"/>
          </w:tcPr>
          <w:p>
            <w:pPr>
              <w:pStyle w:val="TableContents"/>
              <w:spacing w:before="0" w:after="283"/>
              <w:jc w:val="right"/>
              <w:rPr/>
            </w:pPr>
            <w:r>
              <w:rPr/>
              <w:t>24,449</w:t>
            </w:r>
          </w:p>
        </w:tc>
        <w:tc>
          <w:tcPr>
            <w:tcW w:w="118" w:type="dxa"/>
            <w:tcBorders/>
            <w:shd w:fill="CCEEFF"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0"/>
              <w:ind w:left="225" w:right="0" w:hanging="225"/>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0"/>
              <w:ind w:left="225" w:right="0" w:hanging="225"/>
              <w:rPr/>
            </w:pPr>
            <w:r>
              <w:rPr/>
              <w:t>Auto title loans:</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289" w:type="dxa"/>
            <w:tcBorders/>
            <w:shd w:fill="CCEEFF" w:val="clear"/>
            <w:vAlign w:val="bottom"/>
          </w:tcPr>
          <w:p>
            <w:pPr>
              <w:pStyle w:val="TableContents"/>
              <w:spacing w:before="0" w:after="0"/>
              <w:ind w:left="225" w:right="0" w:hanging="225"/>
              <w:rPr/>
            </w:pPr>
            <w:r>
              <w:rPr/>
              <w:t>Expected LOC losses</w:t>
            </w:r>
          </w:p>
        </w:tc>
        <w:tc>
          <w:tcPr>
            <w:tcW w:w="48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715" w:type="dxa"/>
            <w:tcBorders/>
            <w:shd w:fill="CCEEFF" w:val="clear"/>
            <w:vAlign w:val="bottom"/>
          </w:tcPr>
          <w:p>
            <w:pPr>
              <w:pStyle w:val="TableContents"/>
              <w:spacing w:before="0" w:after="283"/>
              <w:jc w:val="right"/>
              <w:rPr/>
            </w:pPr>
            <w:r>
              <w:rPr/>
              <w:t>233</w:t>
            </w:r>
          </w:p>
        </w:tc>
        <w:tc>
          <w:tcPr>
            <w:tcW w:w="114"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715" w:type="dxa"/>
            <w:tcBorders/>
            <w:shd w:fill="CCEEFF" w:val="clear"/>
            <w:vAlign w:val="bottom"/>
          </w:tcPr>
          <w:p>
            <w:pPr>
              <w:pStyle w:val="TableContents"/>
              <w:spacing w:before="0" w:after="283"/>
              <w:jc w:val="right"/>
              <w:rPr/>
            </w:pPr>
            <w:r>
              <w:rPr/>
              <w:t>362</w:t>
            </w:r>
          </w:p>
        </w:tc>
        <w:tc>
          <w:tcPr>
            <w:tcW w:w="118" w:type="dxa"/>
            <w:tcBorders/>
            <w:shd w:fill="CCEEFF" w:val="clear"/>
            <w:vAlign w:val="bottom"/>
          </w:tcPr>
          <w:p>
            <w:pPr>
              <w:pStyle w:val="TableContents"/>
              <w:spacing w:before="0" w:after="283"/>
              <w:rPr/>
            </w:pPr>
            <w:r>
              <w:rPr/>
              <w:t> </w:t>
            </w:r>
          </w:p>
        </w:tc>
      </w:tr>
      <w:tr>
        <w:trPr/>
        <w:tc>
          <w:tcPr>
            <w:tcW w:w="7289" w:type="dxa"/>
            <w:tcBorders/>
            <w:shd w:fill="auto" w:val="clear"/>
            <w:vAlign w:val="bottom"/>
          </w:tcPr>
          <w:p>
            <w:pPr>
              <w:pStyle w:val="TableContents"/>
              <w:spacing w:before="0" w:after="0"/>
              <w:ind w:left="225" w:right="0" w:hanging="225"/>
              <w:rPr/>
            </w:pPr>
            <w:r>
              <w:rPr/>
              <w:t>Maximum exposure for LOC losses</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6,423</w:t>
            </w:r>
          </w:p>
        </w:tc>
        <w:tc>
          <w:tcPr>
            <w:tcW w:w="114"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7,197</w:t>
            </w:r>
          </w:p>
        </w:tc>
        <w:tc>
          <w:tcPr>
            <w:tcW w:w="118"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Valuation and Qualifying Accounts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613"/>
        <w:gridCol w:w="253"/>
        <w:gridCol w:w="214"/>
        <w:gridCol w:w="900"/>
        <w:gridCol w:w="92"/>
        <w:gridCol w:w="253"/>
        <w:gridCol w:w="225"/>
        <w:gridCol w:w="941"/>
        <w:gridCol w:w="91"/>
        <w:gridCol w:w="253"/>
        <w:gridCol w:w="240"/>
        <w:gridCol w:w="1003"/>
        <w:gridCol w:w="122"/>
        <w:gridCol w:w="253"/>
        <w:gridCol w:w="296"/>
        <w:gridCol w:w="896"/>
        <w:gridCol w:w="92"/>
        <w:gridCol w:w="253"/>
        <w:gridCol w:w="188"/>
        <w:gridCol w:w="925"/>
        <w:gridCol w:w="102"/>
      </w:tblGrid>
      <w:tr>
        <w:trPr/>
        <w:tc>
          <w:tcPr>
            <w:tcW w:w="26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14" w:type="dxa"/>
            <w:gridSpan w:val="2"/>
            <w:tcBorders/>
            <w:shd w:fill="auto" w:val="clear"/>
            <w:vAlign w:val="bottom"/>
          </w:tcPr>
          <w:p>
            <w:pPr>
              <w:pStyle w:val="TableContents"/>
              <w:spacing w:before="0" w:after="283"/>
              <w:jc w:val="center"/>
              <w:rPr/>
            </w:pPr>
            <w:r>
              <w:rPr/>
              <w:t>Balance at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753" w:type="dxa"/>
            <w:gridSpan w:val="6"/>
            <w:tcBorders>
              <w:bottom w:val="single" w:sz="2" w:space="0" w:color="000000"/>
            </w:tcBorders>
            <w:shd w:fill="auto" w:val="clear"/>
            <w:tcMar>
              <w:bottom w:w="28" w:type="dxa"/>
            </w:tcMar>
            <w:vAlign w:val="bottom"/>
          </w:tcPr>
          <w:p>
            <w:pPr>
              <w:pStyle w:val="TableContents"/>
              <w:spacing w:before="0" w:after="283"/>
              <w:jc w:val="center"/>
              <w:rPr>
                <w:smallCaps/>
              </w:rPr>
            </w:pPr>
            <w:r>
              <w:rPr>
                <w:smallCaps/>
              </w:rPr>
              <w:t>Additions</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13" w:type="dxa"/>
            <w:gridSpan w:val="2"/>
            <w:tcBorders/>
            <w:shd w:fill="auto" w:val="clear"/>
            <w:vAlign w:val="bottom"/>
          </w:tcPr>
          <w:p>
            <w:pPr>
              <w:pStyle w:val="TableContents"/>
              <w:spacing w:before="0" w:after="283"/>
              <w:jc w:val="center"/>
              <w:rPr/>
            </w:pPr>
            <w:r>
              <w:rPr/>
              <w:t>Balance at</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14" w:type="dxa"/>
            <w:gridSpan w:val="2"/>
            <w:tcBorders/>
            <w:shd w:fill="auto" w:val="clear"/>
            <w:vAlign w:val="bottom"/>
          </w:tcPr>
          <w:p>
            <w:pPr>
              <w:pStyle w:val="TableContents"/>
              <w:spacing w:before="0" w:after="283"/>
              <w:jc w:val="center"/>
              <w:rPr/>
            </w:pPr>
            <w:r>
              <w:rPr/>
              <w:t>Beginning</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66" w:type="dxa"/>
            <w:gridSpan w:val="2"/>
            <w:tcBorders/>
            <w:shd w:fill="auto" w:val="clear"/>
            <w:vAlign w:val="bottom"/>
          </w:tcPr>
          <w:p>
            <w:pPr>
              <w:pStyle w:val="TableContents"/>
              <w:spacing w:before="0" w:after="283"/>
              <w:jc w:val="center"/>
              <w:rPr/>
            </w:pPr>
            <w:r>
              <w:rPr/>
              <w:t>Charged to</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283"/>
              <w:jc w:val="center"/>
              <w:rPr/>
            </w:pPr>
            <w:r>
              <w:rPr/>
              <w:t>Charged to</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13" w:type="dxa"/>
            <w:gridSpan w:val="2"/>
            <w:tcBorders/>
            <w:shd w:fill="auto" w:val="clear"/>
            <w:vAlign w:val="bottom"/>
          </w:tcPr>
          <w:p>
            <w:pPr>
              <w:pStyle w:val="TableContents"/>
              <w:spacing w:before="0" w:after="283"/>
              <w:jc w:val="center"/>
              <w:rPr/>
            </w:pPr>
            <w:r>
              <w:rPr/>
              <w:t>End</w:t>
            </w:r>
          </w:p>
        </w:tc>
        <w:tc>
          <w:tcPr>
            <w:tcW w:w="102" w:type="dxa"/>
            <w:tcBorders/>
            <w:shd w:fill="auto" w:val="clear"/>
            <w:vAlign w:val="bottom"/>
          </w:tcPr>
          <w:p>
            <w:pPr>
              <w:pStyle w:val="TableContents"/>
              <w:spacing w:before="0" w:after="283"/>
              <w:rPr/>
            </w:pPr>
            <w:r>
              <w:rPr/>
              <w:t> </w:t>
            </w:r>
          </w:p>
        </w:tc>
      </w:tr>
      <w:tr>
        <w:trPr/>
        <w:tc>
          <w:tcPr>
            <w:tcW w:w="2613" w:type="dxa"/>
            <w:tcBorders>
              <w:bottom w:val="single" w:sz="2" w:space="0" w:color="000000"/>
            </w:tcBorders>
            <w:shd w:fill="auto" w:val="clear"/>
            <w:tcMar>
              <w:bottom w:w="28" w:type="dxa"/>
            </w:tcMar>
            <w:vAlign w:val="bottom"/>
          </w:tcPr>
          <w:p>
            <w:pPr>
              <w:pStyle w:val="TableContents"/>
              <w:spacing w:before="0" w:after="283"/>
              <w:jc w:val="left"/>
              <w:rPr/>
            </w:pPr>
            <w:r>
              <w:rPr/>
              <w:t>Description</w:t>
            </w:r>
          </w:p>
        </w:tc>
        <w:tc>
          <w:tcPr>
            <w:tcW w:w="253" w:type="dxa"/>
            <w:tcBorders/>
            <w:shd w:fill="auto" w:val="clear"/>
            <w:vAlign w:val="bottom"/>
          </w:tcPr>
          <w:p>
            <w:pPr>
              <w:pStyle w:val="TableContents"/>
              <w:spacing w:before="0" w:after="283"/>
              <w:rPr/>
            </w:pPr>
            <w:r>
              <w:rPr/>
              <w:t> </w:t>
            </w:r>
          </w:p>
        </w:tc>
        <w:tc>
          <w:tcPr>
            <w:tcW w:w="1114"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66" w:type="dxa"/>
            <w:gridSpan w:val="2"/>
            <w:tcBorders>
              <w:bottom w:val="single" w:sz="2" w:space="0" w:color="000000"/>
            </w:tcBorders>
            <w:shd w:fill="auto" w:val="clear"/>
            <w:tcMar>
              <w:bottom w:w="28" w:type="dxa"/>
            </w:tcMar>
            <w:vAlign w:val="bottom"/>
          </w:tcPr>
          <w:p>
            <w:pPr>
              <w:pStyle w:val="TableContents"/>
              <w:spacing w:before="0" w:after="283"/>
              <w:jc w:val="center"/>
              <w:rPr/>
            </w:pPr>
            <w:r>
              <w:rPr/>
              <w:t>Expense</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243" w:type="dxa"/>
            <w:gridSpan w:val="2"/>
            <w:tcBorders>
              <w:bottom w:val="single" w:sz="2" w:space="0" w:color="000000"/>
            </w:tcBorders>
            <w:shd w:fill="auto" w:val="clear"/>
            <w:tcMar>
              <w:bottom w:w="28" w:type="dxa"/>
            </w:tcMar>
            <w:vAlign w:val="bottom"/>
          </w:tcPr>
          <w:p>
            <w:pPr>
              <w:pStyle w:val="TableContents"/>
              <w:spacing w:before="0" w:after="283"/>
              <w:jc w:val="center"/>
              <w:rPr/>
            </w:pPr>
            <w:r>
              <w:rPr/>
              <w:t>Other Accts</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92" w:type="dxa"/>
            <w:gridSpan w:val="2"/>
            <w:tcBorders>
              <w:bottom w:val="single" w:sz="2" w:space="0" w:color="000000"/>
            </w:tcBorders>
            <w:shd w:fill="auto" w:val="clear"/>
            <w:tcMar>
              <w:bottom w:w="28" w:type="dxa"/>
            </w:tcMar>
            <w:vAlign w:val="bottom"/>
          </w:tcPr>
          <w:p>
            <w:pPr>
              <w:pStyle w:val="TableContents"/>
              <w:spacing w:before="0" w:after="283"/>
              <w:jc w:val="center"/>
              <w:rPr/>
            </w:pPr>
            <w:r>
              <w:rPr/>
              <w:t>Deductions</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13"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7237" w:type="dxa"/>
            <w:gridSpan w:val="18"/>
            <w:tcBorders/>
            <w:shd w:fill="auto" w:val="clear"/>
            <w:vAlign w:val="bottom"/>
          </w:tcPr>
          <w:p>
            <w:pPr>
              <w:pStyle w:val="TableContents"/>
              <w:spacing w:before="0" w:after="283"/>
              <w:jc w:val="center"/>
              <w:rPr>
                <w:i/>
              </w:rPr>
            </w:pPr>
            <w:r>
              <w:rPr>
                <w:i/>
              </w:rPr>
              <w:t>(In thousands)</w:t>
            </w:r>
          </w:p>
        </w:tc>
        <w:tc>
          <w:tcPr>
            <w:tcW w:w="102" w:type="dxa"/>
            <w:tcBorders/>
            <w:shd w:fill="auto" w:val="clear"/>
            <w:vAlign w:val="bottom"/>
          </w:tcPr>
          <w:p>
            <w:pPr>
              <w:pStyle w:val="TableContents"/>
              <w:spacing w:before="0" w:after="283"/>
              <w:rPr/>
            </w:pPr>
            <w:r>
              <w:rPr/>
              <w:t> </w:t>
            </w:r>
          </w:p>
        </w:tc>
      </w:tr>
      <w:tr>
        <w:trPr/>
        <w:tc>
          <w:tcPr>
            <w:tcW w:w="4072" w:type="dxa"/>
            <w:gridSpan w:val="5"/>
            <w:tcBorders/>
            <w:shd w:fill="CCEEFF" w:val="clear"/>
            <w:vAlign w:val="bottom"/>
          </w:tcPr>
          <w:p>
            <w:pPr>
              <w:pStyle w:val="TableContents"/>
              <w:spacing w:before="0" w:after="283"/>
              <w:jc w:val="left"/>
              <w:rPr/>
            </w:pPr>
            <w:r>
              <w:rPr/>
              <w:t>Allowance for valuation of inventory:</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2011</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5,709</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3,772</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9,481</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450" w:right="0" w:hanging="225"/>
              <w:rPr/>
            </w:pPr>
            <w:r>
              <w:rPr/>
              <w:t>Year ended September 30, 2010</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0" w:type="dxa"/>
            <w:tcBorders/>
            <w:shd w:fill="CCEEFF" w:val="clear"/>
            <w:vAlign w:val="bottom"/>
          </w:tcPr>
          <w:p>
            <w:pPr>
              <w:pStyle w:val="TableContents"/>
              <w:spacing w:before="0" w:after="283"/>
              <w:jc w:val="right"/>
              <w:rPr/>
            </w:pPr>
            <w:r>
              <w:rPr/>
              <w:t>5,719</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94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3"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10</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925" w:type="dxa"/>
            <w:tcBorders/>
            <w:shd w:fill="CCEEFF" w:val="clear"/>
            <w:vAlign w:val="bottom"/>
          </w:tcPr>
          <w:p>
            <w:pPr>
              <w:pStyle w:val="TableContents"/>
              <w:spacing w:before="0" w:after="283"/>
              <w:jc w:val="right"/>
              <w:rPr/>
            </w:pPr>
            <w:r>
              <w:rPr/>
              <w:t>5,709</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2009</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4,028</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1,691</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5,719</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225" w:right="0" w:hanging="225"/>
              <w:rPr/>
            </w:pPr>
            <w:r>
              <w:rPr/>
              <w:t> </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4072" w:type="dxa"/>
            <w:gridSpan w:val="5"/>
            <w:tcBorders/>
            <w:shd w:fill="CCEEFF" w:val="clear"/>
            <w:vAlign w:val="bottom"/>
          </w:tcPr>
          <w:p>
            <w:pPr>
              <w:pStyle w:val="TableContents"/>
              <w:spacing w:before="0" w:after="283"/>
              <w:jc w:val="left"/>
              <w:rPr/>
            </w:pPr>
            <w:r>
              <w:rPr/>
              <w:t>Allowance for uncollectible pawn service charges receivable:</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2011</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9,949</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771</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10,720</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450" w:right="0" w:hanging="225"/>
              <w:rPr/>
            </w:pPr>
            <w:r>
              <w:rPr/>
              <w:t>Year ended September 30, 2010</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0" w:type="dxa"/>
            <w:tcBorders/>
            <w:shd w:fill="CCEEFF" w:val="clear"/>
            <w:vAlign w:val="bottom"/>
          </w:tcPr>
          <w:p>
            <w:pPr>
              <w:pStyle w:val="TableContents"/>
              <w:spacing w:before="0" w:after="283"/>
              <w:jc w:val="right"/>
              <w:rPr/>
            </w:pPr>
            <w:r>
              <w:rPr/>
              <w:t>8,521</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94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3" w:type="dxa"/>
            <w:tcBorders/>
            <w:shd w:fill="CCEEFF" w:val="clear"/>
            <w:vAlign w:val="bottom"/>
          </w:tcPr>
          <w:p>
            <w:pPr>
              <w:pStyle w:val="TableContents"/>
              <w:spacing w:before="0" w:after="283"/>
              <w:jc w:val="right"/>
              <w:rPr/>
            </w:pPr>
            <w:r>
              <w:rPr/>
              <w:t>1,428</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925" w:type="dxa"/>
            <w:tcBorders/>
            <w:shd w:fill="CCEEFF" w:val="clear"/>
            <w:vAlign w:val="bottom"/>
          </w:tcPr>
          <w:p>
            <w:pPr>
              <w:pStyle w:val="TableContents"/>
              <w:spacing w:before="0" w:after="283"/>
              <w:jc w:val="right"/>
              <w:rPr/>
            </w:pPr>
            <w:r>
              <w:rPr/>
              <w:t>9,949</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2009</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5,315</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3,206</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8,521</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450"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225" w:right="0" w:hanging="225"/>
              <w:rPr/>
            </w:pPr>
            <w:r>
              <w:rPr/>
              <w:t> </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4072" w:type="dxa"/>
            <w:gridSpan w:val="5"/>
            <w:tcBorders/>
            <w:shd w:fill="CCEEFF" w:val="clear"/>
            <w:vAlign w:val="bottom"/>
          </w:tcPr>
          <w:p>
            <w:pPr>
              <w:pStyle w:val="TableContents"/>
              <w:spacing w:before="0" w:after="283"/>
              <w:jc w:val="left"/>
              <w:rPr/>
            </w:pPr>
            <w:r>
              <w:rPr/>
              <w:t>Allowance for uncollectible signature loan fees receivable:</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2011</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326</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165</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491</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450" w:right="0" w:hanging="225"/>
              <w:rPr/>
            </w:pPr>
            <w:r>
              <w:rPr/>
              <w:t>Year ended September 30, 2010</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0" w:type="dxa"/>
            <w:tcBorders/>
            <w:shd w:fill="CCEEFF" w:val="clear"/>
            <w:vAlign w:val="bottom"/>
          </w:tcPr>
          <w:p>
            <w:pPr>
              <w:pStyle w:val="TableContents"/>
              <w:spacing w:before="0" w:after="283"/>
              <w:jc w:val="right"/>
              <w:rPr/>
            </w:pPr>
            <w:r>
              <w:rPr/>
              <w:t>461</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94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3" w:type="dxa"/>
            <w:tcBorders/>
            <w:shd w:fill="CCEEFF" w:val="clear"/>
            <w:vAlign w:val="bottom"/>
          </w:tcPr>
          <w:p>
            <w:pPr>
              <w:pStyle w:val="TableContents"/>
              <w:spacing w:before="0" w:after="283"/>
              <w:jc w:val="right"/>
              <w:rPr/>
            </w:pPr>
            <w:r>
              <w:rPr/>
              <w:t>(135</w:t>
            </w:r>
          </w:p>
        </w:tc>
        <w:tc>
          <w:tcPr>
            <w:tcW w:w="122" w:type="dxa"/>
            <w:tcBorders/>
            <w:shd w:fill="CCEEFF" w:val="clear"/>
            <w:vAlign w:val="bottom"/>
          </w:tcPr>
          <w:p>
            <w:pPr>
              <w:pStyle w:val="TableContents"/>
              <w:spacing w:before="0" w:after="283"/>
              <w:rPr/>
            </w:pPr>
            <w:r>
              <w:rPr/>
              <w:t>)</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925" w:type="dxa"/>
            <w:tcBorders/>
            <w:shd w:fill="CCEEFF" w:val="clear"/>
            <w:vAlign w:val="bottom"/>
          </w:tcPr>
          <w:p>
            <w:pPr>
              <w:pStyle w:val="TableContents"/>
              <w:spacing w:before="0" w:after="283"/>
              <w:jc w:val="right"/>
              <w:rPr/>
            </w:pPr>
            <w:r>
              <w:rPr/>
              <w:t>326</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2009</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581</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(120</w:t>
            </w:r>
          </w:p>
        </w:tc>
        <w:tc>
          <w:tcPr>
            <w:tcW w:w="122" w:type="dxa"/>
            <w:tcBorders/>
            <w:shd w:fill="auto" w:val="clear"/>
            <w:vAlign w:val="bottom"/>
          </w:tcPr>
          <w:p>
            <w:pPr>
              <w:pStyle w:val="TableContents"/>
              <w:spacing w:before="0" w:after="283"/>
              <w:rPr/>
            </w:pPr>
            <w:r>
              <w:rPr/>
              <w:t>)</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461</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225" w:right="0" w:hanging="225"/>
              <w:rPr/>
            </w:pPr>
            <w:r>
              <w:rPr/>
              <w:t> </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4072" w:type="dxa"/>
            <w:gridSpan w:val="5"/>
            <w:tcBorders/>
            <w:shd w:fill="CCEEFF" w:val="clear"/>
            <w:vAlign w:val="bottom"/>
          </w:tcPr>
          <w:p>
            <w:pPr>
              <w:pStyle w:val="TableContents"/>
              <w:spacing w:before="0" w:after="283"/>
              <w:jc w:val="left"/>
              <w:rPr/>
            </w:pPr>
            <w:r>
              <w:rPr/>
              <w:t>Allowance for valuation of deferred tax assets:</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2011</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1,273</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152</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1,425</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450" w:right="0" w:hanging="225"/>
              <w:rPr/>
            </w:pPr>
            <w:r>
              <w:rPr/>
              <w:t>Year ended September 30, 2010</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0"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941" w:type="dxa"/>
            <w:tcBorders/>
            <w:shd w:fill="CCEEFF" w:val="clear"/>
            <w:vAlign w:val="bottom"/>
          </w:tcPr>
          <w:p>
            <w:pPr>
              <w:pStyle w:val="TableContents"/>
              <w:spacing w:before="0" w:after="283"/>
              <w:jc w:val="right"/>
              <w:rPr/>
            </w:pPr>
            <w:r>
              <w:rPr/>
              <w:t>1,273</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3"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925" w:type="dxa"/>
            <w:tcBorders/>
            <w:shd w:fill="CCEEFF" w:val="clear"/>
            <w:vAlign w:val="bottom"/>
          </w:tcPr>
          <w:p>
            <w:pPr>
              <w:pStyle w:val="TableContents"/>
              <w:spacing w:before="0" w:after="283"/>
              <w:jc w:val="right"/>
              <w:rPr/>
            </w:pPr>
            <w:r>
              <w:rPr/>
              <w:t>1,273</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2009</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233</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233</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225" w:right="0" w:hanging="225"/>
              <w:rPr/>
            </w:pPr>
            <w:r>
              <w:rPr/>
              <w:t> </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4072" w:type="dxa"/>
            <w:gridSpan w:val="5"/>
            <w:tcBorders/>
            <w:shd w:fill="CCEEFF" w:val="clear"/>
            <w:vAlign w:val="bottom"/>
          </w:tcPr>
          <w:p>
            <w:pPr>
              <w:pStyle w:val="TableContents"/>
              <w:spacing w:before="0" w:after="283"/>
              <w:jc w:val="left"/>
              <w:rPr/>
            </w:pPr>
            <w:r>
              <w:rPr/>
              <w:t>Allowance for uncollectible auto title loan fees receivable:</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2011</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105</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(25</w:t>
            </w:r>
          </w:p>
        </w:tc>
        <w:tc>
          <w:tcPr>
            <w:tcW w:w="122" w:type="dxa"/>
            <w:tcBorders/>
            <w:shd w:fill="auto" w:val="clear"/>
            <w:vAlign w:val="bottom"/>
          </w:tcPr>
          <w:p>
            <w:pPr>
              <w:pStyle w:val="TableContents"/>
              <w:spacing w:before="0" w:after="283"/>
              <w:rPr/>
            </w:pPr>
            <w:r>
              <w:rPr/>
              <w:t>)</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80</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CCEEFF" w:val="clear"/>
            <w:vAlign w:val="bottom"/>
          </w:tcPr>
          <w:p>
            <w:pPr>
              <w:pStyle w:val="TableContents"/>
              <w:spacing w:before="0" w:after="0"/>
              <w:ind w:left="450" w:right="0" w:hanging="225"/>
              <w:rPr/>
            </w:pPr>
            <w:r>
              <w:rPr/>
              <w:t>Year ended September 30, 2010</w:t>
            </w:r>
          </w:p>
        </w:tc>
        <w:tc>
          <w:tcPr>
            <w:tcW w:w="25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0" w:type="dxa"/>
            <w:tcBorders/>
            <w:shd w:fill="CCEEFF" w:val="clear"/>
            <w:vAlign w:val="bottom"/>
          </w:tcPr>
          <w:p>
            <w:pPr>
              <w:pStyle w:val="TableContents"/>
              <w:spacing w:before="0" w:after="283"/>
              <w:jc w:val="right"/>
              <w:rPr/>
            </w:pPr>
            <w:r>
              <w:rPr/>
              <w:t>21</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94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3" w:type="dxa"/>
            <w:tcBorders/>
            <w:shd w:fill="CCEEFF" w:val="clear"/>
            <w:vAlign w:val="bottom"/>
          </w:tcPr>
          <w:p>
            <w:pPr>
              <w:pStyle w:val="TableContents"/>
              <w:spacing w:before="0" w:after="283"/>
              <w:jc w:val="right"/>
              <w:rPr/>
            </w:pPr>
            <w:r>
              <w:rPr/>
              <w:t>84</w:t>
            </w:r>
          </w:p>
        </w:tc>
        <w:tc>
          <w:tcPr>
            <w:tcW w:w="12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925" w:type="dxa"/>
            <w:tcBorders/>
            <w:shd w:fill="CCEEFF" w:val="clear"/>
            <w:vAlign w:val="bottom"/>
          </w:tcPr>
          <w:p>
            <w:pPr>
              <w:pStyle w:val="TableContents"/>
              <w:spacing w:before="0" w:after="283"/>
              <w:jc w:val="right"/>
              <w:rPr/>
            </w:pPr>
            <w:r>
              <w:rPr/>
              <w:t>105</w:t>
            </w:r>
          </w:p>
        </w:tc>
        <w:tc>
          <w:tcPr>
            <w:tcW w:w="102" w:type="dxa"/>
            <w:tcBorders/>
            <w:shd w:fill="CCEEFF"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2613" w:type="dxa"/>
            <w:tcBorders/>
            <w:shd w:fill="auto" w:val="clear"/>
            <w:vAlign w:val="bottom"/>
          </w:tcPr>
          <w:p>
            <w:pPr>
              <w:pStyle w:val="TableContents"/>
              <w:spacing w:before="0" w:after="0"/>
              <w:ind w:left="450" w:right="0" w:hanging="225"/>
              <w:rPr/>
            </w:pPr>
            <w:r>
              <w:rPr/>
              <w:t>Year ended September 30, 2009</w:t>
            </w:r>
          </w:p>
        </w:tc>
        <w:tc>
          <w:tcPr>
            <w:tcW w:w="2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3" w:type="dxa"/>
            <w:tcBorders/>
            <w:shd w:fill="auto" w:val="clear"/>
            <w:vAlign w:val="bottom"/>
          </w:tcPr>
          <w:p>
            <w:pPr>
              <w:pStyle w:val="TableContents"/>
              <w:spacing w:before="0" w:after="283"/>
              <w:jc w:val="right"/>
              <w:rPr/>
            </w:pPr>
            <w:r>
              <w:rPr/>
              <w:t>21</w:t>
            </w:r>
          </w:p>
        </w:tc>
        <w:tc>
          <w:tcPr>
            <w:tcW w:w="12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925" w:type="dxa"/>
            <w:tcBorders/>
            <w:shd w:fill="auto" w:val="clear"/>
            <w:vAlign w:val="bottom"/>
          </w:tcPr>
          <w:p>
            <w:pPr>
              <w:pStyle w:val="TableContents"/>
              <w:spacing w:before="0" w:after="283"/>
              <w:jc w:val="right"/>
              <w:rPr/>
            </w:pPr>
            <w:r>
              <w:rPr/>
              <w:t>21</w:t>
            </w:r>
          </w:p>
        </w:tc>
        <w:tc>
          <w:tcPr>
            <w:tcW w:w="102" w:type="dxa"/>
            <w:tcBorders/>
            <w:shd w:fill="auto" w:val="clear"/>
            <w:vAlign w:val="bottom"/>
          </w:tcPr>
          <w:p>
            <w:pPr>
              <w:pStyle w:val="TableContents"/>
              <w:spacing w:before="0" w:after="283"/>
              <w:rPr/>
            </w:pPr>
            <w:r>
              <w:rPr/>
              <w:t> </w:t>
            </w:r>
          </w:p>
        </w:tc>
      </w:tr>
      <w:tr>
        <w:trPr/>
        <w:tc>
          <w:tcPr>
            <w:tcW w:w="2613" w:type="dxa"/>
            <w:tcBorders/>
            <w:shd w:fill="auto" w:val="clear"/>
            <w:vAlign w:val="center"/>
          </w:tcPr>
          <w:p>
            <w:pPr>
              <w:pStyle w:val="TableContents"/>
              <w:spacing w:before="0" w:after="0"/>
              <w:ind w:left="225" w:right="0" w:hanging="225"/>
              <w:rPr/>
            </w:pPr>
            <w:r>
              <w:rPr/>
              <w:t> </w:t>
            </w:r>
          </w:p>
        </w:tc>
        <w:tc>
          <w:tcPr>
            <w:tcW w:w="253" w:type="dxa"/>
            <w:tcBorders/>
            <w:shd w:fill="auto" w:val="clear"/>
            <w:vAlign w:val="center"/>
          </w:tcPr>
          <w:p>
            <w:pPr>
              <w:pStyle w:val="TableContents"/>
              <w:spacing w:before="0" w:after="283"/>
              <w:rPr/>
            </w:pPr>
            <w:r>
              <w:rPr/>
              <w:t> </w:t>
            </w:r>
          </w:p>
        </w:tc>
        <w:tc>
          <w:tcPr>
            <w:tcW w:w="11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11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U: Subsequent Events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Acquisitions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Since the end of our fiscal year, we acquired 17 pawn stores located in Florida and the greater San Antonio, Texas metropolitan area and eight Cash Converters locations located in Pennsylvania, Virginia and Ontario, Canada, for consideration of approximately $49.2 million. The consideration was comprised of $48.2 million cash and approximately $1.0 million related to the issuance of 33,011 shares of EZCORP Class A Non-voting Common Stock. The purchase price allocation for these acquisitions is incomplete as we continue to receive information regarding the acquired assets. As a result, we are unable to provide at this time a breakout between net tangible assets, intangible assets and goodwill. </w:t>
      </w:r>
    </w:p>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Condensed Consolidating Financial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expect to file with the United States Securities and Exchange Commission a shelf registration statement on Form S-3 registering the offer and sale of an indeterminate amount of a variety of securities, including debt securities. Unless otherwise indicated in connection with a particular offering of debt securities, each of our domestic subsidiaries will fully and unconditionally guarantee on a joint and several basis our payment obligations under such debt securities.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In accordance with Rule 3-10(d) of Regulation S-X, the following presents condensed consolidating financial information as of September 30, 2011 and 2010, and for each of the three years ended September 30, 2011 for EZCORP, Inc. (the Parent), each of the Parents domestic subsidiaries (the Subsidiary Guarantors) on a combined basis and each of the Parents other subsidiaries (the Other Subsidiaries) on a combined basis. Eliminating entries presented are necessary to combine the groups of entities.</w:t>
      </w:r>
    </w:p>
    <w:p>
      <w:pPr>
        <w:pStyle w:val="TextBody"/>
        <w:spacing w:before="120" w:after="283"/>
        <w:jc w:val="left"/>
        <w:rPr>
          <w:rFonts w:ascii="Times New Roman;Times;serif" w:hAnsi="Times New Roman;Times;serif"/>
          <w:sz w:val="17"/>
          <w:u w:val="single"/>
        </w:rPr>
      </w:pPr>
      <w:r>
        <w:rPr>
          <w:rFonts w:ascii="Times New Roman;Times;serif" w:hAnsi="Times New Roman;Times;serif"/>
          <w:sz w:val="17"/>
          <w:u w:val="single"/>
        </w:rPr>
        <w:t>Condensed Consolidating Balance Sheets</w:t>
      </w:r>
    </w:p>
    <w:tbl>
      <w:tblPr>
        <w:tblW w:w="5000" w:type="pct"/>
        <w:jc w:val="center"/>
        <w:tblInd w:w="0" w:type="dxa"/>
        <w:tblCellMar>
          <w:top w:w="0" w:type="dxa"/>
          <w:left w:w="0" w:type="dxa"/>
          <w:bottom w:w="0" w:type="dxa"/>
          <w:right w:w="0" w:type="dxa"/>
        </w:tblCellMar>
      </w:tblPr>
      <w:tblGrid>
        <w:gridCol w:w="2542"/>
        <w:gridCol w:w="241"/>
        <w:gridCol w:w="153"/>
        <w:gridCol w:w="914"/>
        <w:gridCol w:w="116"/>
        <w:gridCol w:w="241"/>
        <w:gridCol w:w="168"/>
        <w:gridCol w:w="944"/>
        <w:gridCol w:w="116"/>
        <w:gridCol w:w="240"/>
        <w:gridCol w:w="201"/>
        <w:gridCol w:w="986"/>
        <w:gridCol w:w="116"/>
        <w:gridCol w:w="241"/>
        <w:gridCol w:w="175"/>
        <w:gridCol w:w="1049"/>
        <w:gridCol w:w="116"/>
        <w:gridCol w:w="240"/>
        <w:gridCol w:w="193"/>
        <w:gridCol w:w="1081"/>
        <w:gridCol w:w="132"/>
      </w:tblGrid>
      <w:tr>
        <w:trPr/>
        <w:tc>
          <w:tcPr>
            <w:tcW w:w="254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7290" w:type="dxa"/>
            <w:gridSpan w:val="18"/>
            <w:tcBorders>
              <w:bottom w:val="single" w:sz="2" w:space="0" w:color="000000"/>
            </w:tcBorders>
            <w:shd w:fill="auto" w:val="clear"/>
            <w:tcMar>
              <w:bottom w:w="28" w:type="dxa"/>
            </w:tcMar>
            <w:vAlign w:val="bottom"/>
          </w:tcPr>
          <w:p>
            <w:pPr>
              <w:pStyle w:val="TableContents"/>
              <w:spacing w:before="0" w:after="283"/>
              <w:jc w:val="center"/>
              <w:rPr/>
            </w:pPr>
            <w:r>
              <w:rPr/>
              <w:t>As of September 30, 2011</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7290" w:type="dxa"/>
            <w:gridSpan w:val="18"/>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12" w:type="dxa"/>
            <w:gridSpan w:val="2"/>
            <w:tcBorders>
              <w:bottom w:val="single" w:sz="2" w:space="0" w:color="000000"/>
            </w:tcBorders>
            <w:shd w:fill="auto" w:val="clear"/>
            <w:tcMar>
              <w:bottom w:w="28" w:type="dxa"/>
            </w:tcMar>
            <w:vAlign w:val="bottom"/>
          </w:tcPr>
          <w:p>
            <w:pPr>
              <w:pStyle w:val="TableContents"/>
              <w:spacing w:before="0" w:after="283"/>
              <w:jc w:val="center"/>
              <w:rPr/>
            </w:pPr>
            <w:r>
              <w:rPr/>
              <w:t>Subsidiary</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7" w:type="dxa"/>
            <w:gridSpan w:val="2"/>
            <w:tcBorders>
              <w:bottom w:val="single" w:sz="2" w:space="0" w:color="000000"/>
            </w:tcBorders>
            <w:shd w:fill="auto" w:val="clear"/>
            <w:tcMar>
              <w:bottom w:w="28" w:type="dxa"/>
            </w:tcMar>
            <w:vAlign w:val="bottom"/>
          </w:tcPr>
          <w:p>
            <w:pPr>
              <w:pStyle w:val="TableContents"/>
              <w:spacing w:before="0" w:after="283"/>
              <w:jc w:val="center"/>
              <w:rPr/>
            </w:pPr>
            <w:r>
              <w:rPr/>
              <w:t>Other</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24"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67" w:type="dxa"/>
            <w:gridSpan w:val="2"/>
            <w:tcBorders>
              <w:bottom w:val="single" w:sz="2" w:space="0" w:color="000000"/>
            </w:tcBorders>
            <w:shd w:fill="auto" w:val="clear"/>
            <w:tcMar>
              <w:bottom w:w="28" w:type="dxa"/>
            </w:tcMar>
            <w:vAlign w:val="bottom"/>
          </w:tcPr>
          <w:p>
            <w:pPr>
              <w:pStyle w:val="TableContents"/>
              <w:spacing w:before="0" w:after="283"/>
              <w:jc w:val="center"/>
              <w:rPr/>
            </w:pPr>
            <w:r>
              <w:rPr/>
              <w:t>Parent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12" w:type="dxa"/>
            <w:gridSpan w:val="2"/>
            <w:tcBorders>
              <w:bottom w:val="single" w:sz="2" w:space="0" w:color="000000"/>
            </w:tcBorders>
            <w:shd w:fill="auto" w:val="clear"/>
            <w:tcMar>
              <w:bottom w:w="28" w:type="dxa"/>
            </w:tcMar>
            <w:vAlign w:val="bottom"/>
          </w:tcPr>
          <w:p>
            <w:pPr>
              <w:pStyle w:val="TableContents"/>
              <w:spacing w:before="0" w:after="283"/>
              <w:jc w:val="center"/>
              <w:rPr/>
            </w:pPr>
            <w:r>
              <w:rPr/>
              <w:t>Guarantors</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7" w:type="dxa"/>
            <w:gridSpan w:val="2"/>
            <w:tcBorders>
              <w:bottom w:val="single" w:sz="2" w:space="0" w:color="000000"/>
            </w:tcBorders>
            <w:shd w:fill="auto" w:val="clear"/>
            <w:tcMar>
              <w:bottom w:w="28" w:type="dxa"/>
            </w:tcMar>
            <w:vAlign w:val="bottom"/>
          </w:tcPr>
          <w:p>
            <w:pPr>
              <w:pStyle w:val="TableContents"/>
              <w:spacing w:before="0" w:after="283"/>
              <w:jc w:val="center"/>
              <w:rPr/>
            </w:pPr>
            <w:r>
              <w:rPr/>
              <w:t>Subsidiaries</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24" w:type="dxa"/>
            <w:gridSpan w:val="2"/>
            <w:tcBorders>
              <w:bottom w:val="single" w:sz="2" w:space="0" w:color="000000"/>
            </w:tcBorders>
            <w:shd w:fill="auto" w:val="clear"/>
            <w:tcMar>
              <w:bottom w:w="28" w:type="dxa"/>
            </w:tcMar>
            <w:vAlign w:val="bottom"/>
          </w:tcPr>
          <w:p>
            <w:pPr>
              <w:pStyle w:val="TableContents"/>
              <w:spacing w:before="0" w:after="283"/>
              <w:jc w:val="center"/>
              <w:rPr/>
            </w:pPr>
            <w:r>
              <w:rPr/>
              <w:t>Eliminations</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225" w:right="0" w:hanging="225"/>
              <w:rPr/>
            </w:pPr>
            <w:r>
              <w:rPr/>
              <w:t>Assets: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Current assets: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Cash and cash equivalents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944" w:type="dxa"/>
            <w:tcBorders/>
            <w:shd w:fill="CCEEFF" w:val="clear"/>
            <w:vAlign w:val="bottom"/>
          </w:tcPr>
          <w:p>
            <w:pPr>
              <w:pStyle w:val="TableContents"/>
              <w:spacing w:before="0" w:after="283"/>
              <w:jc w:val="right"/>
              <w:rPr/>
            </w:pPr>
            <w:r>
              <w:rPr/>
              <w:t>20,860</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986" w:type="dxa"/>
            <w:tcBorders/>
            <w:shd w:fill="CCEEFF" w:val="clear"/>
            <w:vAlign w:val="bottom"/>
          </w:tcPr>
          <w:p>
            <w:pPr>
              <w:pStyle w:val="TableContents"/>
              <w:spacing w:before="0" w:after="283"/>
              <w:jc w:val="right"/>
              <w:rPr/>
            </w:pPr>
            <w:r>
              <w:rPr/>
              <w:t>3,109</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81" w:type="dxa"/>
            <w:tcBorders/>
            <w:shd w:fill="CCEEFF" w:val="clear"/>
            <w:vAlign w:val="bottom"/>
          </w:tcPr>
          <w:p>
            <w:pPr>
              <w:pStyle w:val="TableContents"/>
              <w:spacing w:before="0" w:after="283"/>
              <w:jc w:val="right"/>
              <w:rPr/>
            </w:pPr>
            <w:r>
              <w:rPr/>
              <w:t>23,969</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Pawn loans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134,457</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10,861</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145,318</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Signature loans, net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9,304</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2,085</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11,389</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Auto title loans, net</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3,222</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3,222</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Pawn service charges receivable, net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24,792</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1,663</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26,455</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Signature loan fees receivable, net</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5,215</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133</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5,348</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900" w:right="0" w:hanging="225"/>
              <w:rPr/>
            </w:pPr>
            <w:r>
              <w:rPr/>
              <w:t>Auto title loan fees receivable, net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1,427</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1,427</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Inventory, net</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81,277</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9,096</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90,373</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Deferred tax asset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12,728</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5,397</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18,125</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Receivable from affiliates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66,450</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944" w:type="dxa"/>
            <w:tcBorders/>
            <w:shd w:fill="auto" w:val="clear"/>
            <w:vAlign w:val="bottom"/>
          </w:tcPr>
          <w:p>
            <w:pPr>
              <w:pStyle w:val="TableContents"/>
              <w:spacing w:before="0" w:after="283"/>
              <w:jc w:val="right"/>
              <w:rPr/>
            </w:pPr>
            <w:r>
              <w:rPr/>
              <w:t>(66,450</w:t>
            </w:r>
          </w:p>
        </w:tc>
        <w:tc>
          <w:tcPr>
            <w:tcW w:w="116" w:type="dxa"/>
            <w:tcBorders/>
            <w:shd w:fill="auto" w:val="clear"/>
            <w:vAlign w:val="bottom"/>
          </w:tcPr>
          <w:p>
            <w:pPr>
              <w:pStyle w:val="TableContents"/>
              <w:spacing w:before="0" w:after="283"/>
              <w:rPr/>
            </w:pPr>
            <w:r>
              <w:rPr/>
              <w:t>)</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Income taxes receivable</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Prepaid expenses and other assets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29</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25,976</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4,606</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30,611</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1125" w:right="0" w:hanging="225"/>
              <w:rPr/>
            </w:pPr>
            <w:r>
              <w:rPr/>
              <w:t>Total current assets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79,207</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245,477</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31,553</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356,237</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225" w:right="0" w:hanging="225"/>
              <w:rPr/>
            </w:pPr>
            <w:r>
              <w:rPr/>
              <w:t> </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Investments in unconsolidated affiliates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71,958</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48,361</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120,319</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Investments in subsidiaries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84,303</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44,323</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(128,626</w:t>
            </w:r>
          </w:p>
        </w:tc>
        <w:tc>
          <w:tcPr>
            <w:tcW w:w="116"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Property and equipment, net</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59,434</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19,064</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78,498</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Deferred tax asset, non-current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Goodwill</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163,897</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9,309</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173,206</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Other assets, net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2,147</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22,219</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3,822</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2</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28,190</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auto" w:val="clear"/>
            <w:vAlign w:val="bottom"/>
          </w:tcPr>
          <w:p>
            <w:pPr>
              <w:pStyle w:val="TableContents"/>
              <w:spacing w:before="0" w:after="0"/>
              <w:ind w:left="1125" w:right="0" w:hanging="225"/>
              <w:rPr/>
            </w:pPr>
            <w:r>
              <w:rPr/>
              <w:t>Total assets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914" w:type="dxa"/>
            <w:tcBorders/>
            <w:shd w:fill="auto" w:val="clear"/>
            <w:vAlign w:val="bottom"/>
          </w:tcPr>
          <w:p>
            <w:pPr>
              <w:pStyle w:val="TableContents"/>
              <w:spacing w:before="0" w:after="283"/>
              <w:jc w:val="right"/>
              <w:rPr/>
            </w:pPr>
            <w:r>
              <w:rPr/>
              <w:t>237,615</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944" w:type="dxa"/>
            <w:tcBorders/>
            <w:shd w:fill="auto" w:val="clear"/>
            <w:vAlign w:val="bottom"/>
          </w:tcPr>
          <w:p>
            <w:pPr>
              <w:pStyle w:val="TableContents"/>
              <w:spacing w:before="0" w:after="283"/>
              <w:jc w:val="right"/>
              <w:rPr/>
            </w:pPr>
            <w:r>
              <w:rPr/>
              <w:t>583,711</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986" w:type="dxa"/>
            <w:tcBorders/>
            <w:shd w:fill="auto" w:val="clear"/>
            <w:vAlign w:val="bottom"/>
          </w:tcPr>
          <w:p>
            <w:pPr>
              <w:pStyle w:val="TableContents"/>
              <w:spacing w:before="0" w:after="283"/>
              <w:jc w:val="right"/>
              <w:rPr/>
            </w:pPr>
            <w:r>
              <w:rPr/>
              <w:t>63,748</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1049" w:type="dxa"/>
            <w:tcBorders/>
            <w:shd w:fill="auto" w:val="clear"/>
            <w:vAlign w:val="bottom"/>
          </w:tcPr>
          <w:p>
            <w:pPr>
              <w:pStyle w:val="TableContents"/>
              <w:spacing w:before="0" w:after="283"/>
              <w:jc w:val="right"/>
              <w:rPr/>
            </w:pPr>
            <w:r>
              <w:rPr/>
              <w:t>(128,624</w:t>
            </w:r>
          </w:p>
        </w:tc>
        <w:tc>
          <w:tcPr>
            <w:tcW w:w="116" w:type="dxa"/>
            <w:tcBorders/>
            <w:shd w:fill="auto" w:val="clear"/>
            <w:vAlign w:val="bottom"/>
          </w:tcPr>
          <w:p>
            <w:pPr>
              <w:pStyle w:val="TableContents"/>
              <w:spacing w:before="0" w:after="283"/>
              <w:rPr/>
            </w:pPr>
            <w:r>
              <w:rPr/>
              <w:t>)</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81" w:type="dxa"/>
            <w:tcBorders/>
            <w:shd w:fill="auto" w:val="clear"/>
            <w:vAlign w:val="bottom"/>
          </w:tcPr>
          <w:p>
            <w:pPr>
              <w:pStyle w:val="TableContents"/>
              <w:spacing w:before="0" w:after="283"/>
              <w:jc w:val="right"/>
              <w:rPr/>
            </w:pPr>
            <w:r>
              <w:rPr/>
              <w:t>756,450</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225" w:right="0" w:hanging="225"/>
              <w:rPr/>
            </w:pPr>
            <w:r>
              <w:rPr/>
              <w:t>Liabilities and stockholders equity:</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Current liabilities: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Current maturities of long-term debt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94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81"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Accounts payable and other accrued expenses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13</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50,871</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6,516</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57,400</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Customer layaway deposits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5,711</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465</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6,176</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Intercompany Payables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914" w:type="dxa"/>
            <w:tcBorders/>
            <w:shd w:fill="auto" w:val="clear"/>
            <w:vAlign w:val="bottom"/>
          </w:tcPr>
          <w:p>
            <w:pPr>
              <w:pStyle w:val="TableContents"/>
              <w:spacing w:before="0" w:after="283"/>
              <w:jc w:val="right"/>
              <w:rPr/>
            </w:pPr>
            <w:r>
              <w:rPr/>
              <w:t>(199,190</w:t>
            </w:r>
          </w:p>
        </w:tc>
        <w:tc>
          <w:tcPr>
            <w:tcW w:w="116" w:type="dxa"/>
            <w:tcBorders/>
            <w:shd w:fill="auto" w:val="clear"/>
            <w:vAlign w:val="bottom"/>
          </w:tcPr>
          <w:p>
            <w:pPr>
              <w:pStyle w:val="TableContents"/>
              <w:spacing w:before="0" w:after="283"/>
              <w:rPr/>
            </w:pPr>
            <w:r>
              <w:rPr/>
              <w:t>)</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178,375</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20,761</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54</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Income taxes payable</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9,552</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944" w:type="dxa"/>
            <w:tcBorders/>
            <w:shd w:fill="CCEEFF" w:val="clear"/>
            <w:vAlign w:val="bottom"/>
          </w:tcPr>
          <w:p>
            <w:pPr>
              <w:pStyle w:val="TableContents"/>
              <w:spacing w:before="0" w:after="283"/>
              <w:jc w:val="right"/>
              <w:rPr/>
            </w:pPr>
            <w:r>
              <w:rPr/>
              <w:t>(5,150</w:t>
            </w:r>
          </w:p>
        </w:tc>
        <w:tc>
          <w:tcPr>
            <w:tcW w:w="116"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(3,709</w:t>
            </w:r>
          </w:p>
        </w:tc>
        <w:tc>
          <w:tcPr>
            <w:tcW w:w="116" w:type="dxa"/>
            <w:tcBorders/>
            <w:shd w:fill="CCEEFF" w:val="clear"/>
            <w:vAlign w:val="bottom"/>
          </w:tcPr>
          <w:p>
            <w:pPr>
              <w:pStyle w:val="TableContents"/>
              <w:spacing w:before="0" w:after="283"/>
              <w:rPr/>
            </w:pPr>
            <w:r>
              <w:rPr/>
              <w:t>)</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693</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auto" w:val="clear"/>
            <w:vAlign w:val="bottom"/>
          </w:tcPr>
          <w:p>
            <w:pPr>
              <w:pStyle w:val="TableContents"/>
              <w:spacing w:before="0" w:after="0"/>
              <w:ind w:left="1125" w:right="0" w:hanging="225"/>
              <w:rPr/>
            </w:pPr>
            <w:r>
              <w:rPr/>
              <w:t>Total current liabilities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914" w:type="dxa"/>
            <w:tcBorders/>
            <w:shd w:fill="auto" w:val="clear"/>
            <w:vAlign w:val="bottom"/>
          </w:tcPr>
          <w:p>
            <w:pPr>
              <w:pStyle w:val="TableContents"/>
              <w:spacing w:before="0" w:after="283"/>
              <w:jc w:val="right"/>
              <w:rPr/>
            </w:pPr>
            <w:r>
              <w:rPr/>
              <w:t>(189,625</w:t>
            </w:r>
          </w:p>
        </w:tc>
        <w:tc>
          <w:tcPr>
            <w:tcW w:w="116" w:type="dxa"/>
            <w:tcBorders/>
            <w:shd w:fill="auto" w:val="clear"/>
            <w:vAlign w:val="bottom"/>
          </w:tcPr>
          <w:p>
            <w:pPr>
              <w:pStyle w:val="TableContents"/>
              <w:spacing w:before="0" w:after="283"/>
              <w:rPr/>
            </w:pPr>
            <w:r>
              <w:rPr/>
              <w:t>)</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229,807</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24,033</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54</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64,269</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225" w:right="0" w:hanging="225"/>
              <w:rPr/>
            </w:pPr>
            <w:r>
              <w:rPr/>
              <w:t> </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Long-term debt, less current maturities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17,500</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17,500</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Deferred tax liability</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5,940</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1,563</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828</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8,331</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Deferred gains and other long-term liabilities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2,102</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2,102</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auto" w:val="clear"/>
            <w:vAlign w:val="bottom"/>
          </w:tcPr>
          <w:p>
            <w:pPr>
              <w:pStyle w:val="TableContents"/>
              <w:spacing w:before="0" w:after="0"/>
              <w:ind w:left="1125" w:right="0" w:hanging="225"/>
              <w:rPr/>
            </w:pPr>
            <w:r>
              <w:rPr/>
              <w:t>Total liabilities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914" w:type="dxa"/>
            <w:tcBorders/>
            <w:shd w:fill="auto" w:val="clear"/>
            <w:vAlign w:val="bottom"/>
          </w:tcPr>
          <w:p>
            <w:pPr>
              <w:pStyle w:val="TableContents"/>
              <w:spacing w:before="0" w:after="283"/>
              <w:jc w:val="right"/>
              <w:rPr/>
            </w:pPr>
            <w:r>
              <w:rPr/>
              <w:t>(166,185</w:t>
            </w:r>
          </w:p>
        </w:tc>
        <w:tc>
          <w:tcPr>
            <w:tcW w:w="116" w:type="dxa"/>
            <w:tcBorders/>
            <w:shd w:fill="auto" w:val="clear"/>
            <w:vAlign w:val="bottom"/>
          </w:tcPr>
          <w:p>
            <w:pPr>
              <w:pStyle w:val="TableContents"/>
              <w:spacing w:before="0" w:after="283"/>
              <w:rPr/>
            </w:pPr>
            <w:r>
              <w:rPr/>
              <w:t>)</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233,472</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24,861</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54</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92,202</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225" w:right="0" w:hanging="225"/>
              <w:rPr/>
            </w:pPr>
            <w:r>
              <w:rPr/>
              <w:t> </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Commitments and contingencies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Stockholders equity:</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Class A Non-voting Common Stock</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461</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12</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(2</w:t>
            </w:r>
          </w:p>
        </w:tc>
        <w:tc>
          <w:tcPr>
            <w:tcW w:w="116"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471</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Class B Voting Common Stock</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30</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944" w:type="dxa"/>
            <w:tcBorders/>
            <w:shd w:fill="auto" w:val="clear"/>
            <w:vAlign w:val="bottom"/>
          </w:tcPr>
          <w:p>
            <w:pPr>
              <w:pStyle w:val="TableContents"/>
              <w:spacing w:before="0" w:after="283"/>
              <w:jc w:val="right"/>
              <w:rPr/>
            </w:pPr>
            <w:r>
              <w:rPr/>
              <w:t>(1</w:t>
            </w:r>
          </w:p>
        </w:tc>
        <w:tc>
          <w:tcPr>
            <w:tcW w:w="116" w:type="dxa"/>
            <w:tcBorders/>
            <w:shd w:fill="auto" w:val="clear"/>
            <w:vAlign w:val="bottom"/>
          </w:tcPr>
          <w:p>
            <w:pPr>
              <w:pStyle w:val="TableContents"/>
              <w:spacing w:before="0" w:after="283"/>
              <w:rPr/>
            </w:pPr>
            <w:r>
              <w:rPr/>
              <w:t>)</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1</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30</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Additional paid-in capital</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221,526</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98,980</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50,568</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(128,676</w:t>
            </w:r>
          </w:p>
        </w:tc>
        <w:tc>
          <w:tcPr>
            <w:tcW w:w="116"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242,398</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Retained earnings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174,860</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251,418</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 </w:t>
            </w:r>
          </w:p>
        </w:tc>
        <w:tc>
          <w:tcPr>
            <w:tcW w:w="986" w:type="dxa"/>
            <w:tcBorders/>
            <w:shd w:fill="auto" w:val="clear"/>
            <w:vAlign w:val="bottom"/>
          </w:tcPr>
          <w:p>
            <w:pPr>
              <w:pStyle w:val="TableContents"/>
              <w:spacing w:before="0" w:after="283"/>
              <w:jc w:val="right"/>
              <w:rPr/>
            </w:pPr>
            <w:r>
              <w:rPr/>
              <w:t>(4,183</w:t>
            </w:r>
          </w:p>
        </w:tc>
        <w:tc>
          <w:tcPr>
            <w:tcW w:w="116" w:type="dxa"/>
            <w:tcBorders/>
            <w:shd w:fill="auto" w:val="clear"/>
            <w:vAlign w:val="bottom"/>
          </w:tcPr>
          <w:p>
            <w:pPr>
              <w:pStyle w:val="TableContents"/>
              <w:spacing w:before="0" w:after="283"/>
              <w:rPr/>
            </w:pPr>
            <w:r>
              <w:rPr/>
              <w:t>)</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422,095</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Accumulated other comprehensive income (loss)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6,923</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944" w:type="dxa"/>
            <w:tcBorders/>
            <w:shd w:fill="CCEEFF" w:val="clear"/>
            <w:vAlign w:val="bottom"/>
          </w:tcPr>
          <w:p>
            <w:pPr>
              <w:pStyle w:val="TableContents"/>
              <w:spacing w:before="0" w:after="283"/>
              <w:jc w:val="right"/>
              <w:rPr/>
            </w:pPr>
            <w:r>
              <w:rPr/>
              <w:t>(170</w:t>
            </w:r>
          </w:p>
        </w:tc>
        <w:tc>
          <w:tcPr>
            <w:tcW w:w="116"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(7,499</w:t>
            </w:r>
          </w:p>
        </w:tc>
        <w:tc>
          <w:tcPr>
            <w:tcW w:w="116" w:type="dxa"/>
            <w:tcBorders/>
            <w:shd w:fill="CCEEFF" w:val="clear"/>
            <w:vAlign w:val="bottom"/>
          </w:tcPr>
          <w:p>
            <w:pPr>
              <w:pStyle w:val="TableContents"/>
              <w:spacing w:before="0" w:after="283"/>
              <w:rPr/>
            </w:pPr>
            <w:r>
              <w:rPr/>
              <w:t>)</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pPr>
            <w:r>
              <w:rPr/>
              <w:t>(746</w:t>
            </w:r>
          </w:p>
        </w:tc>
        <w:tc>
          <w:tcPr>
            <w:tcW w:w="132" w:type="dxa"/>
            <w:tcBorders/>
            <w:shd w:fill="CCEEFF" w:val="clear"/>
            <w:vAlign w:val="bottom"/>
          </w:tcPr>
          <w:p>
            <w:pPr>
              <w:pStyle w:val="TableContents"/>
              <w:spacing w:before="0" w:after="283"/>
              <w:rPr/>
            </w:pPr>
            <w:r>
              <w:rPr/>
              <w:t>)</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auto" w:val="clear"/>
            <w:vAlign w:val="bottom"/>
          </w:tcPr>
          <w:p>
            <w:pPr>
              <w:pStyle w:val="TableContents"/>
              <w:spacing w:before="0" w:after="0"/>
              <w:ind w:left="1125" w:right="0" w:hanging="225"/>
              <w:rPr/>
            </w:pPr>
            <w:r>
              <w:rPr/>
              <w:t>Total stockholders equity</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403,800</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350,239</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38,887</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283"/>
              <w:jc w:val="right"/>
              <w:rPr/>
            </w:pPr>
            <w:r>
              <w:rPr/>
              <w:t>(128,678</w:t>
            </w:r>
          </w:p>
        </w:tc>
        <w:tc>
          <w:tcPr>
            <w:tcW w:w="116" w:type="dxa"/>
            <w:tcBorders/>
            <w:shd w:fill="auto" w:val="clear"/>
            <w:vAlign w:val="bottom"/>
          </w:tcPr>
          <w:p>
            <w:pPr>
              <w:pStyle w:val="TableContents"/>
              <w:spacing w:before="0" w:after="283"/>
              <w:rPr/>
            </w:pPr>
            <w:r>
              <w:rPr/>
              <w:t>)</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664,248</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Total liabilities and stockholders equity</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914" w:type="dxa"/>
            <w:tcBorders/>
            <w:shd w:fill="CCEEFF" w:val="clear"/>
            <w:vAlign w:val="bottom"/>
          </w:tcPr>
          <w:p>
            <w:pPr>
              <w:pStyle w:val="TableContents"/>
              <w:spacing w:before="0" w:after="283"/>
              <w:jc w:val="right"/>
              <w:rPr/>
            </w:pPr>
            <w:r>
              <w:rPr/>
              <w:t>237,615</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944" w:type="dxa"/>
            <w:tcBorders/>
            <w:shd w:fill="CCEEFF" w:val="clear"/>
            <w:vAlign w:val="bottom"/>
          </w:tcPr>
          <w:p>
            <w:pPr>
              <w:pStyle w:val="TableContents"/>
              <w:spacing w:before="0" w:after="283"/>
              <w:jc w:val="right"/>
              <w:rPr/>
            </w:pPr>
            <w:r>
              <w:rPr/>
              <w:t>583,711</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986" w:type="dxa"/>
            <w:tcBorders/>
            <w:shd w:fill="CCEEFF" w:val="clear"/>
            <w:vAlign w:val="bottom"/>
          </w:tcPr>
          <w:p>
            <w:pPr>
              <w:pStyle w:val="TableContents"/>
              <w:spacing w:before="0" w:after="283"/>
              <w:jc w:val="right"/>
              <w:rPr/>
            </w:pPr>
            <w:r>
              <w:rPr/>
              <w:t>63,748</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1049" w:type="dxa"/>
            <w:tcBorders/>
            <w:shd w:fill="CCEEFF" w:val="clear"/>
            <w:vAlign w:val="bottom"/>
          </w:tcPr>
          <w:p>
            <w:pPr>
              <w:pStyle w:val="TableContents"/>
              <w:spacing w:before="0" w:after="283"/>
              <w:jc w:val="right"/>
              <w:rPr/>
            </w:pPr>
            <w:r>
              <w:rPr/>
              <w:t>128,624</w:t>
            </w:r>
          </w:p>
        </w:tc>
        <w:tc>
          <w:tcPr>
            <w:tcW w:w="116" w:type="dxa"/>
            <w:tcBorders/>
            <w:shd w:fill="CCEEFF" w:val="clear"/>
            <w:vAlign w:val="bottom"/>
          </w:tcPr>
          <w:p>
            <w:pPr>
              <w:pStyle w:val="TableContents"/>
              <w:spacing w:before="0" w:after="283"/>
              <w:rPr>
                <w:sz w:val="4"/>
                <w:szCs w:val="4"/>
              </w:rPr>
            </w:pPr>
            <w:r>
              <w:rPr>
                <w:sz w:val="4"/>
                <w:szCs w:val="4"/>
              </w:rPr>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81" w:type="dxa"/>
            <w:tcBorders/>
            <w:shd w:fill="CCEEFF" w:val="clear"/>
            <w:vAlign w:val="bottom"/>
          </w:tcPr>
          <w:p>
            <w:pPr>
              <w:pStyle w:val="TableContents"/>
              <w:spacing w:before="0" w:after="283"/>
              <w:jc w:val="right"/>
              <w:rPr/>
            </w:pPr>
            <w:r>
              <w:rPr/>
              <w:t>756,450</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34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542"/>
        <w:gridCol w:w="241"/>
        <w:gridCol w:w="153"/>
        <w:gridCol w:w="914"/>
        <w:gridCol w:w="116"/>
        <w:gridCol w:w="241"/>
        <w:gridCol w:w="168"/>
        <w:gridCol w:w="944"/>
        <w:gridCol w:w="116"/>
        <w:gridCol w:w="240"/>
        <w:gridCol w:w="201"/>
        <w:gridCol w:w="986"/>
        <w:gridCol w:w="116"/>
        <w:gridCol w:w="241"/>
        <w:gridCol w:w="193"/>
        <w:gridCol w:w="1031"/>
        <w:gridCol w:w="116"/>
        <w:gridCol w:w="240"/>
        <w:gridCol w:w="193"/>
        <w:gridCol w:w="1081"/>
        <w:gridCol w:w="132"/>
      </w:tblGrid>
      <w:tr>
        <w:trPr/>
        <w:tc>
          <w:tcPr>
            <w:tcW w:w="254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7290" w:type="dxa"/>
            <w:gridSpan w:val="18"/>
            <w:tcBorders>
              <w:bottom w:val="single" w:sz="2" w:space="0" w:color="000000"/>
            </w:tcBorders>
            <w:shd w:fill="auto" w:val="clear"/>
            <w:tcMar>
              <w:bottom w:w="28" w:type="dxa"/>
            </w:tcMar>
            <w:vAlign w:val="bottom"/>
          </w:tcPr>
          <w:p>
            <w:pPr>
              <w:pStyle w:val="TableContents"/>
              <w:spacing w:before="0" w:after="283"/>
              <w:jc w:val="center"/>
              <w:rPr/>
            </w:pPr>
            <w:r>
              <w:rPr/>
              <w:t>As of September 30, 2010</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7290" w:type="dxa"/>
            <w:gridSpan w:val="18"/>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12" w:type="dxa"/>
            <w:gridSpan w:val="2"/>
            <w:tcBorders>
              <w:bottom w:val="single" w:sz="2" w:space="0" w:color="000000"/>
            </w:tcBorders>
            <w:shd w:fill="auto" w:val="clear"/>
            <w:tcMar>
              <w:bottom w:w="28" w:type="dxa"/>
            </w:tcMar>
            <w:vAlign w:val="bottom"/>
          </w:tcPr>
          <w:p>
            <w:pPr>
              <w:pStyle w:val="TableContents"/>
              <w:spacing w:before="0" w:after="283"/>
              <w:jc w:val="center"/>
              <w:rPr/>
            </w:pPr>
            <w:r>
              <w:rPr/>
              <w:t>Subsidiary</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7" w:type="dxa"/>
            <w:gridSpan w:val="2"/>
            <w:tcBorders>
              <w:bottom w:val="single" w:sz="2" w:space="0" w:color="000000"/>
            </w:tcBorders>
            <w:shd w:fill="auto" w:val="clear"/>
            <w:tcMar>
              <w:bottom w:w="28" w:type="dxa"/>
            </w:tcMar>
            <w:vAlign w:val="bottom"/>
          </w:tcPr>
          <w:p>
            <w:pPr>
              <w:pStyle w:val="TableContents"/>
              <w:spacing w:before="0" w:after="283"/>
              <w:jc w:val="center"/>
              <w:rPr/>
            </w:pPr>
            <w:r>
              <w:rPr/>
              <w:t>Other</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24"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67" w:type="dxa"/>
            <w:gridSpan w:val="2"/>
            <w:tcBorders>
              <w:bottom w:val="single" w:sz="2" w:space="0" w:color="000000"/>
            </w:tcBorders>
            <w:shd w:fill="auto" w:val="clear"/>
            <w:tcMar>
              <w:bottom w:w="28" w:type="dxa"/>
            </w:tcMar>
            <w:vAlign w:val="bottom"/>
          </w:tcPr>
          <w:p>
            <w:pPr>
              <w:pStyle w:val="TableContents"/>
              <w:spacing w:before="0" w:after="283"/>
              <w:jc w:val="center"/>
              <w:rPr/>
            </w:pPr>
            <w:r>
              <w:rPr/>
              <w:t>Parent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12" w:type="dxa"/>
            <w:gridSpan w:val="2"/>
            <w:tcBorders>
              <w:bottom w:val="single" w:sz="2" w:space="0" w:color="000000"/>
            </w:tcBorders>
            <w:shd w:fill="auto" w:val="clear"/>
            <w:tcMar>
              <w:bottom w:w="28" w:type="dxa"/>
            </w:tcMar>
            <w:vAlign w:val="bottom"/>
          </w:tcPr>
          <w:p>
            <w:pPr>
              <w:pStyle w:val="TableContents"/>
              <w:spacing w:before="0" w:after="283"/>
              <w:jc w:val="center"/>
              <w:rPr/>
            </w:pPr>
            <w:r>
              <w:rPr/>
              <w:t>Guarantors</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7" w:type="dxa"/>
            <w:gridSpan w:val="2"/>
            <w:tcBorders>
              <w:bottom w:val="single" w:sz="2" w:space="0" w:color="000000"/>
            </w:tcBorders>
            <w:shd w:fill="auto" w:val="clear"/>
            <w:tcMar>
              <w:bottom w:w="28" w:type="dxa"/>
            </w:tcMar>
            <w:vAlign w:val="bottom"/>
          </w:tcPr>
          <w:p>
            <w:pPr>
              <w:pStyle w:val="TableContents"/>
              <w:spacing w:before="0" w:after="283"/>
              <w:jc w:val="center"/>
              <w:rPr/>
            </w:pPr>
            <w:r>
              <w:rPr/>
              <w:t>Subsidiaries</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24" w:type="dxa"/>
            <w:gridSpan w:val="2"/>
            <w:tcBorders>
              <w:bottom w:val="single" w:sz="2" w:space="0" w:color="000000"/>
            </w:tcBorders>
            <w:shd w:fill="auto" w:val="clear"/>
            <w:tcMar>
              <w:bottom w:w="28" w:type="dxa"/>
            </w:tcMar>
            <w:vAlign w:val="bottom"/>
          </w:tcPr>
          <w:p>
            <w:pPr>
              <w:pStyle w:val="TableContents"/>
              <w:spacing w:before="0" w:after="283"/>
              <w:jc w:val="center"/>
              <w:rPr/>
            </w:pPr>
            <w:r>
              <w:rPr/>
              <w:t>Eliminations</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225" w:right="0" w:hanging="225"/>
              <w:rPr/>
            </w:pPr>
            <w:r>
              <w:rPr/>
              <w:t>Assets: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Current assets: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Cash and cash equivalents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944" w:type="dxa"/>
            <w:tcBorders/>
            <w:shd w:fill="CCEEFF" w:val="clear"/>
            <w:vAlign w:val="bottom"/>
          </w:tcPr>
          <w:p>
            <w:pPr>
              <w:pStyle w:val="TableContents"/>
              <w:spacing w:before="0" w:after="283"/>
              <w:jc w:val="right"/>
              <w:rPr/>
            </w:pPr>
            <w:r>
              <w:rPr/>
              <w:t>23,862</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986" w:type="dxa"/>
            <w:tcBorders/>
            <w:shd w:fill="CCEEFF" w:val="clear"/>
            <w:vAlign w:val="bottom"/>
          </w:tcPr>
          <w:p>
            <w:pPr>
              <w:pStyle w:val="TableContents"/>
              <w:spacing w:before="0" w:after="283"/>
              <w:jc w:val="right"/>
              <w:rPr/>
            </w:pPr>
            <w:r>
              <w:rPr/>
              <w:t>1,992</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81" w:type="dxa"/>
            <w:tcBorders/>
            <w:shd w:fill="CCEEFF" w:val="clear"/>
            <w:vAlign w:val="bottom"/>
          </w:tcPr>
          <w:p>
            <w:pPr>
              <w:pStyle w:val="TableContents"/>
              <w:spacing w:before="0" w:after="283"/>
              <w:jc w:val="right"/>
              <w:rPr/>
            </w:pPr>
            <w:r>
              <w:rPr/>
              <w:t>25,854</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Pawn loans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113,944</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7,257</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121,201</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Signature loans, net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9,828</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947</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10,775</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Auto title loans, net</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3,145</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3,145</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Pawn service charges receivable, net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20,573</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1,053</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21,626</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Signature loan fees receivable, net</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5,733</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85</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5,818</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Auto title loan fees receivable, net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1,616</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1,616</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Inventory, net</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66,547</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4,955</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71,502</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Deferred tax asset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18,085</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4,950</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173</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23,208</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Receivable from affiliates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Income taxes receivable</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3,185</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944" w:type="dxa"/>
            <w:tcBorders/>
            <w:shd w:fill="CCEEFF" w:val="clear"/>
            <w:vAlign w:val="bottom"/>
          </w:tcPr>
          <w:p>
            <w:pPr>
              <w:pStyle w:val="TableContents"/>
              <w:spacing w:before="0" w:after="283"/>
              <w:jc w:val="right"/>
              <w:rPr/>
            </w:pPr>
            <w:r>
              <w:rPr/>
              <w:t>(3,185</w:t>
            </w:r>
          </w:p>
        </w:tc>
        <w:tc>
          <w:tcPr>
            <w:tcW w:w="116"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Prepaid expenses and other assets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6</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14,769</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2,652</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17,427</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1125" w:right="0" w:hanging="225"/>
              <w:rPr/>
            </w:pPr>
            <w:r>
              <w:rPr/>
              <w:t>Total current assets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21,276</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261,782</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19,114</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302,172</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225" w:right="0" w:hanging="225"/>
              <w:rPr/>
            </w:pPr>
            <w:r>
              <w:rPr/>
              <w:t> </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Investments in unconsolidated affiliates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58,259</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43,127</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101,386</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Investments in subsidiaries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76,999</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9,095</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pPr>
            <w:r>
              <w:rPr/>
              <w:t>(86,094</w:t>
            </w:r>
          </w:p>
        </w:tc>
        <w:tc>
          <w:tcPr>
            <w:tcW w:w="116"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Property and equipment, net</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49,031</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13,262</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62,293</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Deferred tax asset, non-current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1,161</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944" w:type="dxa"/>
            <w:tcBorders/>
            <w:shd w:fill="CCEEFF" w:val="clear"/>
            <w:vAlign w:val="bottom"/>
          </w:tcPr>
          <w:p>
            <w:pPr>
              <w:pStyle w:val="TableContents"/>
              <w:spacing w:before="0" w:after="283"/>
              <w:jc w:val="right"/>
              <w:rPr/>
            </w:pPr>
            <w:r>
              <w:rPr/>
              <w:t>(1,101</w:t>
            </w:r>
          </w:p>
        </w:tc>
        <w:tc>
          <w:tcPr>
            <w:tcW w:w="116"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60</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Goodwill</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110,254</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7,051</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117,305</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Other assets, net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217</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20,938</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2,041</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23,196</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auto" w:val="clear"/>
            <w:vAlign w:val="bottom"/>
          </w:tcPr>
          <w:p>
            <w:pPr>
              <w:pStyle w:val="TableContents"/>
              <w:spacing w:before="0" w:after="0"/>
              <w:ind w:left="1125" w:right="0" w:hanging="225"/>
              <w:rPr/>
            </w:pPr>
            <w:r>
              <w:rPr/>
              <w:t>Total assets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914" w:type="dxa"/>
            <w:tcBorders/>
            <w:shd w:fill="auto" w:val="clear"/>
            <w:vAlign w:val="bottom"/>
          </w:tcPr>
          <w:p>
            <w:pPr>
              <w:pStyle w:val="TableContents"/>
              <w:spacing w:before="0" w:after="283"/>
              <w:jc w:val="right"/>
              <w:rPr/>
            </w:pPr>
            <w:r>
              <w:rPr/>
              <w:t>157,912</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944" w:type="dxa"/>
            <w:tcBorders/>
            <w:shd w:fill="auto" w:val="clear"/>
            <w:vAlign w:val="bottom"/>
          </w:tcPr>
          <w:p>
            <w:pPr>
              <w:pStyle w:val="TableContents"/>
              <w:spacing w:before="0" w:after="283"/>
              <w:jc w:val="right"/>
              <w:rPr/>
            </w:pPr>
            <w:r>
              <w:rPr/>
              <w:t>493,126</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986" w:type="dxa"/>
            <w:tcBorders/>
            <w:shd w:fill="auto" w:val="clear"/>
            <w:vAlign w:val="bottom"/>
          </w:tcPr>
          <w:p>
            <w:pPr>
              <w:pStyle w:val="TableContents"/>
              <w:spacing w:before="0" w:after="283"/>
              <w:jc w:val="right"/>
              <w:rPr/>
            </w:pPr>
            <w:r>
              <w:rPr/>
              <w:t>41,468</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31" w:type="dxa"/>
            <w:tcBorders/>
            <w:shd w:fill="auto" w:val="clear"/>
            <w:vAlign w:val="bottom"/>
          </w:tcPr>
          <w:p>
            <w:pPr>
              <w:pStyle w:val="TableContents"/>
              <w:spacing w:before="0" w:after="283"/>
              <w:jc w:val="right"/>
              <w:rPr/>
            </w:pPr>
            <w:r>
              <w:rPr/>
              <w:t>(86,094</w:t>
            </w:r>
          </w:p>
        </w:tc>
        <w:tc>
          <w:tcPr>
            <w:tcW w:w="116" w:type="dxa"/>
            <w:tcBorders/>
            <w:shd w:fill="auto" w:val="clear"/>
            <w:vAlign w:val="bottom"/>
          </w:tcPr>
          <w:p>
            <w:pPr>
              <w:pStyle w:val="TableContents"/>
              <w:spacing w:before="0" w:after="283"/>
              <w:rPr/>
            </w:pPr>
            <w:r>
              <w:rPr/>
              <w:t>)</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81" w:type="dxa"/>
            <w:tcBorders/>
            <w:shd w:fill="auto" w:val="clear"/>
            <w:vAlign w:val="bottom"/>
          </w:tcPr>
          <w:p>
            <w:pPr>
              <w:pStyle w:val="TableContents"/>
              <w:spacing w:before="0" w:after="283"/>
              <w:jc w:val="right"/>
              <w:rPr/>
            </w:pPr>
            <w:r>
              <w:rPr/>
              <w:t>606,412</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225" w:right="0" w:hanging="225"/>
              <w:rPr/>
            </w:pPr>
            <w:r>
              <w:rPr/>
              <w:t>Liabilities and stockholders equity:</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Current liabilities: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Current maturities of long-term debt</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914" w:type="dxa"/>
            <w:tcBorders/>
            <w:shd w:fill="CCEEFF" w:val="clear"/>
            <w:vAlign w:val="bottom"/>
          </w:tcPr>
          <w:p>
            <w:pPr>
              <w:pStyle w:val="TableContents"/>
              <w:spacing w:before="0" w:after="283"/>
              <w:jc w:val="right"/>
              <w:rPr/>
            </w:pPr>
            <w:r>
              <w:rPr/>
              <w:t>10,000</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94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81" w:type="dxa"/>
            <w:tcBorders/>
            <w:shd w:fill="CCEEFF" w:val="clear"/>
            <w:vAlign w:val="bottom"/>
          </w:tcPr>
          <w:p>
            <w:pPr>
              <w:pStyle w:val="TableContents"/>
              <w:spacing w:before="0" w:after="283"/>
              <w:jc w:val="right"/>
              <w:rPr/>
            </w:pPr>
            <w:r>
              <w:rPr/>
              <w:t>10,000</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Accounts payable and other accrued expenses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90</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44,859</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4,714</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49,663</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Customer layaway deposits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5,940</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169</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6,109</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Intercompany Payables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914" w:type="dxa"/>
            <w:tcBorders/>
            <w:shd w:fill="auto" w:val="clear"/>
            <w:vAlign w:val="bottom"/>
          </w:tcPr>
          <w:p>
            <w:pPr>
              <w:pStyle w:val="TableContents"/>
              <w:spacing w:before="0" w:after="283"/>
              <w:jc w:val="right"/>
              <w:rPr/>
            </w:pPr>
            <w:r>
              <w:rPr/>
              <w:t>(251,158</w:t>
            </w:r>
          </w:p>
        </w:tc>
        <w:tc>
          <w:tcPr>
            <w:tcW w:w="116" w:type="dxa"/>
            <w:tcBorders/>
            <w:shd w:fill="auto" w:val="clear"/>
            <w:vAlign w:val="bottom"/>
          </w:tcPr>
          <w:p>
            <w:pPr>
              <w:pStyle w:val="TableContents"/>
              <w:spacing w:before="0" w:after="283"/>
              <w:rPr/>
            </w:pPr>
            <w:r>
              <w:rPr/>
              <w:t>)</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222,767</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28,341</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50</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Income taxes payable</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11,031</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944" w:type="dxa"/>
            <w:tcBorders/>
            <w:shd w:fill="CCEEFF" w:val="clear"/>
            <w:vAlign w:val="bottom"/>
          </w:tcPr>
          <w:p>
            <w:pPr>
              <w:pStyle w:val="TableContents"/>
              <w:spacing w:before="0" w:after="283"/>
              <w:jc w:val="right"/>
              <w:rPr/>
            </w:pPr>
            <w:r>
              <w:rPr/>
              <w:t>(5,147</w:t>
            </w:r>
          </w:p>
        </w:tc>
        <w:tc>
          <w:tcPr>
            <w:tcW w:w="116"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(2,197</w:t>
            </w:r>
          </w:p>
        </w:tc>
        <w:tc>
          <w:tcPr>
            <w:tcW w:w="116" w:type="dxa"/>
            <w:tcBorders/>
            <w:shd w:fill="CCEEFF" w:val="clear"/>
            <w:vAlign w:val="bottom"/>
          </w:tcPr>
          <w:p>
            <w:pPr>
              <w:pStyle w:val="TableContents"/>
              <w:spacing w:before="0" w:after="283"/>
              <w:rPr/>
            </w:pPr>
            <w:r>
              <w:rPr/>
              <w:t>)</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3,687</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auto" w:val="clear"/>
            <w:vAlign w:val="bottom"/>
          </w:tcPr>
          <w:p>
            <w:pPr>
              <w:pStyle w:val="TableContents"/>
              <w:spacing w:before="0" w:after="0"/>
              <w:ind w:left="1125" w:right="0" w:hanging="225"/>
              <w:rPr/>
            </w:pPr>
            <w:r>
              <w:rPr/>
              <w:t>Total current liabilities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914" w:type="dxa"/>
            <w:tcBorders/>
            <w:shd w:fill="auto" w:val="clear"/>
            <w:vAlign w:val="bottom"/>
          </w:tcPr>
          <w:p>
            <w:pPr>
              <w:pStyle w:val="TableContents"/>
              <w:spacing w:before="0" w:after="283"/>
              <w:jc w:val="right"/>
              <w:rPr/>
            </w:pPr>
            <w:r>
              <w:rPr/>
              <w:t>(230,037</w:t>
            </w:r>
          </w:p>
        </w:tc>
        <w:tc>
          <w:tcPr>
            <w:tcW w:w="116" w:type="dxa"/>
            <w:tcBorders/>
            <w:shd w:fill="auto" w:val="clear"/>
            <w:vAlign w:val="bottom"/>
          </w:tcPr>
          <w:p>
            <w:pPr>
              <w:pStyle w:val="TableContents"/>
              <w:spacing w:before="0" w:after="283"/>
              <w:rPr/>
            </w:pPr>
            <w:r>
              <w:rPr/>
              <w:t>)</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268,419</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31,027</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50</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69,459</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225" w:right="0" w:hanging="225"/>
              <w:rPr/>
            </w:pPr>
            <w:r>
              <w:rPr/>
              <w:t> </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Long-term debt, less current maturities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15,000</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15,000</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Deferred tax liability</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Deferred gains and other long-term liabilities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2,525</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2,525</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auto" w:val="clear"/>
            <w:vAlign w:val="bottom"/>
          </w:tcPr>
          <w:p>
            <w:pPr>
              <w:pStyle w:val="TableContents"/>
              <w:spacing w:before="0" w:after="0"/>
              <w:ind w:left="1125" w:right="0" w:hanging="225"/>
              <w:rPr/>
            </w:pPr>
            <w:r>
              <w:rPr/>
              <w:t>Total liabilities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914" w:type="dxa"/>
            <w:tcBorders/>
            <w:shd w:fill="auto" w:val="clear"/>
            <w:vAlign w:val="bottom"/>
          </w:tcPr>
          <w:p>
            <w:pPr>
              <w:pStyle w:val="TableContents"/>
              <w:spacing w:before="0" w:after="283"/>
              <w:jc w:val="right"/>
              <w:rPr/>
            </w:pPr>
            <w:r>
              <w:rPr/>
              <w:t>(215,037</w:t>
            </w:r>
          </w:p>
        </w:tc>
        <w:tc>
          <w:tcPr>
            <w:tcW w:w="116" w:type="dxa"/>
            <w:tcBorders/>
            <w:shd w:fill="auto" w:val="clear"/>
            <w:vAlign w:val="bottom"/>
          </w:tcPr>
          <w:p>
            <w:pPr>
              <w:pStyle w:val="TableContents"/>
              <w:spacing w:before="0" w:after="283"/>
              <w:rPr/>
            </w:pPr>
            <w:r>
              <w:rPr/>
              <w:t>)</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270,944</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31,027</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50</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86,984</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225" w:right="0" w:hanging="225"/>
              <w:rPr/>
            </w:pPr>
            <w:r>
              <w:rPr/>
              <w:t> </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Commitments and contingencies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450" w:right="0" w:hanging="225"/>
              <w:rPr/>
            </w:pPr>
            <w:r>
              <w:rPr/>
              <w:t>Stockholders equity:</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Class A Non-voting Common Stock</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452</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11</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463</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Class B Voting Common Stock</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30</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944" w:type="dxa"/>
            <w:tcBorders/>
            <w:shd w:fill="auto" w:val="clear"/>
            <w:vAlign w:val="bottom"/>
          </w:tcPr>
          <w:p>
            <w:pPr>
              <w:pStyle w:val="TableContents"/>
              <w:spacing w:before="0" w:after="283"/>
              <w:jc w:val="right"/>
              <w:rPr/>
            </w:pPr>
            <w:r>
              <w:rPr/>
              <w:t>(1</w:t>
            </w:r>
          </w:p>
        </w:tc>
        <w:tc>
          <w:tcPr>
            <w:tcW w:w="116" w:type="dxa"/>
            <w:tcBorders/>
            <w:shd w:fill="auto" w:val="clear"/>
            <w:vAlign w:val="bottom"/>
          </w:tcPr>
          <w:p>
            <w:pPr>
              <w:pStyle w:val="TableContents"/>
              <w:spacing w:before="0" w:after="283"/>
              <w:rPr/>
            </w:pPr>
            <w:r>
              <w:rPr/>
              <w:t>)</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1</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30</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Additional paid-in capital</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218,087</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78,091</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86" w:type="dxa"/>
            <w:tcBorders/>
            <w:shd w:fill="CCEEFF" w:val="clear"/>
            <w:vAlign w:val="bottom"/>
          </w:tcPr>
          <w:p>
            <w:pPr>
              <w:pStyle w:val="TableContents"/>
              <w:spacing w:before="0" w:after="283"/>
              <w:jc w:val="right"/>
              <w:rPr/>
            </w:pPr>
            <w:r>
              <w:rPr/>
              <w:t>15,340</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pPr>
            <w:r>
              <w:rPr/>
              <w:t>(86,144</w:t>
            </w:r>
          </w:p>
        </w:tc>
        <w:tc>
          <w:tcPr>
            <w:tcW w:w="116"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225,374</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bottom"/>
          </w:tcPr>
          <w:p>
            <w:pPr>
              <w:pStyle w:val="TableContents"/>
              <w:spacing w:before="0" w:after="0"/>
              <w:ind w:left="675" w:right="0" w:hanging="225"/>
              <w:rPr/>
            </w:pPr>
            <w:r>
              <w:rPr/>
              <w:t>Retained earnings</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156,329</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145,954</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 </w:t>
            </w:r>
          </w:p>
        </w:tc>
        <w:tc>
          <w:tcPr>
            <w:tcW w:w="986" w:type="dxa"/>
            <w:tcBorders/>
            <w:shd w:fill="auto" w:val="clear"/>
            <w:vAlign w:val="bottom"/>
          </w:tcPr>
          <w:p>
            <w:pPr>
              <w:pStyle w:val="TableContents"/>
              <w:spacing w:before="0" w:after="283"/>
              <w:jc w:val="right"/>
              <w:rPr/>
            </w:pPr>
            <w:r>
              <w:rPr/>
              <w:t>(2,347</w:t>
            </w:r>
          </w:p>
        </w:tc>
        <w:tc>
          <w:tcPr>
            <w:tcW w:w="116" w:type="dxa"/>
            <w:tcBorders/>
            <w:shd w:fill="auto" w:val="clear"/>
            <w:vAlign w:val="bottom"/>
          </w:tcPr>
          <w:p>
            <w:pPr>
              <w:pStyle w:val="TableContents"/>
              <w:spacing w:before="0" w:after="283"/>
              <w:rPr/>
            </w:pPr>
            <w:r>
              <w:rPr/>
              <w:t>)</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299,936</w:t>
            </w:r>
          </w:p>
        </w:tc>
        <w:tc>
          <w:tcPr>
            <w:tcW w:w="132" w:type="dxa"/>
            <w:tcBorders/>
            <w:shd w:fill="auto" w:val="clear"/>
            <w:vAlign w:val="bottom"/>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675" w:right="0" w:hanging="225"/>
              <w:rPr/>
            </w:pPr>
            <w:r>
              <w:rPr/>
              <w:t>Accumulated other comprehensive income (loss)</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(1,949</w:t>
            </w:r>
          </w:p>
        </w:tc>
        <w:tc>
          <w:tcPr>
            <w:tcW w:w="116" w:type="dxa"/>
            <w:tcBorders/>
            <w:shd w:fill="CCEEFF" w:val="clear"/>
            <w:vAlign w:val="bottom"/>
          </w:tcPr>
          <w:p>
            <w:pPr>
              <w:pStyle w:val="TableContents"/>
              <w:spacing w:before="0" w:after="283"/>
              <w:rPr/>
            </w:pPr>
            <w:r>
              <w:rPr/>
              <w:t>)</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944" w:type="dxa"/>
            <w:tcBorders/>
            <w:shd w:fill="CCEEFF" w:val="clear"/>
            <w:vAlign w:val="bottom"/>
          </w:tcPr>
          <w:p>
            <w:pPr>
              <w:pStyle w:val="TableContents"/>
              <w:spacing w:before="0" w:after="283"/>
              <w:jc w:val="right"/>
              <w:rPr/>
            </w:pPr>
            <w:r>
              <w:rPr/>
              <w:t>(1,873</w:t>
            </w:r>
          </w:p>
        </w:tc>
        <w:tc>
          <w:tcPr>
            <w:tcW w:w="116"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(2,553</w:t>
            </w:r>
          </w:p>
        </w:tc>
        <w:tc>
          <w:tcPr>
            <w:tcW w:w="116" w:type="dxa"/>
            <w:tcBorders/>
            <w:shd w:fill="CCEEFF" w:val="clear"/>
            <w:vAlign w:val="bottom"/>
          </w:tcPr>
          <w:p>
            <w:pPr>
              <w:pStyle w:val="TableContents"/>
              <w:spacing w:before="0" w:after="283"/>
              <w:rPr/>
            </w:pPr>
            <w:r>
              <w:rPr/>
              <w:t>)</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pPr>
            <w:r>
              <w:rPr/>
              <w:t>(6,375</w:t>
            </w:r>
          </w:p>
        </w:tc>
        <w:tc>
          <w:tcPr>
            <w:tcW w:w="132" w:type="dxa"/>
            <w:tcBorders/>
            <w:shd w:fill="CCEEFF" w:val="clear"/>
            <w:vAlign w:val="bottom"/>
          </w:tcPr>
          <w:p>
            <w:pPr>
              <w:pStyle w:val="TableContents"/>
              <w:spacing w:before="0" w:after="283"/>
              <w:rPr/>
            </w:pPr>
            <w:r>
              <w:rPr/>
              <w:t>)</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auto" w:val="clear"/>
            <w:vAlign w:val="bottom"/>
          </w:tcPr>
          <w:p>
            <w:pPr>
              <w:pStyle w:val="TableContents"/>
              <w:spacing w:before="0" w:after="0"/>
              <w:ind w:left="1125" w:right="0" w:hanging="225"/>
              <w:rPr/>
            </w:pPr>
            <w:r>
              <w:rPr/>
              <w:t>Total stockholders equity</w:t>
            </w:r>
          </w:p>
        </w:tc>
        <w:tc>
          <w:tcPr>
            <w:tcW w:w="24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372,949</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222,182</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jc w:val="right"/>
              <w:rPr/>
            </w:pPr>
            <w:r>
              <w:rPr/>
              <w:t>10,441</w:t>
            </w:r>
          </w:p>
        </w:tc>
        <w:tc>
          <w:tcPr>
            <w:tcW w:w="1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031" w:type="dxa"/>
            <w:tcBorders/>
            <w:shd w:fill="auto" w:val="clear"/>
            <w:vAlign w:val="bottom"/>
          </w:tcPr>
          <w:p>
            <w:pPr>
              <w:pStyle w:val="TableContents"/>
              <w:spacing w:before="0" w:after="283"/>
              <w:jc w:val="right"/>
              <w:rPr/>
            </w:pPr>
            <w:r>
              <w:rPr/>
              <w:t>(86,144</w:t>
            </w:r>
          </w:p>
        </w:tc>
        <w:tc>
          <w:tcPr>
            <w:tcW w:w="116" w:type="dxa"/>
            <w:tcBorders/>
            <w:shd w:fill="auto" w:val="clear"/>
            <w:vAlign w:val="bottom"/>
          </w:tcPr>
          <w:p>
            <w:pPr>
              <w:pStyle w:val="TableContents"/>
              <w:spacing w:before="0" w:after="283"/>
              <w:rPr/>
            </w:pPr>
            <w:r>
              <w:rPr/>
              <w:t>)</w:t>
            </w:r>
          </w:p>
        </w:tc>
        <w:tc>
          <w:tcPr>
            <w:tcW w:w="2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519,428</w:t>
            </w:r>
          </w:p>
        </w:tc>
        <w:tc>
          <w:tcPr>
            <w:tcW w:w="132" w:type="dxa"/>
            <w:tcBorders/>
            <w:shd w:fill="auto"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2542" w:type="dxa"/>
            <w:tcBorders/>
            <w:shd w:fill="CCEEFF" w:val="clear"/>
            <w:vAlign w:val="bottom"/>
          </w:tcPr>
          <w:p>
            <w:pPr>
              <w:pStyle w:val="TableContents"/>
              <w:spacing w:before="0" w:after="0"/>
              <w:ind w:left="450" w:right="0" w:hanging="225"/>
              <w:rPr/>
            </w:pPr>
            <w:r>
              <w:rPr/>
              <w:t>Total liabilities and stockholders equity</w:t>
            </w:r>
          </w:p>
        </w:tc>
        <w:tc>
          <w:tcPr>
            <w:tcW w:w="24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914" w:type="dxa"/>
            <w:tcBorders/>
            <w:shd w:fill="CCEEFF" w:val="clear"/>
            <w:vAlign w:val="bottom"/>
          </w:tcPr>
          <w:p>
            <w:pPr>
              <w:pStyle w:val="TableContents"/>
              <w:spacing w:before="0" w:after="283"/>
              <w:jc w:val="right"/>
              <w:rPr/>
            </w:pPr>
            <w:r>
              <w:rPr/>
              <w:t>157,912</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944" w:type="dxa"/>
            <w:tcBorders/>
            <w:shd w:fill="CCEEFF" w:val="clear"/>
            <w:vAlign w:val="bottom"/>
          </w:tcPr>
          <w:p>
            <w:pPr>
              <w:pStyle w:val="TableContents"/>
              <w:spacing w:before="0" w:after="283"/>
              <w:jc w:val="right"/>
              <w:rPr/>
            </w:pPr>
            <w:r>
              <w:rPr/>
              <w:t>493,126</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986" w:type="dxa"/>
            <w:tcBorders/>
            <w:shd w:fill="CCEEFF" w:val="clear"/>
            <w:vAlign w:val="bottom"/>
          </w:tcPr>
          <w:p>
            <w:pPr>
              <w:pStyle w:val="TableContents"/>
              <w:spacing w:before="0" w:after="283"/>
              <w:jc w:val="right"/>
              <w:rPr/>
            </w:pPr>
            <w:r>
              <w:rPr/>
              <w:t>41,468</w:t>
            </w:r>
          </w:p>
        </w:tc>
        <w:tc>
          <w:tcPr>
            <w:tcW w:w="11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31" w:type="dxa"/>
            <w:tcBorders/>
            <w:shd w:fill="CCEEFF" w:val="clear"/>
            <w:vAlign w:val="bottom"/>
          </w:tcPr>
          <w:p>
            <w:pPr>
              <w:pStyle w:val="TableContents"/>
              <w:spacing w:before="0" w:after="283"/>
              <w:jc w:val="right"/>
              <w:rPr/>
            </w:pPr>
            <w:r>
              <w:rPr/>
              <w:t>(86,094</w:t>
            </w:r>
          </w:p>
        </w:tc>
        <w:tc>
          <w:tcPr>
            <w:tcW w:w="116"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81" w:type="dxa"/>
            <w:tcBorders/>
            <w:shd w:fill="CCEEFF" w:val="clear"/>
            <w:vAlign w:val="bottom"/>
          </w:tcPr>
          <w:p>
            <w:pPr>
              <w:pStyle w:val="TableContents"/>
              <w:spacing w:before="0" w:after="283"/>
              <w:jc w:val="right"/>
              <w:rPr/>
            </w:pPr>
            <w:r>
              <w:rPr/>
              <w:t>606,412</w:t>
            </w:r>
          </w:p>
        </w:tc>
        <w:tc>
          <w:tcPr>
            <w:tcW w:w="132" w:type="dxa"/>
            <w:tcBorders/>
            <w:shd w:fill="CCEEFF" w:val="clear"/>
            <w:vAlign w:val="bottom"/>
          </w:tcPr>
          <w:p>
            <w:pPr>
              <w:pStyle w:val="TableContents"/>
              <w:spacing w:before="0" w:after="283"/>
              <w:rPr/>
            </w:pPr>
            <w:r>
              <w:rPr/>
              <w:t> </w:t>
            </w:r>
          </w:p>
        </w:tc>
      </w:tr>
      <w:tr>
        <w:trPr/>
        <w:tc>
          <w:tcPr>
            <w:tcW w:w="2542"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0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r>
        <w:rPr/>
        <w:t> </w:t>
      </w:r>
    </w:p>
    <w:p>
      <w:pPr>
        <w:pStyle w:val="TextBody"/>
        <w:spacing w:before="225" w:after="283"/>
        <w:rPr>
          <w:rFonts w:ascii="Times New Roman;Times;serif" w:hAnsi="Times New Roman;Times;serif"/>
          <w:sz w:val="17"/>
          <w:u w:val="single"/>
        </w:rPr>
      </w:pPr>
      <w:r>
        <w:rPr>
          <w:rFonts w:ascii="Times New Roman;Times;serif" w:hAnsi="Times New Roman;Times;serif"/>
          <w:sz w:val="17"/>
          <w:u w:val="single"/>
        </w:rPr>
        <w:t>Condensed Consolidating Statements of Operations</w:t>
      </w:r>
    </w:p>
    <w:tbl>
      <w:tblPr>
        <w:tblW w:w="5000" w:type="pct"/>
        <w:jc w:val="center"/>
        <w:tblInd w:w="0" w:type="dxa"/>
        <w:tblCellMar>
          <w:top w:w="0" w:type="dxa"/>
          <w:left w:w="0" w:type="dxa"/>
          <w:bottom w:w="0" w:type="dxa"/>
          <w:right w:w="0" w:type="dxa"/>
        </w:tblCellMar>
      </w:tblPr>
      <w:tblGrid>
        <w:gridCol w:w="2624"/>
        <w:gridCol w:w="252"/>
        <w:gridCol w:w="154"/>
        <w:gridCol w:w="758"/>
        <w:gridCol w:w="118"/>
        <w:gridCol w:w="252"/>
        <w:gridCol w:w="169"/>
        <w:gridCol w:w="947"/>
        <w:gridCol w:w="118"/>
        <w:gridCol w:w="252"/>
        <w:gridCol w:w="202"/>
        <w:gridCol w:w="988"/>
        <w:gridCol w:w="117"/>
        <w:gridCol w:w="252"/>
        <w:gridCol w:w="194"/>
        <w:gridCol w:w="1033"/>
        <w:gridCol w:w="118"/>
        <w:gridCol w:w="252"/>
        <w:gridCol w:w="194"/>
        <w:gridCol w:w="1082"/>
        <w:gridCol w:w="129"/>
      </w:tblGrid>
      <w:tr>
        <w:trPr/>
        <w:tc>
          <w:tcPr>
            <w:tcW w:w="262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7200" w:type="dxa"/>
            <w:gridSpan w:val="18"/>
            <w:tcBorders>
              <w:bottom w:val="single" w:sz="2" w:space="0" w:color="000000"/>
            </w:tcBorders>
            <w:shd w:fill="auto" w:val="clear"/>
            <w:tcMar>
              <w:bottom w:w="28" w:type="dxa"/>
            </w:tcMar>
            <w:vAlign w:val="bottom"/>
          </w:tcPr>
          <w:p>
            <w:pPr>
              <w:pStyle w:val="TableContents"/>
              <w:spacing w:before="0" w:after="283"/>
              <w:jc w:val="center"/>
              <w:rPr/>
            </w:pPr>
            <w:r>
              <w:rPr/>
              <w:t>Year Ended September 30, 2011</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7200" w:type="dxa"/>
            <w:gridSpan w:val="18"/>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16" w:type="dxa"/>
            <w:gridSpan w:val="2"/>
            <w:tcBorders>
              <w:bottom w:val="single" w:sz="2" w:space="0" w:color="000000"/>
            </w:tcBorders>
            <w:shd w:fill="auto" w:val="clear"/>
            <w:tcMar>
              <w:bottom w:w="28" w:type="dxa"/>
            </w:tcMar>
            <w:vAlign w:val="bottom"/>
          </w:tcPr>
          <w:p>
            <w:pPr>
              <w:pStyle w:val="TableContents"/>
              <w:spacing w:before="0" w:after="283"/>
              <w:jc w:val="center"/>
              <w:rPr/>
            </w:pPr>
            <w:r>
              <w:rPr/>
              <w:t>Subsidiary</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90" w:type="dxa"/>
            <w:gridSpan w:val="2"/>
            <w:tcBorders>
              <w:bottom w:val="single" w:sz="2" w:space="0" w:color="000000"/>
            </w:tcBorders>
            <w:shd w:fill="auto" w:val="clear"/>
            <w:tcMar>
              <w:bottom w:w="28" w:type="dxa"/>
            </w:tcMar>
            <w:vAlign w:val="bottom"/>
          </w:tcPr>
          <w:p>
            <w:pPr>
              <w:pStyle w:val="TableContents"/>
              <w:spacing w:before="0" w:after="283"/>
              <w:jc w:val="center"/>
              <w:rPr/>
            </w:pPr>
            <w:r>
              <w:rPr/>
              <w:t>Other</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27" w:type="dxa"/>
            <w:gridSpan w:val="2"/>
            <w:tcBorders/>
            <w:shd w:fill="auto" w:val="clear"/>
            <w:vAlign w:val="bottom"/>
          </w:tcPr>
          <w:p>
            <w:pPr>
              <w:pStyle w:val="TableContents"/>
              <w:spacing w:before="0" w:after="283"/>
              <w:jc w:val="center"/>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76" w:type="dxa"/>
            <w:gridSpan w:val="2"/>
            <w:tcBorders/>
            <w:shd w:fill="auto" w:val="clear"/>
            <w:vAlign w:val="bottom"/>
          </w:tcPr>
          <w:p>
            <w:pPr>
              <w:pStyle w:val="TableContents"/>
              <w:spacing w:before="0" w:after="283"/>
              <w:jc w:val="center"/>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912" w:type="dxa"/>
            <w:gridSpan w:val="2"/>
            <w:tcBorders>
              <w:bottom w:val="single" w:sz="2" w:space="0" w:color="000000"/>
            </w:tcBorders>
            <w:shd w:fill="auto" w:val="clear"/>
            <w:tcMar>
              <w:bottom w:w="28" w:type="dxa"/>
            </w:tcMar>
            <w:vAlign w:val="bottom"/>
          </w:tcPr>
          <w:p>
            <w:pPr>
              <w:pStyle w:val="TableContents"/>
              <w:spacing w:before="0" w:after="283"/>
              <w:jc w:val="center"/>
              <w:rPr/>
            </w:pPr>
            <w:r>
              <w:rPr/>
              <w:t>Parent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16" w:type="dxa"/>
            <w:gridSpan w:val="2"/>
            <w:tcBorders>
              <w:bottom w:val="single" w:sz="2" w:space="0" w:color="000000"/>
            </w:tcBorders>
            <w:shd w:fill="auto" w:val="clear"/>
            <w:tcMar>
              <w:bottom w:w="28" w:type="dxa"/>
            </w:tcMar>
            <w:vAlign w:val="bottom"/>
          </w:tcPr>
          <w:p>
            <w:pPr>
              <w:pStyle w:val="TableContents"/>
              <w:spacing w:before="0" w:after="283"/>
              <w:jc w:val="center"/>
              <w:rPr/>
            </w:pPr>
            <w:r>
              <w:rPr/>
              <w:t>Guarantors</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90" w:type="dxa"/>
            <w:gridSpan w:val="2"/>
            <w:tcBorders>
              <w:bottom w:val="single" w:sz="2" w:space="0" w:color="000000"/>
            </w:tcBorders>
            <w:shd w:fill="auto" w:val="clear"/>
            <w:tcMar>
              <w:bottom w:w="28" w:type="dxa"/>
            </w:tcMar>
            <w:vAlign w:val="bottom"/>
          </w:tcPr>
          <w:p>
            <w:pPr>
              <w:pStyle w:val="TableContents"/>
              <w:spacing w:before="0" w:after="283"/>
              <w:jc w:val="center"/>
              <w:rPr/>
            </w:pPr>
            <w:r>
              <w:rPr/>
              <w:t>Subsidiaries</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27" w:type="dxa"/>
            <w:gridSpan w:val="2"/>
            <w:tcBorders>
              <w:bottom w:val="single" w:sz="2" w:space="0" w:color="000000"/>
            </w:tcBorders>
            <w:shd w:fill="auto" w:val="clear"/>
            <w:tcMar>
              <w:bottom w:w="28" w:type="dxa"/>
            </w:tcMar>
            <w:vAlign w:val="bottom"/>
          </w:tcPr>
          <w:p>
            <w:pPr>
              <w:pStyle w:val="TableContents"/>
              <w:spacing w:before="0" w:after="283"/>
              <w:jc w:val="center"/>
              <w:rPr/>
            </w:pPr>
            <w:r>
              <w:rPr/>
              <w:t>Eliminations</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76"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225" w:right="0" w:hanging="225"/>
              <w:rPr/>
            </w:pPr>
            <w:r>
              <w:rPr/>
              <w:t>Revenues: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675" w:right="0" w:hanging="225"/>
              <w:rPr/>
            </w:pPr>
            <w:r>
              <w:rPr/>
              <w:t>Sales</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452,039</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88" w:type="dxa"/>
            <w:tcBorders/>
            <w:shd w:fill="auto" w:val="clear"/>
            <w:vAlign w:val="bottom"/>
          </w:tcPr>
          <w:p>
            <w:pPr>
              <w:pStyle w:val="TableContents"/>
              <w:spacing w:before="0" w:after="283"/>
              <w:jc w:val="right"/>
              <w:rPr/>
            </w:pPr>
            <w:r>
              <w:rPr/>
              <w:t>42,523</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82" w:type="dxa"/>
            <w:tcBorders/>
            <w:shd w:fill="auto" w:val="clear"/>
            <w:vAlign w:val="bottom"/>
          </w:tcPr>
          <w:p>
            <w:pPr>
              <w:pStyle w:val="TableContents"/>
              <w:spacing w:before="0" w:after="283"/>
              <w:jc w:val="right"/>
              <w:rPr/>
            </w:pPr>
            <w:r>
              <w:rPr/>
              <w:t>494,562</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675" w:right="0" w:hanging="225"/>
              <w:rPr/>
            </w:pPr>
            <w:r>
              <w:rPr/>
              <w:t>Pawn service charges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184,234</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16,901</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201,135</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675" w:right="0" w:hanging="225"/>
              <w:rPr/>
            </w:pPr>
            <w:r>
              <w:rPr/>
              <w:t>Signature loan fees</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141,545</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8,705</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150,250</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675" w:right="0" w:hanging="225"/>
              <w:rPr/>
            </w:pPr>
            <w:r>
              <w:rPr/>
              <w:t>Auto title loan fees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21,701</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21,701</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675" w:right="0" w:hanging="225"/>
              <w:rPr/>
            </w:pPr>
            <w:r>
              <w:rPr/>
              <w:t>Other</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66,450</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1,042</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627</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283"/>
              <w:jc w:val="right"/>
              <w:rPr/>
            </w:pPr>
            <w:r>
              <w:rPr/>
              <w:t>(66,450</w:t>
            </w:r>
          </w:p>
        </w:tc>
        <w:tc>
          <w:tcPr>
            <w:tcW w:w="118"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1,669</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900" w:right="0" w:hanging="225"/>
              <w:rPr/>
            </w:pPr>
            <w:r>
              <w:rPr/>
              <w:t>Total revenues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66,450</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800,561</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68,756</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3" w:type="dxa"/>
            <w:tcBorders/>
            <w:shd w:fill="CCEEFF" w:val="clear"/>
            <w:vAlign w:val="bottom"/>
          </w:tcPr>
          <w:p>
            <w:pPr>
              <w:pStyle w:val="TableContents"/>
              <w:spacing w:before="0" w:after="283"/>
              <w:jc w:val="right"/>
              <w:rPr/>
            </w:pPr>
            <w:r>
              <w:rPr/>
              <w:t>(66,450</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869,317</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 </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Cost of goods sold</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268,068</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27,552</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295,620</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225" w:right="0" w:hanging="225"/>
              <w:rPr/>
            </w:pPr>
            <w:r>
              <w:rPr/>
              <w:t>Signature loan bad debt</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33,735</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2,593</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36,328</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Auto title loan bad debt</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2,431</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2,431</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900" w:right="0" w:hanging="225"/>
              <w:rPr/>
            </w:pPr>
            <w:r>
              <w:rPr/>
              <w:t>Net revenues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66,450</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496,327</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38,611</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3" w:type="dxa"/>
            <w:tcBorders/>
            <w:shd w:fill="CCEEFF" w:val="clear"/>
            <w:vAlign w:val="bottom"/>
          </w:tcPr>
          <w:p>
            <w:pPr>
              <w:pStyle w:val="TableContents"/>
              <w:spacing w:before="0" w:after="283"/>
              <w:jc w:val="right"/>
              <w:rPr/>
            </w:pPr>
            <w:r>
              <w:rPr/>
              <w:t>(66,450</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534,938</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 </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Operating expenses:</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675" w:right="0" w:hanging="225"/>
              <w:rPr/>
            </w:pPr>
            <w:r>
              <w:rPr/>
              <w:t>Operations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237,040</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30,012</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267,052</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675" w:right="0" w:hanging="225"/>
              <w:rPr/>
            </w:pPr>
            <w:r>
              <w:rPr/>
              <w:t>Administrative</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70,160</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5,110</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75,270</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675" w:right="0" w:hanging="225"/>
              <w:rPr/>
            </w:pPr>
            <w:r>
              <w:rPr/>
              <w:t>Depreciation</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14,326</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3,163</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17,489</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675" w:right="0" w:hanging="225"/>
              <w:rPr/>
            </w:pPr>
            <w:r>
              <w:rPr/>
              <w:t>Amortization</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400</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455</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855</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675" w:right="0" w:hanging="225"/>
              <w:rPr/>
            </w:pPr>
            <w:r>
              <w:rPr/>
              <w:t>(Gain) loss on sale or disposal of assets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138</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171</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309</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24" w:type="dxa"/>
            <w:tcBorders/>
            <w:shd w:fill="auto" w:val="clear"/>
            <w:vAlign w:val="bottom"/>
          </w:tcPr>
          <w:p>
            <w:pPr>
              <w:pStyle w:val="TableContents"/>
              <w:spacing w:before="0" w:after="0"/>
              <w:ind w:left="900" w:right="0" w:hanging="225"/>
              <w:rPr/>
            </w:pPr>
            <w:r>
              <w:rPr/>
              <w:t>Total operating expenses</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322,064</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38,911</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360,975</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 </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225" w:right="0" w:hanging="225"/>
              <w:rPr/>
            </w:pPr>
            <w:r>
              <w:rPr/>
              <w:t>Operating income</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66,450</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174,263</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88" w:type="dxa"/>
            <w:tcBorders/>
            <w:shd w:fill="CCEEFF" w:val="clear"/>
            <w:vAlign w:val="bottom"/>
          </w:tcPr>
          <w:p>
            <w:pPr>
              <w:pStyle w:val="TableContents"/>
              <w:spacing w:before="0" w:after="283"/>
              <w:jc w:val="right"/>
              <w:rPr/>
            </w:pPr>
            <w:r>
              <w:rPr/>
              <w:t>(300</w:t>
            </w:r>
          </w:p>
        </w:tc>
        <w:tc>
          <w:tcPr>
            <w:tcW w:w="117"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3" w:type="dxa"/>
            <w:tcBorders/>
            <w:shd w:fill="CCEEFF" w:val="clear"/>
            <w:vAlign w:val="bottom"/>
          </w:tcPr>
          <w:p>
            <w:pPr>
              <w:pStyle w:val="TableContents"/>
              <w:spacing w:before="0" w:after="283"/>
              <w:jc w:val="right"/>
              <w:rPr/>
            </w:pPr>
            <w:r>
              <w:rPr/>
              <w:t>(66,450</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173,963</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 </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Interest income</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right"/>
              <w:rPr/>
            </w:pPr>
            <w:r>
              <w:rPr/>
              <w:t>(15</w:t>
            </w:r>
          </w:p>
        </w:tc>
        <w:tc>
          <w:tcPr>
            <w:tcW w:w="118"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947" w:type="dxa"/>
            <w:tcBorders/>
            <w:shd w:fill="auto" w:val="clear"/>
            <w:vAlign w:val="bottom"/>
          </w:tcPr>
          <w:p>
            <w:pPr>
              <w:pStyle w:val="TableContents"/>
              <w:spacing w:before="0" w:after="283"/>
              <w:jc w:val="right"/>
              <w:rPr/>
            </w:pPr>
            <w:r>
              <w:rPr/>
              <w:t>(341</w:t>
            </w:r>
          </w:p>
        </w:tc>
        <w:tc>
          <w:tcPr>
            <w:tcW w:w="118"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988" w:type="dxa"/>
            <w:tcBorders/>
            <w:shd w:fill="auto" w:val="clear"/>
            <w:vAlign w:val="bottom"/>
          </w:tcPr>
          <w:p>
            <w:pPr>
              <w:pStyle w:val="TableContents"/>
              <w:spacing w:before="0" w:after="283"/>
              <w:jc w:val="right"/>
              <w:rPr/>
            </w:pPr>
            <w:r>
              <w:rPr/>
              <w:t>(2</w:t>
            </w:r>
          </w:p>
        </w:tc>
        <w:tc>
          <w:tcPr>
            <w:tcW w:w="117"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321</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82" w:type="dxa"/>
            <w:tcBorders/>
            <w:shd w:fill="auto" w:val="clear"/>
            <w:vAlign w:val="bottom"/>
          </w:tcPr>
          <w:p>
            <w:pPr>
              <w:pStyle w:val="TableContents"/>
              <w:spacing w:before="0" w:after="283"/>
              <w:jc w:val="right"/>
              <w:rPr/>
            </w:pPr>
            <w:r>
              <w:rPr/>
              <w:t>(37</w:t>
            </w:r>
          </w:p>
        </w:tc>
        <w:tc>
          <w:tcPr>
            <w:tcW w:w="129" w:type="dxa"/>
            <w:tcBorders/>
            <w:shd w:fill="auto" w:val="clear"/>
            <w:vAlign w:val="bottom"/>
          </w:tcPr>
          <w:p>
            <w:pPr>
              <w:pStyle w:val="TableContents"/>
              <w:spacing w:before="0" w:after="283"/>
              <w:rPr/>
            </w:pPr>
            <w:r>
              <w:rPr/>
              <w:t>)</w:t>
            </w:r>
          </w:p>
        </w:tc>
      </w:tr>
      <w:tr>
        <w:trPr/>
        <w:tc>
          <w:tcPr>
            <w:tcW w:w="2624" w:type="dxa"/>
            <w:tcBorders/>
            <w:shd w:fill="CCEEFF" w:val="clear"/>
            <w:vAlign w:val="bottom"/>
          </w:tcPr>
          <w:p>
            <w:pPr>
              <w:pStyle w:val="TableContents"/>
              <w:spacing w:before="0" w:after="0"/>
              <w:ind w:left="225" w:right="0" w:hanging="225"/>
              <w:rPr/>
            </w:pPr>
            <w:r>
              <w:rPr/>
              <w:t>Interest expense</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283"/>
              <w:jc w:val="right"/>
              <w:rPr/>
            </w:pPr>
            <w:r>
              <w:rPr/>
              <w:t>(8,436</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10,118</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329</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3" w:type="dxa"/>
            <w:tcBorders/>
            <w:shd w:fill="CCEEFF" w:val="clear"/>
            <w:vAlign w:val="bottom"/>
          </w:tcPr>
          <w:p>
            <w:pPr>
              <w:pStyle w:val="TableContents"/>
              <w:spacing w:before="0" w:after="283"/>
              <w:jc w:val="right"/>
              <w:rPr/>
            </w:pPr>
            <w:r>
              <w:rPr/>
              <w:t>(321</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1,690</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Equity in net income of unconsolidated affiliates</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right"/>
              <w:rPr/>
            </w:pPr>
            <w:r>
              <w:rPr/>
              <w:t>(8,945</w:t>
            </w:r>
          </w:p>
        </w:tc>
        <w:tc>
          <w:tcPr>
            <w:tcW w:w="118"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947" w:type="dxa"/>
            <w:tcBorders/>
            <w:shd w:fill="auto" w:val="clear"/>
            <w:vAlign w:val="bottom"/>
          </w:tcPr>
          <w:p>
            <w:pPr>
              <w:pStyle w:val="TableContents"/>
              <w:spacing w:before="0" w:after="283"/>
              <w:jc w:val="right"/>
              <w:rPr/>
            </w:pPr>
            <w:r>
              <w:rPr/>
              <w:t>(7,292</w:t>
            </w:r>
          </w:p>
        </w:tc>
        <w:tc>
          <w:tcPr>
            <w:tcW w:w="118"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82" w:type="dxa"/>
            <w:tcBorders/>
            <w:shd w:fill="auto" w:val="clear"/>
            <w:vAlign w:val="bottom"/>
          </w:tcPr>
          <w:p>
            <w:pPr>
              <w:pStyle w:val="TableContents"/>
              <w:spacing w:before="0" w:after="283"/>
              <w:jc w:val="right"/>
              <w:rPr/>
            </w:pPr>
            <w:r>
              <w:rPr/>
              <w:t>(16,237</w:t>
            </w:r>
          </w:p>
        </w:tc>
        <w:tc>
          <w:tcPr>
            <w:tcW w:w="129" w:type="dxa"/>
            <w:tcBorders/>
            <w:shd w:fill="auto" w:val="clear"/>
            <w:vAlign w:val="bottom"/>
          </w:tcPr>
          <w:p>
            <w:pPr>
              <w:pStyle w:val="TableContents"/>
              <w:spacing w:before="0" w:after="283"/>
              <w:rPr/>
            </w:pPr>
            <w:r>
              <w:rPr/>
              <w:t>)</w:t>
            </w:r>
          </w:p>
        </w:tc>
      </w:tr>
      <w:tr>
        <w:trPr/>
        <w:tc>
          <w:tcPr>
            <w:tcW w:w="2624" w:type="dxa"/>
            <w:tcBorders/>
            <w:shd w:fill="CCEEFF" w:val="clear"/>
            <w:vAlign w:val="bottom"/>
          </w:tcPr>
          <w:p>
            <w:pPr>
              <w:pStyle w:val="TableContents"/>
              <w:spacing w:before="0" w:after="0"/>
              <w:ind w:left="225" w:right="0" w:hanging="225"/>
              <w:rPr/>
            </w:pPr>
            <w:r>
              <w:rPr/>
              <w:t>Other</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947" w:type="dxa"/>
            <w:tcBorders/>
            <w:shd w:fill="CCEEFF" w:val="clear"/>
            <w:vAlign w:val="bottom"/>
          </w:tcPr>
          <w:p>
            <w:pPr>
              <w:pStyle w:val="TableContents"/>
              <w:spacing w:before="0" w:after="283"/>
              <w:jc w:val="right"/>
              <w:rPr/>
            </w:pPr>
            <w:r>
              <w:rPr/>
              <w:t>(168</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4</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pPr>
            <w:r>
              <w:rPr/>
              <w:t>(164</w:t>
            </w:r>
          </w:p>
        </w:tc>
        <w:tc>
          <w:tcPr>
            <w:tcW w:w="129" w:type="dxa"/>
            <w:tcBorders/>
            <w:shd w:fill="CCEEFF" w:val="clear"/>
            <w:vAlign w:val="bottom"/>
          </w:tcPr>
          <w:p>
            <w:pPr>
              <w:pStyle w:val="TableContents"/>
              <w:spacing w:before="0" w:after="283"/>
              <w:rPr/>
            </w:pPr>
            <w:r>
              <w:rPr/>
              <w:t>)</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Income before income taxes</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83,846</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171,946</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988" w:type="dxa"/>
            <w:tcBorders/>
            <w:shd w:fill="auto" w:val="clear"/>
            <w:vAlign w:val="bottom"/>
          </w:tcPr>
          <w:p>
            <w:pPr>
              <w:pStyle w:val="TableContents"/>
              <w:spacing w:before="0" w:after="283"/>
              <w:jc w:val="right"/>
              <w:rPr/>
            </w:pPr>
            <w:r>
              <w:rPr/>
              <w:t>(631</w:t>
            </w:r>
          </w:p>
        </w:tc>
        <w:tc>
          <w:tcPr>
            <w:tcW w:w="117"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283"/>
              <w:jc w:val="right"/>
              <w:rPr/>
            </w:pPr>
            <w:r>
              <w:rPr/>
              <w:t>(66,450</w:t>
            </w:r>
          </w:p>
        </w:tc>
        <w:tc>
          <w:tcPr>
            <w:tcW w:w="118"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188,711</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225" w:right="0" w:hanging="225"/>
              <w:rPr/>
            </w:pPr>
            <w:r>
              <w:rPr/>
              <w:t>Income tax expense</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65,315</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66,482</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1,205</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3" w:type="dxa"/>
            <w:tcBorders/>
            <w:shd w:fill="CCEEFF" w:val="clear"/>
            <w:vAlign w:val="bottom"/>
          </w:tcPr>
          <w:p>
            <w:pPr>
              <w:pStyle w:val="TableContents"/>
              <w:spacing w:before="0" w:after="283"/>
              <w:jc w:val="right"/>
              <w:rPr/>
            </w:pPr>
            <w:r>
              <w:rPr/>
              <w:t>(66,450</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66,552</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Net income</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758" w:type="dxa"/>
            <w:tcBorders/>
            <w:shd w:fill="auto" w:val="clear"/>
            <w:vAlign w:val="bottom"/>
          </w:tcPr>
          <w:p>
            <w:pPr>
              <w:pStyle w:val="TableContents"/>
              <w:spacing w:before="0" w:after="283"/>
              <w:jc w:val="right"/>
              <w:rPr/>
            </w:pPr>
            <w:r>
              <w:rPr/>
              <w:t>18,531</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105,464</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88" w:type="dxa"/>
            <w:tcBorders/>
            <w:shd w:fill="auto" w:val="clear"/>
            <w:vAlign w:val="bottom"/>
          </w:tcPr>
          <w:p>
            <w:pPr>
              <w:pStyle w:val="TableContents"/>
              <w:spacing w:before="0" w:after="283"/>
              <w:jc w:val="right"/>
              <w:rPr/>
            </w:pPr>
            <w:r>
              <w:rPr/>
              <w:t>(1,836</w:t>
            </w:r>
          </w:p>
        </w:tc>
        <w:tc>
          <w:tcPr>
            <w:tcW w:w="117"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82" w:type="dxa"/>
            <w:tcBorders/>
            <w:shd w:fill="auto" w:val="clear"/>
            <w:vAlign w:val="bottom"/>
          </w:tcPr>
          <w:p>
            <w:pPr>
              <w:pStyle w:val="TableContents"/>
              <w:spacing w:before="0" w:after="283"/>
              <w:jc w:val="right"/>
              <w:rPr/>
            </w:pPr>
            <w:r>
              <w:rPr/>
              <w:t>122,159</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36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624"/>
        <w:gridCol w:w="252"/>
        <w:gridCol w:w="154"/>
        <w:gridCol w:w="758"/>
        <w:gridCol w:w="118"/>
        <w:gridCol w:w="252"/>
        <w:gridCol w:w="169"/>
        <w:gridCol w:w="947"/>
        <w:gridCol w:w="118"/>
        <w:gridCol w:w="252"/>
        <w:gridCol w:w="202"/>
        <w:gridCol w:w="988"/>
        <w:gridCol w:w="117"/>
        <w:gridCol w:w="252"/>
        <w:gridCol w:w="194"/>
        <w:gridCol w:w="1033"/>
        <w:gridCol w:w="118"/>
        <w:gridCol w:w="252"/>
        <w:gridCol w:w="194"/>
        <w:gridCol w:w="1082"/>
        <w:gridCol w:w="129"/>
      </w:tblGrid>
      <w:tr>
        <w:trPr/>
        <w:tc>
          <w:tcPr>
            <w:tcW w:w="262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7200" w:type="dxa"/>
            <w:gridSpan w:val="18"/>
            <w:tcBorders>
              <w:bottom w:val="single" w:sz="2" w:space="0" w:color="000000"/>
            </w:tcBorders>
            <w:shd w:fill="auto" w:val="clear"/>
            <w:tcMar>
              <w:bottom w:w="28" w:type="dxa"/>
            </w:tcMar>
            <w:vAlign w:val="bottom"/>
          </w:tcPr>
          <w:p>
            <w:pPr>
              <w:pStyle w:val="TableContents"/>
              <w:spacing w:before="0" w:after="283"/>
              <w:jc w:val="center"/>
              <w:rPr/>
            </w:pPr>
            <w:r>
              <w:rPr/>
              <w:t>Year Ended September 30, 2010</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7200" w:type="dxa"/>
            <w:gridSpan w:val="18"/>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16" w:type="dxa"/>
            <w:gridSpan w:val="2"/>
            <w:tcBorders>
              <w:bottom w:val="single" w:sz="2" w:space="0" w:color="000000"/>
            </w:tcBorders>
            <w:shd w:fill="auto" w:val="clear"/>
            <w:tcMar>
              <w:bottom w:w="28" w:type="dxa"/>
            </w:tcMar>
            <w:vAlign w:val="bottom"/>
          </w:tcPr>
          <w:p>
            <w:pPr>
              <w:pStyle w:val="TableContents"/>
              <w:spacing w:before="0" w:after="283"/>
              <w:jc w:val="center"/>
              <w:rPr/>
            </w:pPr>
            <w:r>
              <w:rPr/>
              <w:t>Subsidiary</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90" w:type="dxa"/>
            <w:gridSpan w:val="2"/>
            <w:tcBorders>
              <w:bottom w:val="single" w:sz="2" w:space="0" w:color="000000"/>
            </w:tcBorders>
            <w:shd w:fill="auto" w:val="clear"/>
            <w:tcMar>
              <w:bottom w:w="28" w:type="dxa"/>
            </w:tcMar>
            <w:vAlign w:val="bottom"/>
          </w:tcPr>
          <w:p>
            <w:pPr>
              <w:pStyle w:val="TableContents"/>
              <w:spacing w:before="0" w:after="283"/>
              <w:jc w:val="center"/>
              <w:rPr/>
            </w:pPr>
            <w:r>
              <w:rPr/>
              <w:t>Other</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27" w:type="dxa"/>
            <w:gridSpan w:val="2"/>
            <w:tcBorders/>
            <w:shd w:fill="auto" w:val="clear"/>
            <w:vAlign w:val="bottom"/>
          </w:tcPr>
          <w:p>
            <w:pPr>
              <w:pStyle w:val="TableContents"/>
              <w:spacing w:before="0" w:after="283"/>
              <w:jc w:val="center"/>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76" w:type="dxa"/>
            <w:gridSpan w:val="2"/>
            <w:tcBorders/>
            <w:shd w:fill="auto" w:val="clear"/>
            <w:vAlign w:val="bottom"/>
          </w:tcPr>
          <w:p>
            <w:pPr>
              <w:pStyle w:val="TableContents"/>
              <w:spacing w:before="0" w:after="283"/>
              <w:jc w:val="center"/>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912" w:type="dxa"/>
            <w:gridSpan w:val="2"/>
            <w:tcBorders>
              <w:bottom w:val="single" w:sz="2" w:space="0" w:color="000000"/>
            </w:tcBorders>
            <w:shd w:fill="auto" w:val="clear"/>
            <w:tcMar>
              <w:bottom w:w="28" w:type="dxa"/>
            </w:tcMar>
            <w:vAlign w:val="bottom"/>
          </w:tcPr>
          <w:p>
            <w:pPr>
              <w:pStyle w:val="TableContents"/>
              <w:spacing w:before="0" w:after="283"/>
              <w:jc w:val="center"/>
              <w:rPr/>
            </w:pPr>
            <w:r>
              <w:rPr/>
              <w:t>Parent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16" w:type="dxa"/>
            <w:gridSpan w:val="2"/>
            <w:tcBorders>
              <w:bottom w:val="single" w:sz="2" w:space="0" w:color="000000"/>
            </w:tcBorders>
            <w:shd w:fill="auto" w:val="clear"/>
            <w:tcMar>
              <w:bottom w:w="28" w:type="dxa"/>
            </w:tcMar>
            <w:vAlign w:val="bottom"/>
          </w:tcPr>
          <w:p>
            <w:pPr>
              <w:pStyle w:val="TableContents"/>
              <w:spacing w:before="0" w:after="283"/>
              <w:jc w:val="center"/>
              <w:rPr/>
            </w:pPr>
            <w:r>
              <w:rPr/>
              <w:t>Guarantors</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90" w:type="dxa"/>
            <w:gridSpan w:val="2"/>
            <w:tcBorders>
              <w:bottom w:val="single" w:sz="2" w:space="0" w:color="000000"/>
            </w:tcBorders>
            <w:shd w:fill="auto" w:val="clear"/>
            <w:tcMar>
              <w:bottom w:w="28" w:type="dxa"/>
            </w:tcMar>
            <w:vAlign w:val="bottom"/>
          </w:tcPr>
          <w:p>
            <w:pPr>
              <w:pStyle w:val="TableContents"/>
              <w:spacing w:before="0" w:after="283"/>
              <w:jc w:val="center"/>
              <w:rPr/>
            </w:pPr>
            <w:r>
              <w:rPr/>
              <w:t>Subsidiaries</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27" w:type="dxa"/>
            <w:gridSpan w:val="2"/>
            <w:tcBorders>
              <w:bottom w:val="single" w:sz="2" w:space="0" w:color="000000"/>
            </w:tcBorders>
            <w:shd w:fill="auto" w:val="clear"/>
            <w:tcMar>
              <w:bottom w:w="28" w:type="dxa"/>
            </w:tcMar>
            <w:vAlign w:val="bottom"/>
          </w:tcPr>
          <w:p>
            <w:pPr>
              <w:pStyle w:val="TableContents"/>
              <w:spacing w:before="0" w:after="283"/>
              <w:jc w:val="center"/>
              <w:rPr/>
            </w:pPr>
            <w:r>
              <w:rPr/>
              <w:t>Eliminations</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76"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225" w:right="0" w:hanging="225"/>
              <w:rPr/>
            </w:pPr>
            <w:r>
              <w:rPr/>
              <w:t>Revenues: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450" w:right="0" w:hanging="225"/>
              <w:rPr/>
            </w:pPr>
            <w:r>
              <w:rPr/>
              <w:t>Sales</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390,243</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88" w:type="dxa"/>
            <w:tcBorders/>
            <w:shd w:fill="auto" w:val="clear"/>
            <w:vAlign w:val="bottom"/>
          </w:tcPr>
          <w:p>
            <w:pPr>
              <w:pStyle w:val="TableContents"/>
              <w:spacing w:before="0" w:after="283"/>
              <w:jc w:val="right"/>
              <w:rPr/>
            </w:pPr>
            <w:r>
              <w:rPr/>
              <w:t>21,622</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82" w:type="dxa"/>
            <w:tcBorders/>
            <w:shd w:fill="auto" w:val="clear"/>
            <w:vAlign w:val="bottom"/>
          </w:tcPr>
          <w:p>
            <w:pPr>
              <w:pStyle w:val="TableContents"/>
              <w:spacing w:before="0" w:after="283"/>
              <w:jc w:val="right"/>
              <w:rPr/>
            </w:pPr>
            <w:r>
              <w:rPr/>
              <w:t>411,865</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450" w:right="0" w:hanging="225"/>
              <w:rPr/>
            </w:pPr>
            <w:r>
              <w:rPr/>
              <w:t>Pawn service charges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154,505</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9,190</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163,695</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450" w:right="0" w:hanging="225"/>
              <w:rPr/>
            </w:pPr>
            <w:r>
              <w:rPr/>
              <w:t>Signature loan fees</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137,444</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1,871</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139,315</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450" w:right="0" w:hanging="225"/>
              <w:rPr/>
            </w:pPr>
            <w:r>
              <w:rPr/>
              <w:t>Auto title loan fees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17,707</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17,707</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450" w:right="0" w:hanging="225"/>
              <w:rPr/>
            </w:pPr>
            <w:r>
              <w:rPr/>
              <w:t>Other</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53,990</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455</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8</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283"/>
              <w:jc w:val="right"/>
              <w:rPr/>
            </w:pPr>
            <w:r>
              <w:rPr/>
              <w:t>(53,990</w:t>
            </w:r>
          </w:p>
        </w:tc>
        <w:tc>
          <w:tcPr>
            <w:tcW w:w="118"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463</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675" w:right="0" w:hanging="225"/>
              <w:rPr/>
            </w:pPr>
            <w:r>
              <w:rPr/>
              <w:t>Total revenues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53,990</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700,354</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32,691</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3" w:type="dxa"/>
            <w:tcBorders/>
            <w:shd w:fill="CCEEFF" w:val="clear"/>
            <w:vAlign w:val="bottom"/>
          </w:tcPr>
          <w:p>
            <w:pPr>
              <w:pStyle w:val="TableContents"/>
              <w:spacing w:before="0" w:after="283"/>
              <w:jc w:val="right"/>
              <w:rPr/>
            </w:pPr>
            <w:r>
              <w:rPr/>
              <w:t>(53,990</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733,045</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 </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Cost of goods sold</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236,426</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14,696</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251,122</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225" w:right="0" w:hanging="225"/>
              <w:rPr/>
            </w:pPr>
            <w:r>
              <w:rPr/>
              <w:t>Signature loan bad debt</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30,558</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1,151</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31,709</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Auto title loan bad debt</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2,735</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2,735</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675" w:right="0" w:hanging="225"/>
              <w:rPr/>
            </w:pPr>
            <w:r>
              <w:rPr/>
              <w:t>Net revenues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53,990</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430,635</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16,844</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3" w:type="dxa"/>
            <w:tcBorders/>
            <w:shd w:fill="CCEEFF" w:val="clear"/>
            <w:vAlign w:val="bottom"/>
          </w:tcPr>
          <w:p>
            <w:pPr>
              <w:pStyle w:val="TableContents"/>
              <w:spacing w:before="0" w:after="283"/>
              <w:jc w:val="right"/>
              <w:rPr/>
            </w:pPr>
            <w:r>
              <w:rPr/>
              <w:t>(53,990</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447,479</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 </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Operating expenses:</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450" w:right="0" w:hanging="225"/>
              <w:rPr/>
            </w:pPr>
            <w:r>
              <w:rPr/>
              <w:t>Operations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221,017</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15,647</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236,664</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450" w:right="0" w:hanging="225"/>
              <w:rPr/>
            </w:pPr>
            <w:r>
              <w:rPr/>
              <w:t>Administrative</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50,170</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2,570</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52,740</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450" w:right="0" w:hanging="225"/>
              <w:rPr/>
            </w:pPr>
            <w:r>
              <w:rPr/>
              <w:t>Depreciation</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12,344</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1,686</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14,030</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450" w:right="0" w:hanging="225"/>
              <w:rPr/>
            </w:pPr>
            <w:r>
              <w:rPr/>
              <w:t>Amortization</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270</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361</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631</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450" w:right="0" w:hanging="225"/>
              <w:rPr/>
            </w:pPr>
            <w:r>
              <w:rPr/>
              <w:t>(Gain) loss on sale or disposal of assets</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1,470</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58</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1,528</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24" w:type="dxa"/>
            <w:tcBorders/>
            <w:shd w:fill="auto" w:val="clear"/>
            <w:vAlign w:val="bottom"/>
          </w:tcPr>
          <w:p>
            <w:pPr>
              <w:pStyle w:val="TableContents"/>
              <w:spacing w:before="0" w:after="0"/>
              <w:ind w:left="675" w:right="0" w:hanging="225"/>
              <w:rPr/>
            </w:pPr>
            <w:r>
              <w:rPr/>
              <w:t>Total operating expenses</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285,271</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20,322</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305,593</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 </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225" w:right="0" w:hanging="225"/>
              <w:rPr/>
            </w:pPr>
            <w:r>
              <w:rPr/>
              <w:t>Operating income</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53,990</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145,364</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88" w:type="dxa"/>
            <w:tcBorders/>
            <w:shd w:fill="CCEEFF" w:val="clear"/>
            <w:vAlign w:val="bottom"/>
          </w:tcPr>
          <w:p>
            <w:pPr>
              <w:pStyle w:val="TableContents"/>
              <w:spacing w:before="0" w:after="283"/>
              <w:jc w:val="right"/>
              <w:rPr/>
            </w:pPr>
            <w:r>
              <w:rPr/>
              <w:t>(3,478</w:t>
            </w:r>
          </w:p>
        </w:tc>
        <w:tc>
          <w:tcPr>
            <w:tcW w:w="117"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3" w:type="dxa"/>
            <w:tcBorders/>
            <w:shd w:fill="CCEEFF" w:val="clear"/>
            <w:vAlign w:val="bottom"/>
          </w:tcPr>
          <w:p>
            <w:pPr>
              <w:pStyle w:val="TableContents"/>
              <w:spacing w:before="0" w:after="283"/>
              <w:jc w:val="right"/>
              <w:rPr/>
            </w:pPr>
            <w:r>
              <w:rPr/>
              <w:t>(53,990</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141,886</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 </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Interest income</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right"/>
              <w:rPr/>
            </w:pPr>
            <w:r>
              <w:rPr/>
              <w:t>(148</w:t>
            </w:r>
          </w:p>
        </w:tc>
        <w:tc>
          <w:tcPr>
            <w:tcW w:w="118"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947" w:type="dxa"/>
            <w:tcBorders/>
            <w:shd w:fill="auto" w:val="clear"/>
            <w:vAlign w:val="bottom"/>
          </w:tcPr>
          <w:p>
            <w:pPr>
              <w:pStyle w:val="TableContents"/>
              <w:spacing w:before="0" w:after="283"/>
              <w:jc w:val="right"/>
              <w:rPr/>
            </w:pPr>
            <w:r>
              <w:rPr/>
              <w:t>(267</w:t>
            </w:r>
          </w:p>
        </w:tc>
        <w:tc>
          <w:tcPr>
            <w:tcW w:w="118"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988" w:type="dxa"/>
            <w:tcBorders/>
            <w:shd w:fill="auto" w:val="clear"/>
            <w:vAlign w:val="bottom"/>
          </w:tcPr>
          <w:p>
            <w:pPr>
              <w:pStyle w:val="TableContents"/>
              <w:spacing w:before="0" w:after="283"/>
              <w:jc w:val="right"/>
              <w:rPr/>
            </w:pPr>
            <w:r>
              <w:rPr/>
              <w:t>(3</w:t>
            </w:r>
          </w:p>
        </w:tc>
        <w:tc>
          <w:tcPr>
            <w:tcW w:w="117"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232</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82" w:type="dxa"/>
            <w:tcBorders/>
            <w:shd w:fill="auto" w:val="clear"/>
            <w:vAlign w:val="bottom"/>
          </w:tcPr>
          <w:p>
            <w:pPr>
              <w:pStyle w:val="TableContents"/>
              <w:spacing w:before="0" w:after="283"/>
              <w:jc w:val="right"/>
              <w:rPr/>
            </w:pPr>
            <w:r>
              <w:rPr/>
              <w:t>(186</w:t>
            </w:r>
          </w:p>
        </w:tc>
        <w:tc>
          <w:tcPr>
            <w:tcW w:w="129" w:type="dxa"/>
            <w:tcBorders/>
            <w:shd w:fill="auto" w:val="clear"/>
            <w:vAlign w:val="bottom"/>
          </w:tcPr>
          <w:p>
            <w:pPr>
              <w:pStyle w:val="TableContents"/>
              <w:spacing w:before="0" w:after="283"/>
              <w:rPr/>
            </w:pPr>
            <w:r>
              <w:rPr/>
              <w:t>)</w:t>
            </w:r>
          </w:p>
        </w:tc>
      </w:tr>
      <w:tr>
        <w:trPr/>
        <w:tc>
          <w:tcPr>
            <w:tcW w:w="2624" w:type="dxa"/>
            <w:tcBorders/>
            <w:shd w:fill="CCEEFF" w:val="clear"/>
            <w:vAlign w:val="bottom"/>
          </w:tcPr>
          <w:p>
            <w:pPr>
              <w:pStyle w:val="TableContents"/>
              <w:spacing w:before="0" w:after="0"/>
              <w:ind w:left="225" w:right="0" w:hanging="225"/>
              <w:rPr/>
            </w:pPr>
            <w:r>
              <w:rPr/>
              <w:t>Interest expense</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283"/>
              <w:jc w:val="right"/>
              <w:rPr/>
            </w:pPr>
            <w:r>
              <w:rPr/>
              <w:t>(9,028</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10,408</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237</w:t>
            </w:r>
          </w:p>
        </w:tc>
        <w:tc>
          <w:tcPr>
            <w:tcW w:w="11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3" w:type="dxa"/>
            <w:tcBorders/>
            <w:shd w:fill="CCEEFF" w:val="clear"/>
            <w:vAlign w:val="bottom"/>
          </w:tcPr>
          <w:p>
            <w:pPr>
              <w:pStyle w:val="TableContents"/>
              <w:spacing w:before="0" w:after="283"/>
              <w:jc w:val="right"/>
              <w:rPr/>
            </w:pPr>
            <w:r>
              <w:rPr/>
              <w:t>(232</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1,385</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Equity in net income of unconsolidated affiliates</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right"/>
              <w:rPr/>
            </w:pPr>
            <w:r>
              <w:rPr/>
              <w:t>(3,928</w:t>
            </w:r>
          </w:p>
        </w:tc>
        <w:tc>
          <w:tcPr>
            <w:tcW w:w="118"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947" w:type="dxa"/>
            <w:tcBorders/>
            <w:shd w:fill="auto" w:val="clear"/>
            <w:vAlign w:val="bottom"/>
          </w:tcPr>
          <w:p>
            <w:pPr>
              <w:pStyle w:val="TableContents"/>
              <w:spacing w:before="0" w:after="283"/>
              <w:jc w:val="right"/>
              <w:rPr/>
            </w:pPr>
            <w:r>
              <w:rPr/>
              <w:t>(6,822</w:t>
            </w:r>
          </w:p>
        </w:tc>
        <w:tc>
          <w:tcPr>
            <w:tcW w:w="118"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82" w:type="dxa"/>
            <w:tcBorders/>
            <w:shd w:fill="auto" w:val="clear"/>
            <w:vAlign w:val="bottom"/>
          </w:tcPr>
          <w:p>
            <w:pPr>
              <w:pStyle w:val="TableContents"/>
              <w:spacing w:before="0" w:after="283"/>
              <w:jc w:val="right"/>
              <w:rPr/>
            </w:pPr>
            <w:r>
              <w:rPr/>
              <w:t>(10,750</w:t>
            </w:r>
          </w:p>
        </w:tc>
        <w:tc>
          <w:tcPr>
            <w:tcW w:w="129" w:type="dxa"/>
            <w:tcBorders/>
            <w:shd w:fill="auto" w:val="clear"/>
            <w:vAlign w:val="bottom"/>
          </w:tcPr>
          <w:p>
            <w:pPr>
              <w:pStyle w:val="TableContents"/>
              <w:spacing w:before="0" w:after="283"/>
              <w:rPr/>
            </w:pPr>
            <w:r>
              <w:rPr/>
              <w:t>)</w:t>
            </w:r>
          </w:p>
        </w:tc>
      </w:tr>
      <w:tr>
        <w:trPr/>
        <w:tc>
          <w:tcPr>
            <w:tcW w:w="2624" w:type="dxa"/>
            <w:tcBorders/>
            <w:shd w:fill="CCEEFF" w:val="clear"/>
            <w:vAlign w:val="bottom"/>
          </w:tcPr>
          <w:p>
            <w:pPr>
              <w:pStyle w:val="TableContents"/>
              <w:spacing w:before="0" w:after="0"/>
              <w:ind w:left="225" w:right="0" w:hanging="225"/>
              <w:rPr/>
            </w:pPr>
            <w:r>
              <w:rPr/>
              <w:t>Other</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947" w:type="dxa"/>
            <w:tcBorders/>
            <w:shd w:fill="CCEEFF" w:val="clear"/>
            <w:vAlign w:val="bottom"/>
          </w:tcPr>
          <w:p>
            <w:pPr>
              <w:pStyle w:val="TableContents"/>
              <w:spacing w:before="0" w:after="283"/>
              <w:jc w:val="right"/>
              <w:rPr/>
            </w:pPr>
            <w:r>
              <w:rPr/>
              <w:t>(92</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88" w:type="dxa"/>
            <w:tcBorders/>
            <w:shd w:fill="CCEEFF" w:val="clear"/>
            <w:vAlign w:val="bottom"/>
          </w:tcPr>
          <w:p>
            <w:pPr>
              <w:pStyle w:val="TableContents"/>
              <w:spacing w:before="0" w:after="283"/>
              <w:jc w:val="right"/>
              <w:rPr/>
            </w:pPr>
            <w:r>
              <w:rPr/>
              <w:t>(1</w:t>
            </w:r>
          </w:p>
        </w:tc>
        <w:tc>
          <w:tcPr>
            <w:tcW w:w="117"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pPr>
            <w:r>
              <w:rPr/>
              <w:t>(93</w:t>
            </w:r>
          </w:p>
        </w:tc>
        <w:tc>
          <w:tcPr>
            <w:tcW w:w="129" w:type="dxa"/>
            <w:tcBorders/>
            <w:shd w:fill="CCEEFF" w:val="clear"/>
            <w:vAlign w:val="bottom"/>
          </w:tcPr>
          <w:p>
            <w:pPr>
              <w:pStyle w:val="TableContents"/>
              <w:spacing w:before="0" w:after="283"/>
              <w:rPr/>
            </w:pPr>
            <w:r>
              <w:rPr/>
              <w:t>)</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Income before income taxes</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67,094</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142,137</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988" w:type="dxa"/>
            <w:tcBorders/>
            <w:shd w:fill="auto" w:val="clear"/>
            <w:vAlign w:val="bottom"/>
          </w:tcPr>
          <w:p>
            <w:pPr>
              <w:pStyle w:val="TableContents"/>
              <w:spacing w:before="0" w:after="283"/>
              <w:jc w:val="right"/>
              <w:rPr/>
            </w:pPr>
            <w:r>
              <w:rPr/>
              <w:t>(3,711</w:t>
            </w:r>
          </w:p>
        </w:tc>
        <w:tc>
          <w:tcPr>
            <w:tcW w:w="117"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283"/>
              <w:jc w:val="right"/>
              <w:rPr/>
            </w:pPr>
            <w:r>
              <w:rPr/>
              <w:t>(53,990</w:t>
            </w:r>
          </w:p>
        </w:tc>
        <w:tc>
          <w:tcPr>
            <w:tcW w:w="118"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151,530</w:t>
            </w:r>
          </w:p>
        </w:tc>
        <w:tc>
          <w:tcPr>
            <w:tcW w:w="129" w:type="dxa"/>
            <w:tcBorders/>
            <w:shd w:fill="auto" w:val="clear"/>
            <w:vAlign w:val="bottom"/>
          </w:tcPr>
          <w:p>
            <w:pPr>
              <w:pStyle w:val="TableContents"/>
              <w:spacing w:before="0" w:after="283"/>
              <w:rPr/>
            </w:pPr>
            <w:r>
              <w:rPr/>
              <w:t> </w:t>
            </w:r>
          </w:p>
        </w:tc>
      </w:tr>
      <w:tr>
        <w:trPr/>
        <w:tc>
          <w:tcPr>
            <w:tcW w:w="2624" w:type="dxa"/>
            <w:tcBorders/>
            <w:shd w:fill="CCEEFF" w:val="clear"/>
            <w:vAlign w:val="bottom"/>
          </w:tcPr>
          <w:p>
            <w:pPr>
              <w:pStyle w:val="TableContents"/>
              <w:spacing w:before="0" w:after="0"/>
              <w:ind w:left="225" w:right="0" w:hanging="225"/>
              <w:rPr/>
            </w:pPr>
            <w:r>
              <w:rPr/>
              <w:t>Income tax expense</w:t>
            </w:r>
          </w:p>
        </w:tc>
        <w:tc>
          <w:tcPr>
            <w:tcW w:w="2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54,226</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54,026</w:t>
            </w:r>
          </w:p>
        </w:tc>
        <w:tc>
          <w:tcPr>
            <w:tcW w:w="118"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88" w:type="dxa"/>
            <w:tcBorders/>
            <w:shd w:fill="CCEEFF" w:val="clear"/>
            <w:vAlign w:val="bottom"/>
          </w:tcPr>
          <w:p>
            <w:pPr>
              <w:pStyle w:val="TableContents"/>
              <w:spacing w:before="0" w:after="283"/>
              <w:jc w:val="right"/>
              <w:rPr/>
            </w:pPr>
            <w:r>
              <w:rPr/>
              <w:t>(26</w:t>
            </w:r>
          </w:p>
        </w:tc>
        <w:tc>
          <w:tcPr>
            <w:tcW w:w="117"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3" w:type="dxa"/>
            <w:tcBorders/>
            <w:shd w:fill="CCEEFF" w:val="clear"/>
            <w:vAlign w:val="bottom"/>
          </w:tcPr>
          <w:p>
            <w:pPr>
              <w:pStyle w:val="TableContents"/>
              <w:spacing w:before="0" w:after="283"/>
              <w:jc w:val="right"/>
              <w:rPr/>
            </w:pPr>
            <w:r>
              <w:rPr/>
              <w:t>(53,990</w:t>
            </w:r>
          </w:p>
        </w:tc>
        <w:tc>
          <w:tcPr>
            <w:tcW w:w="118" w:type="dxa"/>
            <w:tcBorders/>
            <w:shd w:fill="CCEEFF" w:val="clear"/>
            <w:vAlign w:val="bottom"/>
          </w:tcPr>
          <w:p>
            <w:pPr>
              <w:pStyle w:val="TableContents"/>
              <w:spacing w:before="0" w:after="283"/>
              <w:rPr/>
            </w:pPr>
            <w:r>
              <w:rPr/>
              <w:t>)</w:t>
            </w:r>
          </w:p>
        </w:tc>
        <w:tc>
          <w:tcPr>
            <w:tcW w:w="25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54,236</w:t>
            </w:r>
          </w:p>
        </w:tc>
        <w:tc>
          <w:tcPr>
            <w:tcW w:w="129" w:type="dxa"/>
            <w:tcBorders/>
            <w:shd w:fill="CCEEFF" w:val="clear"/>
            <w:vAlign w:val="bottom"/>
          </w:tcPr>
          <w:p>
            <w:pPr>
              <w:pStyle w:val="TableContents"/>
              <w:spacing w:before="0" w:after="283"/>
              <w:rPr/>
            </w:pPr>
            <w:r>
              <w:rPr/>
              <w:t> </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24" w:type="dxa"/>
            <w:tcBorders/>
            <w:shd w:fill="auto" w:val="clear"/>
            <w:vAlign w:val="bottom"/>
          </w:tcPr>
          <w:p>
            <w:pPr>
              <w:pStyle w:val="TableContents"/>
              <w:spacing w:before="0" w:after="0"/>
              <w:ind w:left="225" w:right="0" w:hanging="225"/>
              <w:rPr/>
            </w:pPr>
            <w:r>
              <w:rPr/>
              <w:t>Net income</w:t>
            </w:r>
          </w:p>
        </w:tc>
        <w:tc>
          <w:tcPr>
            <w:tcW w:w="2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758" w:type="dxa"/>
            <w:tcBorders/>
            <w:shd w:fill="auto" w:val="clear"/>
            <w:vAlign w:val="bottom"/>
          </w:tcPr>
          <w:p>
            <w:pPr>
              <w:pStyle w:val="TableContents"/>
              <w:spacing w:before="0" w:after="283"/>
              <w:jc w:val="right"/>
              <w:rPr/>
            </w:pPr>
            <w:r>
              <w:rPr/>
              <w:t>12,868</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88,111</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88" w:type="dxa"/>
            <w:tcBorders/>
            <w:shd w:fill="auto" w:val="clear"/>
            <w:vAlign w:val="bottom"/>
          </w:tcPr>
          <w:p>
            <w:pPr>
              <w:pStyle w:val="TableContents"/>
              <w:spacing w:before="0" w:after="283"/>
              <w:jc w:val="right"/>
              <w:rPr/>
            </w:pPr>
            <w:r>
              <w:rPr/>
              <w:t>(3,685</w:t>
            </w:r>
          </w:p>
        </w:tc>
        <w:tc>
          <w:tcPr>
            <w:tcW w:w="117"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33"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82" w:type="dxa"/>
            <w:tcBorders/>
            <w:shd w:fill="auto" w:val="clear"/>
            <w:vAlign w:val="bottom"/>
          </w:tcPr>
          <w:p>
            <w:pPr>
              <w:pStyle w:val="TableContents"/>
              <w:spacing w:before="0" w:after="283"/>
              <w:jc w:val="right"/>
              <w:rPr/>
            </w:pPr>
            <w:r>
              <w:rPr/>
              <w:t>97,294</w:t>
            </w:r>
          </w:p>
        </w:tc>
        <w:tc>
          <w:tcPr>
            <w:tcW w:w="129" w:type="dxa"/>
            <w:tcBorders/>
            <w:shd w:fill="auto" w:val="clear"/>
            <w:vAlign w:val="bottom"/>
          </w:tcPr>
          <w:p>
            <w:pPr>
              <w:pStyle w:val="TableContents"/>
              <w:spacing w:before="0" w:after="283"/>
              <w:rPr/>
            </w:pPr>
            <w:r>
              <w:rPr/>
              <w:t> </w:t>
            </w:r>
          </w:p>
        </w:tc>
      </w:tr>
      <w:tr>
        <w:trPr/>
        <w:tc>
          <w:tcPr>
            <w:tcW w:w="2624" w:type="dxa"/>
            <w:tcBorders/>
            <w:shd w:fill="auto" w:val="clear"/>
            <w:vAlign w:val="center"/>
          </w:tcPr>
          <w:p>
            <w:pPr>
              <w:pStyle w:val="TableContents"/>
              <w:spacing w:before="0" w:after="0"/>
              <w:ind w:left="225" w:right="0" w:hanging="225"/>
              <w:rPr/>
            </w:pPr>
            <w:r>
              <w:rPr/>
              <w:t> </w:t>
            </w:r>
          </w:p>
        </w:tc>
        <w:tc>
          <w:tcPr>
            <w:tcW w:w="252" w:type="dxa"/>
            <w:tcBorders/>
            <w:shd w:fill="auto" w:val="clear"/>
            <w:vAlign w:val="center"/>
          </w:tcPr>
          <w:p>
            <w:pPr>
              <w:pStyle w:val="TableContents"/>
              <w:spacing w:before="0" w:after="283"/>
              <w:rPr/>
            </w:pPr>
            <w:r>
              <w:rPr/>
              <w:t> </w:t>
            </w:r>
          </w:p>
        </w:tc>
        <w:tc>
          <w:tcPr>
            <w:tcW w:w="9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37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641"/>
        <w:gridCol w:w="255"/>
        <w:gridCol w:w="155"/>
        <w:gridCol w:w="758"/>
        <w:gridCol w:w="118"/>
        <w:gridCol w:w="255"/>
        <w:gridCol w:w="169"/>
        <w:gridCol w:w="947"/>
        <w:gridCol w:w="118"/>
        <w:gridCol w:w="255"/>
        <w:gridCol w:w="202"/>
        <w:gridCol w:w="987"/>
        <w:gridCol w:w="89"/>
        <w:gridCol w:w="255"/>
        <w:gridCol w:w="194"/>
        <w:gridCol w:w="1032"/>
        <w:gridCol w:w="118"/>
        <w:gridCol w:w="255"/>
        <w:gridCol w:w="194"/>
        <w:gridCol w:w="1081"/>
        <w:gridCol w:w="127"/>
      </w:tblGrid>
      <w:tr>
        <w:trPr/>
        <w:tc>
          <w:tcPr>
            <w:tcW w:w="264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7182" w:type="dxa"/>
            <w:gridSpan w:val="18"/>
            <w:tcBorders>
              <w:bottom w:val="single" w:sz="2" w:space="0" w:color="000000"/>
            </w:tcBorders>
            <w:shd w:fill="auto" w:val="clear"/>
            <w:tcMar>
              <w:bottom w:w="28" w:type="dxa"/>
            </w:tcMar>
            <w:vAlign w:val="bottom"/>
          </w:tcPr>
          <w:p>
            <w:pPr>
              <w:pStyle w:val="TableContents"/>
              <w:spacing w:before="0" w:after="283"/>
              <w:jc w:val="center"/>
              <w:rPr/>
            </w:pPr>
            <w:r>
              <w:rPr/>
              <w:t>Year Ended September 30, 2009</w:t>
            </w:r>
          </w:p>
        </w:tc>
        <w:tc>
          <w:tcPr>
            <w:tcW w:w="127" w:type="dxa"/>
            <w:tcBorders/>
            <w:shd w:fill="auto"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7182" w:type="dxa"/>
            <w:gridSpan w:val="18"/>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27" w:type="dxa"/>
            <w:tcBorders/>
            <w:shd w:fill="auto"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116" w:type="dxa"/>
            <w:gridSpan w:val="2"/>
            <w:tcBorders>
              <w:bottom w:val="single" w:sz="2" w:space="0" w:color="000000"/>
            </w:tcBorders>
            <w:shd w:fill="auto" w:val="clear"/>
            <w:tcMar>
              <w:bottom w:w="28" w:type="dxa"/>
            </w:tcMar>
            <w:vAlign w:val="bottom"/>
          </w:tcPr>
          <w:p>
            <w:pPr>
              <w:pStyle w:val="TableContents"/>
              <w:spacing w:before="0" w:after="283"/>
              <w:jc w:val="center"/>
              <w:rPr/>
            </w:pPr>
            <w:r>
              <w:rPr/>
              <w:t>Subsidiary</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189" w:type="dxa"/>
            <w:gridSpan w:val="2"/>
            <w:tcBorders>
              <w:bottom w:val="single" w:sz="2" w:space="0" w:color="000000"/>
            </w:tcBorders>
            <w:shd w:fill="auto" w:val="clear"/>
            <w:tcMar>
              <w:bottom w:w="28" w:type="dxa"/>
            </w:tcMar>
            <w:vAlign w:val="bottom"/>
          </w:tcPr>
          <w:p>
            <w:pPr>
              <w:pStyle w:val="TableContents"/>
              <w:spacing w:before="0" w:after="283"/>
              <w:jc w:val="center"/>
              <w:rPr/>
            </w:pPr>
            <w:r>
              <w:rPr/>
              <w:t>Other</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283"/>
              <w:jc w:val="center"/>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75" w:type="dxa"/>
            <w:gridSpan w:val="2"/>
            <w:tcBorders/>
            <w:shd w:fill="auto" w:val="clear"/>
            <w:vAlign w:val="bottom"/>
          </w:tcPr>
          <w:p>
            <w:pPr>
              <w:pStyle w:val="TableContents"/>
              <w:spacing w:before="0" w:after="283"/>
              <w:jc w:val="center"/>
              <w:rPr/>
            </w:pPr>
            <w:r>
              <w:rPr/>
              <w:t> </w:t>
            </w:r>
          </w:p>
        </w:tc>
        <w:tc>
          <w:tcPr>
            <w:tcW w:w="127" w:type="dxa"/>
            <w:tcBorders/>
            <w:shd w:fill="auto"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913" w:type="dxa"/>
            <w:gridSpan w:val="2"/>
            <w:tcBorders>
              <w:bottom w:val="single" w:sz="2" w:space="0" w:color="000000"/>
            </w:tcBorders>
            <w:shd w:fill="auto" w:val="clear"/>
            <w:tcMar>
              <w:bottom w:w="28" w:type="dxa"/>
            </w:tcMar>
            <w:vAlign w:val="bottom"/>
          </w:tcPr>
          <w:p>
            <w:pPr>
              <w:pStyle w:val="TableContents"/>
              <w:spacing w:before="0" w:after="283"/>
              <w:jc w:val="center"/>
              <w:rPr/>
            </w:pPr>
            <w:r>
              <w:rPr/>
              <w:t>Parent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116" w:type="dxa"/>
            <w:gridSpan w:val="2"/>
            <w:tcBorders>
              <w:bottom w:val="single" w:sz="2" w:space="0" w:color="000000"/>
            </w:tcBorders>
            <w:shd w:fill="auto" w:val="clear"/>
            <w:tcMar>
              <w:bottom w:w="28" w:type="dxa"/>
            </w:tcMar>
            <w:vAlign w:val="bottom"/>
          </w:tcPr>
          <w:p>
            <w:pPr>
              <w:pStyle w:val="TableContents"/>
              <w:spacing w:before="0" w:after="283"/>
              <w:jc w:val="center"/>
              <w:rPr/>
            </w:pPr>
            <w:r>
              <w:rPr/>
              <w:t>Guarantors</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189" w:type="dxa"/>
            <w:gridSpan w:val="2"/>
            <w:tcBorders>
              <w:bottom w:val="single" w:sz="2" w:space="0" w:color="000000"/>
            </w:tcBorders>
            <w:shd w:fill="auto" w:val="clear"/>
            <w:tcMar>
              <w:bottom w:w="28" w:type="dxa"/>
            </w:tcMar>
            <w:vAlign w:val="bottom"/>
          </w:tcPr>
          <w:p>
            <w:pPr>
              <w:pStyle w:val="TableContents"/>
              <w:spacing w:before="0" w:after="283"/>
              <w:jc w:val="center"/>
              <w:rPr/>
            </w:pPr>
            <w:r>
              <w:rPr/>
              <w:t>Subsidiaries</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26" w:type="dxa"/>
            <w:gridSpan w:val="2"/>
            <w:tcBorders>
              <w:bottom w:val="single" w:sz="2" w:space="0" w:color="000000"/>
            </w:tcBorders>
            <w:shd w:fill="auto" w:val="clear"/>
            <w:tcMar>
              <w:bottom w:w="28" w:type="dxa"/>
            </w:tcMar>
            <w:vAlign w:val="bottom"/>
          </w:tcPr>
          <w:p>
            <w:pPr>
              <w:pStyle w:val="TableContents"/>
              <w:spacing w:before="0" w:after="283"/>
              <w:jc w:val="center"/>
              <w:rPr/>
            </w:pPr>
            <w:r>
              <w:rPr/>
              <w:t>Eliminations</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75"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27" w:type="dxa"/>
            <w:tcBorders/>
            <w:shd w:fill="auto" w:val="clear"/>
            <w:vAlign w:val="bottom"/>
          </w:tcPr>
          <w:p>
            <w:pPr>
              <w:pStyle w:val="TableContents"/>
              <w:spacing w:before="0" w:after="283"/>
              <w:rPr/>
            </w:pPr>
            <w:r>
              <w:rPr/>
              <w:t> </w:t>
            </w:r>
          </w:p>
        </w:tc>
      </w:tr>
      <w:tr>
        <w:trPr/>
        <w:tc>
          <w:tcPr>
            <w:tcW w:w="2641" w:type="dxa"/>
            <w:tcBorders/>
            <w:shd w:fill="CCEEFF" w:val="clear"/>
            <w:vAlign w:val="bottom"/>
          </w:tcPr>
          <w:p>
            <w:pPr>
              <w:pStyle w:val="TableContents"/>
              <w:spacing w:before="0" w:after="0"/>
              <w:ind w:left="225" w:right="0" w:hanging="225"/>
              <w:rPr/>
            </w:pPr>
            <w:r>
              <w:rPr/>
              <w:t>Revenues:</w:t>
            </w:r>
          </w:p>
        </w:tc>
        <w:tc>
          <w:tcPr>
            <w:tcW w:w="2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450" w:right="0" w:hanging="225"/>
              <w:rPr/>
            </w:pPr>
            <w:r>
              <w:rPr/>
              <w:t>Sales</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319,272</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87" w:type="dxa"/>
            <w:tcBorders/>
            <w:shd w:fill="auto" w:val="clear"/>
            <w:vAlign w:val="bottom"/>
          </w:tcPr>
          <w:p>
            <w:pPr>
              <w:pStyle w:val="TableContents"/>
              <w:spacing w:before="0" w:after="283"/>
              <w:jc w:val="right"/>
              <w:rPr/>
            </w:pPr>
            <w:r>
              <w:rPr/>
              <w:t>10,651</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32"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81" w:type="dxa"/>
            <w:tcBorders/>
            <w:shd w:fill="auto" w:val="clear"/>
            <w:vAlign w:val="bottom"/>
          </w:tcPr>
          <w:p>
            <w:pPr>
              <w:pStyle w:val="TableContents"/>
              <w:spacing w:before="0" w:after="283"/>
              <w:jc w:val="right"/>
              <w:rPr/>
            </w:pPr>
            <w:r>
              <w:rPr/>
              <w:t>329,923</w:t>
            </w:r>
          </w:p>
        </w:tc>
        <w:tc>
          <w:tcPr>
            <w:tcW w:w="127" w:type="dxa"/>
            <w:tcBorders/>
            <w:shd w:fill="auto" w:val="clear"/>
            <w:vAlign w:val="bottom"/>
          </w:tcPr>
          <w:p>
            <w:pPr>
              <w:pStyle w:val="TableContents"/>
              <w:spacing w:before="0" w:after="283"/>
              <w:rPr/>
            </w:pPr>
            <w:r>
              <w:rPr/>
              <w:t> </w:t>
            </w:r>
          </w:p>
        </w:tc>
      </w:tr>
      <w:tr>
        <w:trPr/>
        <w:tc>
          <w:tcPr>
            <w:tcW w:w="2641" w:type="dxa"/>
            <w:tcBorders/>
            <w:shd w:fill="CCEEFF" w:val="clear"/>
            <w:vAlign w:val="bottom"/>
          </w:tcPr>
          <w:p>
            <w:pPr>
              <w:pStyle w:val="TableContents"/>
              <w:spacing w:before="0" w:after="0"/>
              <w:ind w:left="450" w:right="0" w:hanging="225"/>
              <w:rPr/>
            </w:pPr>
            <w:r>
              <w:rPr/>
              <w:t>Pawn service charges</w:t>
            </w:r>
          </w:p>
        </w:tc>
        <w:tc>
          <w:tcPr>
            <w:tcW w:w="2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124,396</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5,773</w:t>
            </w:r>
          </w:p>
        </w:tc>
        <w:tc>
          <w:tcPr>
            <w:tcW w:w="89"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130,169</w:t>
            </w:r>
          </w:p>
        </w:tc>
        <w:tc>
          <w:tcPr>
            <w:tcW w:w="127" w:type="dxa"/>
            <w:tcBorders/>
            <w:shd w:fill="CCEEFF"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450" w:right="0" w:hanging="225"/>
              <w:rPr/>
            </w:pPr>
            <w:r>
              <w:rPr/>
              <w:t>Signature loan fees</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133,342</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2</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133,344</w:t>
            </w:r>
          </w:p>
        </w:tc>
        <w:tc>
          <w:tcPr>
            <w:tcW w:w="127" w:type="dxa"/>
            <w:tcBorders/>
            <w:shd w:fill="auto" w:val="clear"/>
            <w:vAlign w:val="bottom"/>
          </w:tcPr>
          <w:p>
            <w:pPr>
              <w:pStyle w:val="TableContents"/>
              <w:spacing w:before="0" w:after="283"/>
              <w:rPr/>
            </w:pPr>
            <w:r>
              <w:rPr/>
              <w:t> </w:t>
            </w:r>
          </w:p>
        </w:tc>
      </w:tr>
      <w:tr>
        <w:trPr/>
        <w:tc>
          <w:tcPr>
            <w:tcW w:w="2641" w:type="dxa"/>
            <w:tcBorders/>
            <w:shd w:fill="CCEEFF" w:val="clear"/>
            <w:vAlign w:val="bottom"/>
          </w:tcPr>
          <w:p>
            <w:pPr>
              <w:pStyle w:val="TableContents"/>
              <w:spacing w:before="0" w:after="0"/>
              <w:ind w:left="450" w:right="0" w:hanging="225"/>
              <w:rPr/>
            </w:pPr>
            <w:r>
              <w:rPr/>
              <w:t>Auto title loan fees</w:t>
            </w:r>
          </w:p>
        </w:tc>
        <w:tc>
          <w:tcPr>
            <w:tcW w:w="2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3,589</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3,589</w:t>
            </w:r>
          </w:p>
        </w:tc>
        <w:tc>
          <w:tcPr>
            <w:tcW w:w="127" w:type="dxa"/>
            <w:tcBorders/>
            <w:shd w:fill="CCEEFF"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450" w:right="0" w:hanging="225"/>
              <w:rPr/>
            </w:pPr>
            <w:r>
              <w:rPr/>
              <w:t>Other</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36,825</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431</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32" w:type="dxa"/>
            <w:tcBorders/>
            <w:shd w:fill="auto" w:val="clear"/>
            <w:vAlign w:val="bottom"/>
          </w:tcPr>
          <w:p>
            <w:pPr>
              <w:pStyle w:val="TableContents"/>
              <w:spacing w:before="0" w:after="283"/>
              <w:jc w:val="right"/>
              <w:rPr/>
            </w:pPr>
            <w:r>
              <w:rPr/>
              <w:t>(36,825</w:t>
            </w:r>
          </w:p>
        </w:tc>
        <w:tc>
          <w:tcPr>
            <w:tcW w:w="118" w:type="dxa"/>
            <w:tcBorders/>
            <w:shd w:fill="auto" w:val="clear"/>
            <w:vAlign w:val="bottom"/>
          </w:tcPr>
          <w:p>
            <w:pPr>
              <w:pStyle w:val="TableContents"/>
              <w:spacing w:before="0" w:after="283"/>
              <w:rPr/>
            </w:pPr>
            <w:r>
              <w:rPr/>
              <w:t>)</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431</w:t>
            </w:r>
          </w:p>
        </w:tc>
        <w:tc>
          <w:tcPr>
            <w:tcW w:w="127" w:type="dxa"/>
            <w:tcBorders/>
            <w:shd w:fill="auto" w:val="clear"/>
            <w:vAlign w:val="bottom"/>
          </w:tcPr>
          <w:p>
            <w:pPr>
              <w:pStyle w:val="TableContents"/>
              <w:spacing w:before="0" w:after="283"/>
              <w:rPr/>
            </w:pPr>
            <w:r>
              <w:rPr/>
              <w:t> </w:t>
            </w:r>
          </w:p>
        </w:tc>
      </w:tr>
      <w:tr>
        <w:trPr/>
        <w:tc>
          <w:tcPr>
            <w:tcW w:w="2641" w:type="dxa"/>
            <w:tcBorders/>
            <w:shd w:fill="auto" w:val="clear"/>
            <w:vAlign w:val="center"/>
          </w:tcPr>
          <w:p>
            <w:pPr>
              <w:pStyle w:val="TableContents"/>
              <w:spacing w:before="0" w:after="0"/>
              <w:ind w:left="225" w:right="0" w:hanging="225"/>
              <w:rPr/>
            </w:pPr>
            <w:r>
              <w:rPr/>
              <w:t> </w:t>
            </w:r>
          </w:p>
        </w:tc>
        <w:tc>
          <w:tcPr>
            <w:tcW w:w="255" w:type="dxa"/>
            <w:tcBorders/>
            <w:shd w:fill="auto" w:val="clear"/>
            <w:vAlign w:val="center"/>
          </w:tcPr>
          <w:p>
            <w:pPr>
              <w:pStyle w:val="TableContents"/>
              <w:spacing w:before="0" w:after="283"/>
              <w:rPr/>
            </w:pPr>
            <w:r>
              <w:rPr/>
              <w:t> </w:t>
            </w:r>
          </w:p>
        </w:tc>
        <w:tc>
          <w:tcPr>
            <w:tcW w:w="9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641" w:type="dxa"/>
            <w:tcBorders/>
            <w:shd w:fill="CCEEFF" w:val="clear"/>
            <w:vAlign w:val="bottom"/>
          </w:tcPr>
          <w:p>
            <w:pPr>
              <w:pStyle w:val="TableContents"/>
              <w:spacing w:before="0" w:after="0"/>
              <w:ind w:left="675" w:right="0" w:hanging="225"/>
              <w:rPr/>
            </w:pPr>
            <w:r>
              <w:rPr/>
              <w:t>Total revenues</w:t>
            </w:r>
          </w:p>
        </w:tc>
        <w:tc>
          <w:tcPr>
            <w:tcW w:w="2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36,825</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581,030</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16,426</w:t>
            </w:r>
          </w:p>
        </w:tc>
        <w:tc>
          <w:tcPr>
            <w:tcW w:w="89"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2" w:type="dxa"/>
            <w:tcBorders/>
            <w:shd w:fill="CCEEFF" w:val="clear"/>
            <w:vAlign w:val="bottom"/>
          </w:tcPr>
          <w:p>
            <w:pPr>
              <w:pStyle w:val="TableContents"/>
              <w:spacing w:before="0" w:after="283"/>
              <w:jc w:val="right"/>
              <w:rPr/>
            </w:pPr>
            <w:r>
              <w:rPr/>
              <w:t>(36,825</w:t>
            </w:r>
          </w:p>
        </w:tc>
        <w:tc>
          <w:tcPr>
            <w:tcW w:w="118" w:type="dxa"/>
            <w:tcBorders/>
            <w:shd w:fill="CCEEFF" w:val="clear"/>
            <w:vAlign w:val="bottom"/>
          </w:tcPr>
          <w:p>
            <w:pPr>
              <w:pStyle w:val="TableContents"/>
              <w:spacing w:before="0" w:after="283"/>
              <w:rPr/>
            </w:pPr>
            <w:r>
              <w:rPr/>
              <w:t>)</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597,456</w:t>
            </w:r>
          </w:p>
        </w:tc>
        <w:tc>
          <w:tcPr>
            <w:tcW w:w="127" w:type="dxa"/>
            <w:tcBorders/>
            <w:shd w:fill="CCEEFF"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 </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Cost of goods sold</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196,918</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6,671</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203,589</w:t>
            </w:r>
          </w:p>
        </w:tc>
        <w:tc>
          <w:tcPr>
            <w:tcW w:w="127" w:type="dxa"/>
            <w:tcBorders/>
            <w:shd w:fill="auto" w:val="clear"/>
            <w:vAlign w:val="bottom"/>
          </w:tcPr>
          <w:p>
            <w:pPr>
              <w:pStyle w:val="TableContents"/>
              <w:spacing w:before="0" w:after="283"/>
              <w:rPr/>
            </w:pPr>
            <w:r>
              <w:rPr/>
              <w:t> </w:t>
            </w:r>
          </w:p>
        </w:tc>
      </w:tr>
      <w:tr>
        <w:trPr/>
        <w:tc>
          <w:tcPr>
            <w:tcW w:w="2641" w:type="dxa"/>
            <w:tcBorders/>
            <w:shd w:fill="CCEEFF" w:val="clear"/>
            <w:vAlign w:val="bottom"/>
          </w:tcPr>
          <w:p>
            <w:pPr>
              <w:pStyle w:val="TableContents"/>
              <w:spacing w:before="0" w:after="0"/>
              <w:ind w:left="225" w:right="0" w:hanging="225"/>
              <w:rPr/>
            </w:pPr>
            <w:r>
              <w:rPr/>
              <w:t>Signature loan bad debt</w:t>
            </w:r>
          </w:p>
        </w:tc>
        <w:tc>
          <w:tcPr>
            <w:tcW w:w="2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33,552</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w:t>
            </w:r>
          </w:p>
        </w:tc>
        <w:tc>
          <w:tcPr>
            <w:tcW w:w="89"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33,553</w:t>
            </w:r>
          </w:p>
        </w:tc>
        <w:tc>
          <w:tcPr>
            <w:tcW w:w="127" w:type="dxa"/>
            <w:tcBorders/>
            <w:shd w:fill="CCEEFF"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Auto title loan bad debt</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380</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380</w:t>
            </w:r>
          </w:p>
        </w:tc>
        <w:tc>
          <w:tcPr>
            <w:tcW w:w="127" w:type="dxa"/>
            <w:tcBorders/>
            <w:shd w:fill="auto" w:val="clear"/>
            <w:vAlign w:val="bottom"/>
          </w:tcPr>
          <w:p>
            <w:pPr>
              <w:pStyle w:val="TableContents"/>
              <w:spacing w:before="0" w:after="283"/>
              <w:rPr/>
            </w:pPr>
            <w:r>
              <w:rPr/>
              <w:t> </w:t>
            </w:r>
          </w:p>
        </w:tc>
      </w:tr>
      <w:tr>
        <w:trPr/>
        <w:tc>
          <w:tcPr>
            <w:tcW w:w="2641" w:type="dxa"/>
            <w:tcBorders/>
            <w:shd w:fill="auto" w:val="clear"/>
            <w:vAlign w:val="center"/>
          </w:tcPr>
          <w:p>
            <w:pPr>
              <w:pStyle w:val="TableContents"/>
              <w:spacing w:before="0" w:after="0"/>
              <w:ind w:left="225" w:right="0" w:hanging="225"/>
              <w:rPr/>
            </w:pPr>
            <w:r>
              <w:rPr/>
              <w:t> </w:t>
            </w:r>
          </w:p>
        </w:tc>
        <w:tc>
          <w:tcPr>
            <w:tcW w:w="255" w:type="dxa"/>
            <w:tcBorders/>
            <w:shd w:fill="auto" w:val="clear"/>
            <w:vAlign w:val="center"/>
          </w:tcPr>
          <w:p>
            <w:pPr>
              <w:pStyle w:val="TableContents"/>
              <w:spacing w:before="0" w:after="283"/>
              <w:rPr/>
            </w:pPr>
            <w:r>
              <w:rPr/>
              <w:t> </w:t>
            </w:r>
          </w:p>
        </w:tc>
        <w:tc>
          <w:tcPr>
            <w:tcW w:w="9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641" w:type="dxa"/>
            <w:tcBorders/>
            <w:shd w:fill="CCEEFF" w:val="clear"/>
            <w:vAlign w:val="bottom"/>
          </w:tcPr>
          <w:p>
            <w:pPr>
              <w:pStyle w:val="TableContents"/>
              <w:spacing w:before="0" w:after="0"/>
              <w:ind w:left="675" w:right="0" w:hanging="225"/>
              <w:rPr/>
            </w:pPr>
            <w:r>
              <w:rPr/>
              <w:t>Net revenues</w:t>
            </w:r>
          </w:p>
        </w:tc>
        <w:tc>
          <w:tcPr>
            <w:tcW w:w="2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36,825</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350,180</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9,754</w:t>
            </w:r>
          </w:p>
        </w:tc>
        <w:tc>
          <w:tcPr>
            <w:tcW w:w="89"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2" w:type="dxa"/>
            <w:tcBorders/>
            <w:shd w:fill="CCEEFF" w:val="clear"/>
            <w:vAlign w:val="bottom"/>
          </w:tcPr>
          <w:p>
            <w:pPr>
              <w:pStyle w:val="TableContents"/>
              <w:spacing w:before="0" w:after="283"/>
              <w:jc w:val="right"/>
              <w:rPr/>
            </w:pPr>
            <w:r>
              <w:rPr/>
              <w:t>(36,825</w:t>
            </w:r>
          </w:p>
        </w:tc>
        <w:tc>
          <w:tcPr>
            <w:tcW w:w="118" w:type="dxa"/>
            <w:tcBorders/>
            <w:shd w:fill="CCEEFF" w:val="clear"/>
            <w:vAlign w:val="bottom"/>
          </w:tcPr>
          <w:p>
            <w:pPr>
              <w:pStyle w:val="TableContents"/>
              <w:spacing w:before="0" w:after="283"/>
              <w:rPr/>
            </w:pPr>
            <w:r>
              <w:rPr/>
              <w:t>)</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359,934</w:t>
            </w:r>
          </w:p>
        </w:tc>
        <w:tc>
          <w:tcPr>
            <w:tcW w:w="127" w:type="dxa"/>
            <w:tcBorders/>
            <w:shd w:fill="CCEEFF"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 </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Operating expenses:</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641" w:type="dxa"/>
            <w:tcBorders/>
            <w:shd w:fill="CCEEFF" w:val="clear"/>
            <w:vAlign w:val="bottom"/>
          </w:tcPr>
          <w:p>
            <w:pPr>
              <w:pStyle w:val="TableContents"/>
              <w:spacing w:before="0" w:after="0"/>
              <w:ind w:left="450" w:right="0" w:hanging="225"/>
              <w:rPr/>
            </w:pPr>
            <w:r>
              <w:rPr/>
              <w:t>Operations</w:t>
            </w:r>
          </w:p>
        </w:tc>
        <w:tc>
          <w:tcPr>
            <w:tcW w:w="2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200,300</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5,937</w:t>
            </w:r>
          </w:p>
        </w:tc>
        <w:tc>
          <w:tcPr>
            <w:tcW w:w="89"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206,237</w:t>
            </w:r>
          </w:p>
        </w:tc>
        <w:tc>
          <w:tcPr>
            <w:tcW w:w="127" w:type="dxa"/>
            <w:tcBorders/>
            <w:shd w:fill="CCEEFF"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450" w:right="0" w:hanging="225"/>
              <w:rPr/>
            </w:pPr>
            <w:r>
              <w:rPr/>
              <w:t>Administrative</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39,134</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1,363</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40,497</w:t>
            </w:r>
          </w:p>
        </w:tc>
        <w:tc>
          <w:tcPr>
            <w:tcW w:w="127" w:type="dxa"/>
            <w:tcBorders/>
            <w:shd w:fill="auto" w:val="clear"/>
            <w:vAlign w:val="bottom"/>
          </w:tcPr>
          <w:p>
            <w:pPr>
              <w:pStyle w:val="TableContents"/>
              <w:spacing w:before="0" w:after="283"/>
              <w:rPr/>
            </w:pPr>
            <w:r>
              <w:rPr/>
              <w:t> </w:t>
            </w:r>
          </w:p>
        </w:tc>
      </w:tr>
      <w:tr>
        <w:trPr/>
        <w:tc>
          <w:tcPr>
            <w:tcW w:w="2641" w:type="dxa"/>
            <w:tcBorders/>
            <w:shd w:fill="CCEEFF" w:val="clear"/>
            <w:vAlign w:val="bottom"/>
          </w:tcPr>
          <w:p>
            <w:pPr>
              <w:pStyle w:val="TableContents"/>
              <w:spacing w:before="0" w:after="0"/>
              <w:ind w:left="450" w:right="0" w:hanging="225"/>
              <w:rPr/>
            </w:pPr>
            <w:r>
              <w:rPr/>
              <w:t>Depreciation</w:t>
            </w:r>
          </w:p>
        </w:tc>
        <w:tc>
          <w:tcPr>
            <w:tcW w:w="2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11,541</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720</w:t>
            </w:r>
          </w:p>
        </w:tc>
        <w:tc>
          <w:tcPr>
            <w:tcW w:w="89"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12,261</w:t>
            </w:r>
          </w:p>
        </w:tc>
        <w:tc>
          <w:tcPr>
            <w:tcW w:w="127" w:type="dxa"/>
            <w:tcBorders/>
            <w:shd w:fill="CCEEFF"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450" w:right="0" w:hanging="225"/>
              <w:rPr/>
            </w:pPr>
            <w:r>
              <w:rPr/>
              <w:t>Amortization</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159</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326</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485</w:t>
            </w:r>
          </w:p>
        </w:tc>
        <w:tc>
          <w:tcPr>
            <w:tcW w:w="127" w:type="dxa"/>
            <w:tcBorders/>
            <w:shd w:fill="auto" w:val="clear"/>
            <w:vAlign w:val="bottom"/>
          </w:tcPr>
          <w:p>
            <w:pPr>
              <w:pStyle w:val="TableContents"/>
              <w:spacing w:before="0" w:after="283"/>
              <w:rPr/>
            </w:pPr>
            <w:r>
              <w:rPr/>
              <w:t> </w:t>
            </w:r>
          </w:p>
        </w:tc>
      </w:tr>
      <w:tr>
        <w:trPr/>
        <w:tc>
          <w:tcPr>
            <w:tcW w:w="2641" w:type="dxa"/>
            <w:tcBorders/>
            <w:shd w:fill="CCEEFF" w:val="clear"/>
            <w:vAlign w:val="bottom"/>
          </w:tcPr>
          <w:p>
            <w:pPr>
              <w:pStyle w:val="TableContents"/>
              <w:spacing w:before="0" w:after="0"/>
              <w:ind w:left="450" w:right="0" w:hanging="225"/>
              <w:rPr/>
            </w:pPr>
            <w:r>
              <w:rPr/>
              <w:t>(Gain) loss on sale or disposal of assets</w:t>
            </w:r>
          </w:p>
        </w:tc>
        <w:tc>
          <w:tcPr>
            <w:tcW w:w="2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947" w:type="dxa"/>
            <w:tcBorders/>
            <w:shd w:fill="CCEEFF" w:val="clear"/>
            <w:vAlign w:val="bottom"/>
          </w:tcPr>
          <w:p>
            <w:pPr>
              <w:pStyle w:val="TableContents"/>
              <w:spacing w:before="0" w:after="283"/>
              <w:jc w:val="right"/>
              <w:rPr/>
            </w:pPr>
            <w:r>
              <w:rPr/>
              <w:t>(1,029</w:t>
            </w:r>
          </w:p>
        </w:tc>
        <w:tc>
          <w:tcPr>
            <w:tcW w:w="118" w:type="dxa"/>
            <w:tcBorders/>
            <w:shd w:fill="CCEEFF" w:val="clear"/>
            <w:vAlign w:val="bottom"/>
          </w:tcPr>
          <w:p>
            <w:pPr>
              <w:pStyle w:val="TableContents"/>
              <w:spacing w:before="0" w:after="283"/>
              <w:rPr/>
            </w:pPr>
            <w:r>
              <w:rPr/>
              <w:t>)</w:t>
            </w:r>
          </w:p>
        </w:tc>
        <w:tc>
          <w:tcPr>
            <w:tcW w:w="2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5</w:t>
            </w:r>
          </w:p>
        </w:tc>
        <w:tc>
          <w:tcPr>
            <w:tcW w:w="89"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pPr>
            <w:r>
              <w:rPr/>
              <w:t>(1,024</w:t>
            </w:r>
          </w:p>
        </w:tc>
        <w:tc>
          <w:tcPr>
            <w:tcW w:w="127" w:type="dxa"/>
            <w:tcBorders/>
            <w:shd w:fill="CCEEFF" w:val="clear"/>
            <w:vAlign w:val="bottom"/>
          </w:tcPr>
          <w:p>
            <w:pPr>
              <w:pStyle w:val="TableContents"/>
              <w:spacing w:before="0" w:after="283"/>
              <w:rPr/>
            </w:pPr>
            <w:r>
              <w:rPr/>
              <w:t>)</w:t>
            </w:r>
          </w:p>
        </w:tc>
      </w:tr>
      <w:tr>
        <w:trPr/>
        <w:tc>
          <w:tcPr>
            <w:tcW w:w="2641" w:type="dxa"/>
            <w:tcBorders/>
            <w:shd w:fill="auto" w:val="clear"/>
            <w:vAlign w:val="center"/>
          </w:tcPr>
          <w:p>
            <w:pPr>
              <w:pStyle w:val="TableContents"/>
              <w:spacing w:before="0" w:after="0"/>
              <w:ind w:left="225" w:right="0" w:hanging="225"/>
              <w:rPr/>
            </w:pPr>
            <w:r>
              <w:rPr/>
              <w:t> </w:t>
            </w:r>
          </w:p>
        </w:tc>
        <w:tc>
          <w:tcPr>
            <w:tcW w:w="255" w:type="dxa"/>
            <w:tcBorders/>
            <w:shd w:fill="auto" w:val="clear"/>
            <w:vAlign w:val="center"/>
          </w:tcPr>
          <w:p>
            <w:pPr>
              <w:pStyle w:val="TableContents"/>
              <w:spacing w:before="0" w:after="283"/>
              <w:rPr/>
            </w:pPr>
            <w:r>
              <w:rPr/>
              <w:t> </w:t>
            </w:r>
          </w:p>
        </w:tc>
        <w:tc>
          <w:tcPr>
            <w:tcW w:w="9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641" w:type="dxa"/>
            <w:tcBorders/>
            <w:shd w:fill="auto" w:val="clear"/>
            <w:vAlign w:val="bottom"/>
          </w:tcPr>
          <w:p>
            <w:pPr>
              <w:pStyle w:val="TableContents"/>
              <w:spacing w:before="0" w:after="0"/>
              <w:ind w:left="675" w:right="0" w:hanging="225"/>
              <w:rPr/>
            </w:pPr>
            <w:r>
              <w:rPr/>
              <w:t>Total operating expenses</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250,105</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8,351</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258,456</w:t>
            </w:r>
          </w:p>
        </w:tc>
        <w:tc>
          <w:tcPr>
            <w:tcW w:w="127" w:type="dxa"/>
            <w:tcBorders/>
            <w:shd w:fill="auto" w:val="clear"/>
            <w:vAlign w:val="bottom"/>
          </w:tcPr>
          <w:p>
            <w:pPr>
              <w:pStyle w:val="TableContents"/>
              <w:spacing w:before="0" w:after="283"/>
              <w:rPr/>
            </w:pPr>
            <w:r>
              <w:rPr/>
              <w:t> </w:t>
            </w:r>
          </w:p>
        </w:tc>
      </w:tr>
      <w:tr>
        <w:trPr/>
        <w:tc>
          <w:tcPr>
            <w:tcW w:w="2641" w:type="dxa"/>
            <w:tcBorders/>
            <w:shd w:fill="auto" w:val="clear"/>
            <w:vAlign w:val="center"/>
          </w:tcPr>
          <w:p>
            <w:pPr>
              <w:pStyle w:val="TableContents"/>
              <w:spacing w:before="0" w:after="0"/>
              <w:ind w:left="225" w:right="0" w:hanging="225"/>
              <w:rPr/>
            </w:pPr>
            <w:r>
              <w:rPr/>
              <w:t> </w:t>
            </w:r>
          </w:p>
        </w:tc>
        <w:tc>
          <w:tcPr>
            <w:tcW w:w="255" w:type="dxa"/>
            <w:tcBorders/>
            <w:shd w:fill="auto" w:val="clear"/>
            <w:vAlign w:val="center"/>
          </w:tcPr>
          <w:p>
            <w:pPr>
              <w:pStyle w:val="TableContents"/>
              <w:spacing w:before="0" w:after="283"/>
              <w:rPr/>
            </w:pPr>
            <w:r>
              <w:rPr/>
              <w:t> </w:t>
            </w:r>
          </w:p>
        </w:tc>
        <w:tc>
          <w:tcPr>
            <w:tcW w:w="9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 </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641" w:type="dxa"/>
            <w:tcBorders/>
            <w:shd w:fill="CCEEFF" w:val="clear"/>
            <w:vAlign w:val="bottom"/>
          </w:tcPr>
          <w:p>
            <w:pPr>
              <w:pStyle w:val="TableContents"/>
              <w:spacing w:before="0" w:after="0"/>
              <w:ind w:left="225" w:right="0" w:hanging="225"/>
              <w:rPr/>
            </w:pPr>
            <w:r>
              <w:rPr/>
              <w:t>Operating income</w:t>
            </w:r>
          </w:p>
        </w:tc>
        <w:tc>
          <w:tcPr>
            <w:tcW w:w="2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36,825</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100,075</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1,403</w:t>
            </w:r>
          </w:p>
        </w:tc>
        <w:tc>
          <w:tcPr>
            <w:tcW w:w="89"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2" w:type="dxa"/>
            <w:tcBorders/>
            <w:shd w:fill="CCEEFF" w:val="clear"/>
            <w:vAlign w:val="bottom"/>
          </w:tcPr>
          <w:p>
            <w:pPr>
              <w:pStyle w:val="TableContents"/>
              <w:spacing w:before="0" w:after="283"/>
              <w:jc w:val="right"/>
              <w:rPr/>
            </w:pPr>
            <w:r>
              <w:rPr/>
              <w:t>(36,825</w:t>
            </w:r>
          </w:p>
        </w:tc>
        <w:tc>
          <w:tcPr>
            <w:tcW w:w="118" w:type="dxa"/>
            <w:tcBorders/>
            <w:shd w:fill="CCEEFF" w:val="clear"/>
            <w:vAlign w:val="bottom"/>
          </w:tcPr>
          <w:p>
            <w:pPr>
              <w:pStyle w:val="TableContents"/>
              <w:spacing w:before="0" w:after="283"/>
              <w:rPr/>
            </w:pPr>
            <w:r>
              <w:rPr/>
              <w:t>)</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101,478</w:t>
            </w:r>
          </w:p>
        </w:tc>
        <w:tc>
          <w:tcPr>
            <w:tcW w:w="127" w:type="dxa"/>
            <w:tcBorders/>
            <w:shd w:fill="CCEEFF"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 </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Interest income</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947" w:type="dxa"/>
            <w:tcBorders/>
            <w:shd w:fill="auto" w:val="clear"/>
            <w:vAlign w:val="bottom"/>
          </w:tcPr>
          <w:p>
            <w:pPr>
              <w:pStyle w:val="TableContents"/>
              <w:spacing w:before="0" w:after="283"/>
              <w:jc w:val="right"/>
              <w:rPr/>
            </w:pPr>
            <w:r>
              <w:rPr/>
              <w:t>(461</w:t>
            </w:r>
          </w:p>
        </w:tc>
        <w:tc>
          <w:tcPr>
            <w:tcW w:w="118" w:type="dxa"/>
            <w:tcBorders/>
            <w:shd w:fill="auto" w:val="clear"/>
            <w:vAlign w:val="bottom"/>
          </w:tcPr>
          <w:p>
            <w:pPr>
              <w:pStyle w:val="TableContents"/>
              <w:spacing w:before="0" w:after="283"/>
              <w:rPr/>
            </w:pPr>
            <w:r>
              <w:rPr/>
              <w:t>)</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180</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81" w:type="dxa"/>
            <w:tcBorders/>
            <w:shd w:fill="auto" w:val="clear"/>
            <w:vAlign w:val="bottom"/>
          </w:tcPr>
          <w:p>
            <w:pPr>
              <w:pStyle w:val="TableContents"/>
              <w:spacing w:before="0" w:after="283"/>
              <w:jc w:val="right"/>
              <w:rPr/>
            </w:pPr>
            <w:r>
              <w:rPr/>
              <w:t>(281</w:t>
            </w:r>
          </w:p>
        </w:tc>
        <w:tc>
          <w:tcPr>
            <w:tcW w:w="127" w:type="dxa"/>
            <w:tcBorders/>
            <w:shd w:fill="auto" w:val="clear"/>
            <w:vAlign w:val="bottom"/>
          </w:tcPr>
          <w:p>
            <w:pPr>
              <w:pStyle w:val="TableContents"/>
              <w:spacing w:before="0" w:after="283"/>
              <w:rPr/>
            </w:pPr>
            <w:r>
              <w:rPr/>
              <w:t>)</w:t>
            </w:r>
          </w:p>
        </w:tc>
      </w:tr>
      <w:tr>
        <w:trPr/>
        <w:tc>
          <w:tcPr>
            <w:tcW w:w="2641" w:type="dxa"/>
            <w:tcBorders/>
            <w:shd w:fill="CCEEFF" w:val="clear"/>
            <w:vAlign w:val="bottom"/>
          </w:tcPr>
          <w:p>
            <w:pPr>
              <w:pStyle w:val="TableContents"/>
              <w:spacing w:before="0" w:after="0"/>
              <w:ind w:left="225" w:right="0" w:hanging="225"/>
              <w:rPr/>
            </w:pPr>
            <w:r>
              <w:rPr/>
              <w:t>Interest expense</w:t>
            </w:r>
          </w:p>
        </w:tc>
        <w:tc>
          <w:tcPr>
            <w:tcW w:w="2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283"/>
              <w:jc w:val="right"/>
              <w:rPr/>
            </w:pPr>
            <w:r>
              <w:rPr/>
              <w:t>(9,198</w:t>
            </w:r>
          </w:p>
        </w:tc>
        <w:tc>
          <w:tcPr>
            <w:tcW w:w="118" w:type="dxa"/>
            <w:tcBorders/>
            <w:shd w:fill="CCEEFF" w:val="clear"/>
            <w:vAlign w:val="bottom"/>
          </w:tcPr>
          <w:p>
            <w:pPr>
              <w:pStyle w:val="TableContents"/>
              <w:spacing w:before="0" w:after="283"/>
              <w:rPr/>
            </w:pPr>
            <w:r>
              <w:rPr/>
              <w:t>)</w:t>
            </w:r>
          </w:p>
        </w:tc>
        <w:tc>
          <w:tcPr>
            <w:tcW w:w="2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10,618</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185</w:t>
            </w:r>
          </w:p>
        </w:tc>
        <w:tc>
          <w:tcPr>
            <w:tcW w:w="89"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2" w:type="dxa"/>
            <w:tcBorders/>
            <w:shd w:fill="CCEEFF" w:val="clear"/>
            <w:vAlign w:val="bottom"/>
          </w:tcPr>
          <w:p>
            <w:pPr>
              <w:pStyle w:val="TableContents"/>
              <w:spacing w:before="0" w:after="283"/>
              <w:jc w:val="right"/>
              <w:rPr/>
            </w:pPr>
            <w:r>
              <w:rPr/>
              <w:t>(180</w:t>
            </w:r>
          </w:p>
        </w:tc>
        <w:tc>
          <w:tcPr>
            <w:tcW w:w="118" w:type="dxa"/>
            <w:tcBorders/>
            <w:shd w:fill="CCEEFF" w:val="clear"/>
            <w:vAlign w:val="bottom"/>
          </w:tcPr>
          <w:p>
            <w:pPr>
              <w:pStyle w:val="TableContents"/>
              <w:spacing w:before="0" w:after="283"/>
              <w:rPr/>
            </w:pPr>
            <w:r>
              <w:rPr/>
              <w:t>)</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1,425</w:t>
            </w:r>
          </w:p>
        </w:tc>
        <w:tc>
          <w:tcPr>
            <w:tcW w:w="127" w:type="dxa"/>
            <w:tcBorders/>
            <w:shd w:fill="CCEEFF"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Equity in net income of unconsolidated affiliates</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947" w:type="dxa"/>
            <w:tcBorders/>
            <w:shd w:fill="auto" w:val="clear"/>
            <w:vAlign w:val="bottom"/>
          </w:tcPr>
          <w:p>
            <w:pPr>
              <w:pStyle w:val="TableContents"/>
              <w:spacing w:before="0" w:after="283"/>
              <w:jc w:val="right"/>
              <w:rPr/>
            </w:pPr>
            <w:r>
              <w:rPr/>
              <w:t>(5,016</w:t>
            </w:r>
          </w:p>
        </w:tc>
        <w:tc>
          <w:tcPr>
            <w:tcW w:w="118" w:type="dxa"/>
            <w:tcBorders/>
            <w:shd w:fill="auto" w:val="clear"/>
            <w:vAlign w:val="bottom"/>
          </w:tcPr>
          <w:p>
            <w:pPr>
              <w:pStyle w:val="TableContents"/>
              <w:spacing w:before="0" w:after="283"/>
              <w:rPr/>
            </w:pPr>
            <w:r>
              <w:rPr/>
              <w:t>)</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81" w:type="dxa"/>
            <w:tcBorders/>
            <w:shd w:fill="auto" w:val="clear"/>
            <w:vAlign w:val="bottom"/>
          </w:tcPr>
          <w:p>
            <w:pPr>
              <w:pStyle w:val="TableContents"/>
              <w:spacing w:before="0" w:after="283"/>
              <w:jc w:val="right"/>
              <w:rPr/>
            </w:pPr>
            <w:r>
              <w:rPr/>
              <w:t>(5,016</w:t>
            </w:r>
          </w:p>
        </w:tc>
        <w:tc>
          <w:tcPr>
            <w:tcW w:w="127" w:type="dxa"/>
            <w:tcBorders/>
            <w:shd w:fill="auto" w:val="clear"/>
            <w:vAlign w:val="bottom"/>
          </w:tcPr>
          <w:p>
            <w:pPr>
              <w:pStyle w:val="TableContents"/>
              <w:spacing w:before="0" w:after="283"/>
              <w:rPr/>
            </w:pPr>
            <w:r>
              <w:rPr/>
              <w:t>)</w:t>
            </w:r>
          </w:p>
        </w:tc>
      </w:tr>
      <w:tr>
        <w:trPr/>
        <w:tc>
          <w:tcPr>
            <w:tcW w:w="2641" w:type="dxa"/>
            <w:tcBorders/>
            <w:shd w:fill="CCEEFF" w:val="clear"/>
            <w:vAlign w:val="bottom"/>
          </w:tcPr>
          <w:p>
            <w:pPr>
              <w:pStyle w:val="TableContents"/>
              <w:spacing w:before="0" w:after="0"/>
              <w:ind w:left="225" w:right="0" w:hanging="225"/>
              <w:rPr/>
            </w:pPr>
            <w:r>
              <w:rPr/>
              <w:t>Other</w:t>
            </w:r>
          </w:p>
        </w:tc>
        <w:tc>
          <w:tcPr>
            <w:tcW w:w="2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38</w:t>
            </w:r>
          </w:p>
        </w:tc>
        <w:tc>
          <w:tcPr>
            <w:tcW w:w="89"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38</w:t>
            </w:r>
          </w:p>
        </w:tc>
        <w:tc>
          <w:tcPr>
            <w:tcW w:w="127" w:type="dxa"/>
            <w:tcBorders/>
            <w:shd w:fill="CCEEFF" w:val="clear"/>
            <w:vAlign w:val="bottom"/>
          </w:tcPr>
          <w:p>
            <w:pPr>
              <w:pStyle w:val="TableContents"/>
              <w:spacing w:before="0" w:after="283"/>
              <w:rPr/>
            </w:pPr>
            <w:r>
              <w:rPr/>
              <w:t> </w:t>
            </w:r>
          </w:p>
        </w:tc>
      </w:tr>
      <w:tr>
        <w:trPr/>
        <w:tc>
          <w:tcPr>
            <w:tcW w:w="2641" w:type="dxa"/>
            <w:tcBorders/>
            <w:shd w:fill="auto" w:val="clear"/>
            <w:vAlign w:val="center"/>
          </w:tcPr>
          <w:p>
            <w:pPr>
              <w:pStyle w:val="TableContents"/>
              <w:spacing w:before="0" w:after="0"/>
              <w:ind w:left="225" w:right="0" w:hanging="225"/>
              <w:rPr/>
            </w:pPr>
            <w:r>
              <w:rPr/>
              <w:t> </w:t>
            </w:r>
          </w:p>
        </w:tc>
        <w:tc>
          <w:tcPr>
            <w:tcW w:w="255" w:type="dxa"/>
            <w:tcBorders/>
            <w:shd w:fill="auto" w:val="clear"/>
            <w:vAlign w:val="center"/>
          </w:tcPr>
          <w:p>
            <w:pPr>
              <w:pStyle w:val="TableContents"/>
              <w:spacing w:before="0" w:after="283"/>
              <w:rPr/>
            </w:pPr>
            <w:r>
              <w:rPr/>
              <w:t> </w:t>
            </w:r>
          </w:p>
        </w:tc>
        <w:tc>
          <w:tcPr>
            <w:tcW w:w="9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Income before income taxes</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46,023</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94,934</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1,180</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32" w:type="dxa"/>
            <w:tcBorders/>
            <w:shd w:fill="auto" w:val="clear"/>
            <w:vAlign w:val="bottom"/>
          </w:tcPr>
          <w:p>
            <w:pPr>
              <w:pStyle w:val="TableContents"/>
              <w:spacing w:before="0" w:after="283"/>
              <w:jc w:val="right"/>
              <w:rPr/>
            </w:pPr>
            <w:r>
              <w:rPr/>
              <w:t>(36,825</w:t>
            </w:r>
          </w:p>
        </w:tc>
        <w:tc>
          <w:tcPr>
            <w:tcW w:w="118" w:type="dxa"/>
            <w:tcBorders/>
            <w:shd w:fill="auto" w:val="clear"/>
            <w:vAlign w:val="bottom"/>
          </w:tcPr>
          <w:p>
            <w:pPr>
              <w:pStyle w:val="TableContents"/>
              <w:spacing w:before="0" w:after="283"/>
              <w:rPr/>
            </w:pPr>
            <w:r>
              <w:rPr/>
              <w:t>)</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105,312</w:t>
            </w:r>
          </w:p>
        </w:tc>
        <w:tc>
          <w:tcPr>
            <w:tcW w:w="127" w:type="dxa"/>
            <w:tcBorders/>
            <w:shd w:fill="auto" w:val="clear"/>
            <w:vAlign w:val="bottom"/>
          </w:tcPr>
          <w:p>
            <w:pPr>
              <w:pStyle w:val="TableContents"/>
              <w:spacing w:before="0" w:after="283"/>
              <w:rPr/>
            </w:pPr>
            <w:r>
              <w:rPr/>
              <w:t> </w:t>
            </w:r>
          </w:p>
        </w:tc>
      </w:tr>
      <w:tr>
        <w:trPr/>
        <w:tc>
          <w:tcPr>
            <w:tcW w:w="2641" w:type="dxa"/>
            <w:tcBorders/>
            <w:shd w:fill="CCEEFF" w:val="clear"/>
            <w:vAlign w:val="bottom"/>
          </w:tcPr>
          <w:p>
            <w:pPr>
              <w:pStyle w:val="TableContents"/>
              <w:spacing w:before="0" w:after="0"/>
              <w:ind w:left="225" w:right="0" w:hanging="225"/>
              <w:rPr/>
            </w:pPr>
            <w:r>
              <w:rPr/>
              <w:t>Income tax expense</w:t>
            </w:r>
          </w:p>
        </w:tc>
        <w:tc>
          <w:tcPr>
            <w:tcW w:w="2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36,367</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36,840</w:t>
            </w:r>
          </w:p>
        </w:tc>
        <w:tc>
          <w:tcPr>
            <w:tcW w:w="118"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458</w:t>
            </w:r>
          </w:p>
        </w:tc>
        <w:tc>
          <w:tcPr>
            <w:tcW w:w="89"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32" w:type="dxa"/>
            <w:tcBorders/>
            <w:shd w:fill="CCEEFF" w:val="clear"/>
            <w:vAlign w:val="bottom"/>
          </w:tcPr>
          <w:p>
            <w:pPr>
              <w:pStyle w:val="TableContents"/>
              <w:spacing w:before="0" w:after="283"/>
              <w:jc w:val="right"/>
              <w:rPr/>
            </w:pPr>
            <w:r>
              <w:rPr/>
              <w:t>(36,825</w:t>
            </w:r>
          </w:p>
        </w:tc>
        <w:tc>
          <w:tcPr>
            <w:tcW w:w="118" w:type="dxa"/>
            <w:tcBorders/>
            <w:shd w:fill="CCEEFF" w:val="clear"/>
            <w:vAlign w:val="bottom"/>
          </w:tcPr>
          <w:p>
            <w:pPr>
              <w:pStyle w:val="TableContents"/>
              <w:spacing w:before="0" w:after="283"/>
              <w:rPr/>
            </w:pPr>
            <w:r>
              <w:rPr/>
              <w:t>)</w:t>
            </w:r>
          </w:p>
        </w:tc>
        <w:tc>
          <w:tcPr>
            <w:tcW w:w="2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36,840</w:t>
            </w:r>
          </w:p>
        </w:tc>
        <w:tc>
          <w:tcPr>
            <w:tcW w:w="127" w:type="dxa"/>
            <w:tcBorders/>
            <w:shd w:fill="CCEEFF" w:val="clear"/>
            <w:vAlign w:val="bottom"/>
          </w:tcPr>
          <w:p>
            <w:pPr>
              <w:pStyle w:val="TableContents"/>
              <w:spacing w:before="0" w:after="283"/>
              <w:rPr/>
            </w:pPr>
            <w:r>
              <w:rPr/>
              <w:t> </w:t>
            </w:r>
          </w:p>
        </w:tc>
      </w:tr>
      <w:tr>
        <w:trPr/>
        <w:tc>
          <w:tcPr>
            <w:tcW w:w="2641" w:type="dxa"/>
            <w:tcBorders/>
            <w:shd w:fill="auto" w:val="clear"/>
            <w:vAlign w:val="center"/>
          </w:tcPr>
          <w:p>
            <w:pPr>
              <w:pStyle w:val="TableContents"/>
              <w:spacing w:before="0" w:after="0"/>
              <w:ind w:left="225" w:right="0" w:hanging="225"/>
              <w:rPr/>
            </w:pPr>
            <w:r>
              <w:rPr/>
              <w:t> </w:t>
            </w:r>
          </w:p>
        </w:tc>
        <w:tc>
          <w:tcPr>
            <w:tcW w:w="255" w:type="dxa"/>
            <w:tcBorders/>
            <w:shd w:fill="auto" w:val="clear"/>
            <w:vAlign w:val="center"/>
          </w:tcPr>
          <w:p>
            <w:pPr>
              <w:pStyle w:val="TableContents"/>
              <w:spacing w:before="0" w:after="283"/>
              <w:rPr/>
            </w:pPr>
            <w:r>
              <w:rPr/>
              <w:t> </w:t>
            </w:r>
          </w:p>
        </w:tc>
        <w:tc>
          <w:tcPr>
            <w:tcW w:w="9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Net income</w:t>
            </w:r>
          </w:p>
        </w:tc>
        <w:tc>
          <w:tcPr>
            <w:tcW w:w="2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758" w:type="dxa"/>
            <w:tcBorders/>
            <w:shd w:fill="auto" w:val="clear"/>
            <w:vAlign w:val="bottom"/>
          </w:tcPr>
          <w:p>
            <w:pPr>
              <w:pStyle w:val="TableContents"/>
              <w:spacing w:before="0" w:after="283"/>
              <w:jc w:val="right"/>
              <w:rPr/>
            </w:pPr>
            <w:r>
              <w:rPr/>
              <w:t>9,656</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58,094</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87" w:type="dxa"/>
            <w:tcBorders/>
            <w:shd w:fill="auto" w:val="clear"/>
            <w:vAlign w:val="bottom"/>
          </w:tcPr>
          <w:p>
            <w:pPr>
              <w:pStyle w:val="TableContents"/>
              <w:spacing w:before="0" w:after="283"/>
              <w:jc w:val="right"/>
              <w:rPr/>
            </w:pPr>
            <w:r>
              <w:rPr/>
              <w:t>722</w:t>
            </w:r>
          </w:p>
        </w:tc>
        <w:tc>
          <w:tcPr>
            <w:tcW w:w="8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32"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81" w:type="dxa"/>
            <w:tcBorders/>
            <w:shd w:fill="auto" w:val="clear"/>
            <w:vAlign w:val="bottom"/>
          </w:tcPr>
          <w:p>
            <w:pPr>
              <w:pStyle w:val="TableContents"/>
              <w:spacing w:before="0" w:after="283"/>
              <w:jc w:val="right"/>
              <w:rPr/>
            </w:pPr>
            <w:r>
              <w:rPr/>
              <w:t>68,472</w:t>
            </w:r>
          </w:p>
        </w:tc>
        <w:tc>
          <w:tcPr>
            <w:tcW w:w="127" w:type="dxa"/>
            <w:tcBorders/>
            <w:shd w:fill="auto" w:val="clear"/>
            <w:vAlign w:val="bottom"/>
          </w:tcPr>
          <w:p>
            <w:pPr>
              <w:pStyle w:val="TableContents"/>
              <w:spacing w:before="0" w:after="283"/>
              <w:rPr/>
            </w:pPr>
            <w:r>
              <w:rPr/>
              <w:t> </w:t>
            </w:r>
          </w:p>
        </w:tc>
      </w:tr>
      <w:tr>
        <w:trPr/>
        <w:tc>
          <w:tcPr>
            <w:tcW w:w="2641" w:type="dxa"/>
            <w:tcBorders/>
            <w:shd w:fill="auto" w:val="clear"/>
            <w:vAlign w:val="center"/>
          </w:tcPr>
          <w:p>
            <w:pPr>
              <w:pStyle w:val="TableContents"/>
              <w:spacing w:before="0" w:after="0"/>
              <w:ind w:left="225" w:right="0" w:hanging="225"/>
              <w:rPr/>
            </w:pPr>
            <w:r>
              <w:rPr/>
              <w:t> </w:t>
            </w:r>
          </w:p>
        </w:tc>
        <w:tc>
          <w:tcPr>
            <w:tcW w:w="255" w:type="dxa"/>
            <w:tcBorders/>
            <w:shd w:fill="auto" w:val="clear"/>
            <w:vAlign w:val="center"/>
          </w:tcPr>
          <w:p>
            <w:pPr>
              <w:pStyle w:val="TableContents"/>
              <w:spacing w:before="0" w:after="283"/>
              <w:rPr/>
            </w:pPr>
            <w:r>
              <w:rPr/>
              <w:t> </w:t>
            </w:r>
          </w:p>
        </w:tc>
        <w:tc>
          <w:tcPr>
            <w:tcW w:w="91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38 </w:t>
      </w:r>
    </w:p>
    <w:p>
      <w:pPr>
        <w:pStyle w:val="HorizontalLine"/>
        <w:pBdr>
          <w:bottom w:val="single" w:sz="20" w:space="0" w:color="808080"/>
        </w:pBdr>
        <w:rPr/>
      </w:pPr>
      <w:r>
        <w:rPr/>
      </w:r>
      <w:r>
        <w:br w:type="page"/>
      </w:r>
    </w:p>
    <w:p>
      <w:pPr>
        <w:pStyle w:val="Heading5"/>
        <w:jc w:val="left"/>
        <w:rPr/>
      </w:pPr>
      <w:r>
        <w:rPr/>
        <w:t> </w:t>
      </w:r>
    </w:p>
    <w:p>
      <w:pPr>
        <w:pStyle w:val="TextBody"/>
        <w:spacing w:before="225" w:after="283"/>
        <w:rPr>
          <w:rFonts w:ascii="Times New Roman;Times;serif" w:hAnsi="Times New Roman;Times;serif"/>
          <w:sz w:val="17"/>
          <w:u w:val="single"/>
        </w:rPr>
      </w:pPr>
      <w:r>
        <w:rPr>
          <w:rFonts w:ascii="Times New Roman;Times;serif" w:hAnsi="Times New Roman;Times;serif"/>
          <w:sz w:val="17"/>
          <w:u w:val="single"/>
        </w:rPr>
        <w:t>Condensed Consolidating Statements of Cash Flows</w:t>
      </w:r>
    </w:p>
    <w:tbl>
      <w:tblPr>
        <w:tblW w:w="5000" w:type="pct"/>
        <w:jc w:val="center"/>
        <w:tblInd w:w="0" w:type="dxa"/>
        <w:tblCellMar>
          <w:top w:w="0" w:type="dxa"/>
          <w:left w:w="0" w:type="dxa"/>
          <w:bottom w:w="0" w:type="dxa"/>
          <w:right w:w="0" w:type="dxa"/>
        </w:tblCellMar>
      </w:tblPr>
      <w:tblGrid>
        <w:gridCol w:w="3883"/>
        <w:gridCol w:w="303"/>
        <w:gridCol w:w="158"/>
        <w:gridCol w:w="837"/>
        <w:gridCol w:w="124"/>
        <w:gridCol w:w="303"/>
        <w:gridCol w:w="165"/>
        <w:gridCol w:w="974"/>
        <w:gridCol w:w="124"/>
        <w:gridCol w:w="303"/>
        <w:gridCol w:w="188"/>
        <w:gridCol w:w="1008"/>
        <w:gridCol w:w="124"/>
        <w:gridCol w:w="303"/>
        <w:gridCol w:w="184"/>
        <w:gridCol w:w="1093"/>
        <w:gridCol w:w="131"/>
      </w:tblGrid>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4184"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 Ended September 30, 2011</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jc w:val="center"/>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4184" w:type="dxa"/>
            <w:gridSpan w:val="10"/>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jc w:val="center"/>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39" w:type="dxa"/>
            <w:gridSpan w:val="2"/>
            <w:tcBorders>
              <w:bottom w:val="single" w:sz="2" w:space="0" w:color="000000"/>
            </w:tcBorders>
            <w:shd w:fill="auto" w:val="clear"/>
            <w:tcMar>
              <w:bottom w:w="28" w:type="dxa"/>
            </w:tcMar>
            <w:vAlign w:val="bottom"/>
          </w:tcPr>
          <w:p>
            <w:pPr>
              <w:pStyle w:val="TableContents"/>
              <w:spacing w:before="0" w:after="283"/>
              <w:jc w:val="center"/>
              <w:rPr/>
            </w:pPr>
            <w:r>
              <w:rPr/>
              <w:t xml:space="preserve">Subsidiary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96" w:type="dxa"/>
            <w:gridSpan w:val="2"/>
            <w:tcBorders>
              <w:bottom w:val="single" w:sz="2" w:space="0" w:color="000000"/>
            </w:tcBorders>
            <w:shd w:fill="auto" w:val="clear"/>
            <w:tcMar>
              <w:bottom w:w="28" w:type="dxa"/>
            </w:tcMar>
            <w:vAlign w:val="bottom"/>
          </w:tcPr>
          <w:p>
            <w:pPr>
              <w:pStyle w:val="TableContents"/>
              <w:spacing w:before="0" w:after="283"/>
              <w:jc w:val="center"/>
              <w:rPr/>
            </w:pPr>
            <w:r>
              <w:rPr/>
              <w:t>Other</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jc w:val="center"/>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pPr>
            <w:r>
              <w:rPr/>
              <w:t>Parent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39" w:type="dxa"/>
            <w:gridSpan w:val="2"/>
            <w:tcBorders>
              <w:bottom w:val="single" w:sz="2" w:space="0" w:color="000000"/>
            </w:tcBorders>
            <w:shd w:fill="auto" w:val="clear"/>
            <w:tcMar>
              <w:bottom w:w="28" w:type="dxa"/>
            </w:tcMar>
            <w:vAlign w:val="bottom"/>
          </w:tcPr>
          <w:p>
            <w:pPr>
              <w:pStyle w:val="TableContents"/>
              <w:spacing w:before="0" w:after="283"/>
              <w:jc w:val="center"/>
              <w:rPr/>
            </w:pPr>
            <w:r>
              <w:rPr/>
              <w:t>Guarantors</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96" w:type="dxa"/>
            <w:gridSpan w:val="2"/>
            <w:tcBorders>
              <w:bottom w:val="single" w:sz="2" w:space="0" w:color="000000"/>
            </w:tcBorders>
            <w:shd w:fill="auto" w:val="clear"/>
            <w:tcMar>
              <w:bottom w:w="28" w:type="dxa"/>
            </w:tcMar>
            <w:vAlign w:val="bottom"/>
          </w:tcPr>
          <w:p>
            <w:pPr>
              <w:pStyle w:val="TableContents"/>
              <w:spacing w:before="0" w:after="283"/>
              <w:jc w:val="center"/>
              <w:rPr/>
            </w:pPr>
            <w:r>
              <w:rPr/>
              <w:t>Subsidiaries</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77"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225" w:right="0" w:hanging="225"/>
              <w:rPr/>
            </w:pPr>
            <w:r>
              <w:rPr/>
              <w:t>Operating Activities: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Net income</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37" w:type="dxa"/>
            <w:tcBorders/>
            <w:shd w:fill="auto" w:val="clear"/>
            <w:vAlign w:val="bottom"/>
          </w:tcPr>
          <w:p>
            <w:pPr>
              <w:pStyle w:val="TableContents"/>
              <w:spacing w:before="0" w:after="283"/>
              <w:jc w:val="right"/>
              <w:rPr/>
            </w:pPr>
            <w:r>
              <w:rPr/>
              <w:t>18,531</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974" w:type="dxa"/>
            <w:tcBorders/>
            <w:shd w:fill="auto" w:val="clear"/>
            <w:vAlign w:val="bottom"/>
          </w:tcPr>
          <w:p>
            <w:pPr>
              <w:pStyle w:val="TableContents"/>
              <w:spacing w:before="0" w:after="283"/>
              <w:jc w:val="right"/>
              <w:rPr/>
            </w:pPr>
            <w:r>
              <w:rPr/>
              <w:t>105,462</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08" w:type="dxa"/>
            <w:tcBorders/>
            <w:shd w:fill="auto" w:val="clear"/>
            <w:vAlign w:val="bottom"/>
          </w:tcPr>
          <w:p>
            <w:pPr>
              <w:pStyle w:val="TableContents"/>
              <w:spacing w:before="0" w:after="283"/>
              <w:jc w:val="right"/>
              <w:rPr/>
            </w:pPr>
            <w:r>
              <w:rPr/>
              <w:t>(1,834</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93" w:type="dxa"/>
            <w:tcBorders/>
            <w:shd w:fill="auto" w:val="clear"/>
            <w:vAlign w:val="bottom"/>
          </w:tcPr>
          <w:p>
            <w:pPr>
              <w:pStyle w:val="TableContents"/>
              <w:spacing w:before="0" w:after="283"/>
              <w:jc w:val="right"/>
              <w:rPr/>
            </w:pPr>
            <w:r>
              <w:rPr/>
              <w:t>122,159</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675" w:right="0" w:hanging="225"/>
              <w:rPr/>
            </w:pPr>
            <w:r>
              <w:rPr/>
              <w:t>Depreciation and amortization</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14,726</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3,618</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18,344</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675" w:right="0" w:hanging="225"/>
              <w:rPr/>
            </w:pPr>
            <w:r>
              <w:rPr/>
              <w:t>Signature loan and auto title loan loss provisions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12,521</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2,531</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15,052</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675" w:right="0" w:hanging="225"/>
              <w:rPr/>
            </w:pPr>
            <w:r>
              <w:rPr/>
              <w:t>Deferred taxes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12,458</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191</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998</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13,647</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675" w:right="0" w:hanging="225"/>
              <w:rPr/>
            </w:pPr>
            <w:r>
              <w:rPr/>
              <w:t>(Gain) / loss on sale or disposal of assets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196</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113</w:t>
            </w:r>
          </w:p>
        </w:tc>
        <w:tc>
          <w:tcPr>
            <w:tcW w:w="124"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309</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675" w:right="0" w:hanging="225"/>
              <w:rPr/>
            </w:pPr>
            <w:r>
              <w:rPr/>
              <w:t>Stock compensation</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13,208</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13,208</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675" w:right="0" w:hanging="225"/>
              <w:rPr/>
            </w:pPr>
            <w:r>
              <w:rPr/>
              <w:t>Income from investments in unconsolidated affiliates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(8,945</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(7,292</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(16,237</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450" w:right="0" w:hanging="225"/>
              <w:rPr/>
            </w:pPr>
            <w:r>
              <w:rPr/>
              <w:t>Changes in operating assets and liabilities, net of business acquisitions: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675" w:right="0" w:hanging="225"/>
              <w:rPr/>
            </w:pPr>
            <w:r>
              <w:rPr/>
              <w:t>Service charges and fees receivable, net</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(2,300</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(698</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(2,998</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675" w:right="0" w:hanging="225"/>
              <w:rPr/>
            </w:pPr>
            <w:r>
              <w:rPr/>
              <w:t>Inventory, net</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(3,506</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(1,916</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(5,422</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675" w:right="0" w:hanging="225"/>
              <w:rPr/>
            </w:pPr>
            <w:r>
              <w:rPr/>
              <w:t>Prepaid expenses, other current assets, and other assets, net</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(66,473</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57,985</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(4,271</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(12,759</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675" w:right="0" w:hanging="225"/>
              <w:rPr/>
            </w:pPr>
            <w:r>
              <w:rPr/>
              <w:t>Accounts payable and accrued expenses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51,892</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(74,323</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29,312</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6,881</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675" w:right="0" w:hanging="225"/>
              <w:rPr/>
            </w:pPr>
            <w:r>
              <w:rPr/>
              <w:t>Customer layaway deposits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(402</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332</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(70</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675" w:right="0" w:hanging="225"/>
              <w:rPr/>
            </w:pPr>
            <w:r>
              <w:rPr/>
              <w:t>Deferred gains and other long-term liabilities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(423</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78</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(345</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675" w:right="0" w:hanging="225"/>
              <w:rPr/>
            </w:pPr>
            <w:r>
              <w:rPr/>
              <w:t>Excess tax benefit from stock compensation</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(3,230</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(3,230</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675" w:right="0" w:hanging="225"/>
              <w:rPr/>
            </w:pPr>
            <w:r>
              <w:rPr/>
              <w:t>Income taxes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1,706</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42</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(1,846</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(98</w:t>
            </w:r>
          </w:p>
        </w:tc>
        <w:tc>
          <w:tcPr>
            <w:tcW w:w="131" w:type="dxa"/>
            <w:tcBorders/>
            <w:shd w:fill="auto" w:val="clear"/>
            <w:vAlign w:val="bottom"/>
          </w:tcPr>
          <w:p>
            <w:pPr>
              <w:pStyle w:val="TableContents"/>
              <w:spacing w:before="0" w:after="283"/>
              <w:rPr/>
            </w:pPr>
            <w:r>
              <w:rPr/>
              <w:t>)</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900" w:right="0" w:hanging="225"/>
              <w:rPr/>
            </w:pPr>
            <w:r>
              <w:rPr/>
              <w:t>Net cash provided by (used in) operating activities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9,169</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112,855</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26,417</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148,441</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tcPr>
          <w:p>
            <w:pPr>
              <w:pStyle w:val="TableContents"/>
              <w:spacing w:before="0" w:after="0"/>
              <w:ind w:left="225" w:right="0" w:hanging="225"/>
              <w:rPr/>
            </w:pPr>
            <w:r>
              <w:rPr/>
              <w:t> </w:t>
            </w:r>
          </w:p>
        </w:tc>
        <w:tc>
          <w:tcPr>
            <w:tcW w:w="303" w:type="dxa"/>
            <w:tcBorders/>
            <w:shd w:fill="auto" w:val="clear"/>
          </w:tcPr>
          <w:p>
            <w:pPr>
              <w:pStyle w:val="TableContents"/>
              <w:spacing w:before="0" w:after="283"/>
              <w:rPr/>
            </w:pPr>
            <w:r>
              <w:rPr/>
              <w:t> </w:t>
            </w:r>
          </w:p>
        </w:tc>
        <w:tc>
          <w:tcPr>
            <w:tcW w:w="158" w:type="dxa"/>
            <w:tcBorders/>
            <w:shd w:fill="auto" w:val="clear"/>
          </w:tcPr>
          <w:p>
            <w:pPr>
              <w:pStyle w:val="TableContents"/>
              <w:spacing w:before="0" w:after="283"/>
              <w:rPr/>
            </w:pPr>
            <w:r>
              <w:rPr/>
              <w:t> </w:t>
            </w:r>
          </w:p>
        </w:tc>
        <w:tc>
          <w:tcPr>
            <w:tcW w:w="837"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65" w:type="dxa"/>
            <w:tcBorders/>
            <w:shd w:fill="auto" w:val="clear"/>
          </w:tcPr>
          <w:p>
            <w:pPr>
              <w:pStyle w:val="TableContents"/>
              <w:spacing w:before="0" w:after="283"/>
              <w:rPr/>
            </w:pPr>
            <w:r>
              <w:rPr/>
              <w:t> </w:t>
            </w:r>
          </w:p>
        </w:tc>
        <w:tc>
          <w:tcPr>
            <w:tcW w:w="974"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1008"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84" w:type="dxa"/>
            <w:tcBorders/>
            <w:shd w:fill="auto" w:val="clear"/>
          </w:tcPr>
          <w:p>
            <w:pPr>
              <w:pStyle w:val="TableContents"/>
              <w:spacing w:before="0" w:after="283"/>
              <w:rPr/>
            </w:pPr>
            <w:r>
              <w:rPr/>
              <w:t> </w:t>
            </w:r>
          </w:p>
        </w:tc>
        <w:tc>
          <w:tcPr>
            <w:tcW w:w="1093"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r>
      <w:tr>
        <w:trPr/>
        <w:tc>
          <w:tcPr>
            <w:tcW w:w="3883" w:type="dxa"/>
            <w:tcBorders/>
            <w:shd w:fill="auto" w:val="clear"/>
            <w:vAlign w:val="bottom"/>
          </w:tcPr>
          <w:p>
            <w:pPr>
              <w:pStyle w:val="TableContents"/>
              <w:spacing w:before="0" w:after="0"/>
              <w:ind w:left="225" w:right="0" w:hanging="225"/>
              <w:rPr/>
            </w:pPr>
            <w:r>
              <w:rPr/>
              <w:t>Investing Activities: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Loans made</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(554,138</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(98,265</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(652,403</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450" w:right="0" w:hanging="225"/>
              <w:rPr/>
            </w:pPr>
            <w:r>
              <w:rPr/>
              <w:t>Loans repaid</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339,574</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66,020</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405,594</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Recovery of pawn loan principal through sale of forfeited collateral</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183,441</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22,221</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205,662</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Additions to property and equipment</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(24,651</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(10,125</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(34,776</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450" w:right="0" w:hanging="225"/>
              <w:rPr/>
            </w:pPr>
            <w:r>
              <w:rPr/>
              <w:t>Proceeds on disposal of assets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Acquisitions, net of cash acquired</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(62,768</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(5,151</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(67,919</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450" w:right="0" w:hanging="225"/>
              <w:rPr/>
            </w:pPr>
            <w:r>
              <w:rPr/>
              <w:t>Investments in unconsolidated affiliates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Dividends from unconsolidated affiliates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4,118</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3,156</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7,274</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900" w:right="0" w:hanging="225"/>
              <w:rPr/>
            </w:pPr>
            <w:r>
              <w:rPr/>
              <w:t>Net cash provided by (used in) investing activities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4,118</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(115,386</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(25,300</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(136,568</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tcPr>
          <w:p>
            <w:pPr>
              <w:pStyle w:val="TableContents"/>
              <w:spacing w:before="0" w:after="0"/>
              <w:ind w:left="225" w:right="0" w:hanging="225"/>
              <w:rPr/>
            </w:pPr>
            <w:r>
              <w:rPr/>
              <w:t> </w:t>
            </w:r>
          </w:p>
        </w:tc>
        <w:tc>
          <w:tcPr>
            <w:tcW w:w="303" w:type="dxa"/>
            <w:tcBorders/>
            <w:shd w:fill="auto" w:val="clear"/>
          </w:tcPr>
          <w:p>
            <w:pPr>
              <w:pStyle w:val="TableContents"/>
              <w:spacing w:before="0" w:after="283"/>
              <w:rPr/>
            </w:pPr>
            <w:r>
              <w:rPr/>
              <w:t> </w:t>
            </w:r>
          </w:p>
        </w:tc>
        <w:tc>
          <w:tcPr>
            <w:tcW w:w="158" w:type="dxa"/>
            <w:tcBorders/>
            <w:shd w:fill="auto" w:val="clear"/>
          </w:tcPr>
          <w:p>
            <w:pPr>
              <w:pStyle w:val="TableContents"/>
              <w:spacing w:before="0" w:after="283"/>
              <w:rPr/>
            </w:pPr>
            <w:r>
              <w:rPr/>
              <w:t> </w:t>
            </w:r>
          </w:p>
        </w:tc>
        <w:tc>
          <w:tcPr>
            <w:tcW w:w="837"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65" w:type="dxa"/>
            <w:tcBorders/>
            <w:shd w:fill="auto" w:val="clear"/>
          </w:tcPr>
          <w:p>
            <w:pPr>
              <w:pStyle w:val="TableContents"/>
              <w:spacing w:before="0" w:after="283"/>
              <w:rPr/>
            </w:pPr>
            <w:r>
              <w:rPr/>
              <w:t> </w:t>
            </w:r>
          </w:p>
        </w:tc>
        <w:tc>
          <w:tcPr>
            <w:tcW w:w="974"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1008"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84" w:type="dxa"/>
            <w:tcBorders/>
            <w:shd w:fill="auto" w:val="clear"/>
          </w:tcPr>
          <w:p>
            <w:pPr>
              <w:pStyle w:val="TableContents"/>
              <w:spacing w:before="0" w:after="283"/>
              <w:rPr/>
            </w:pPr>
            <w:r>
              <w:rPr/>
              <w:t> </w:t>
            </w:r>
          </w:p>
        </w:tc>
        <w:tc>
          <w:tcPr>
            <w:tcW w:w="1093"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r>
      <w:tr>
        <w:trPr/>
        <w:tc>
          <w:tcPr>
            <w:tcW w:w="3883" w:type="dxa"/>
            <w:tcBorders/>
            <w:shd w:fill="auto" w:val="clear"/>
            <w:vAlign w:val="bottom"/>
          </w:tcPr>
          <w:p>
            <w:pPr>
              <w:pStyle w:val="TableContents"/>
              <w:spacing w:before="0" w:after="0"/>
              <w:ind w:left="225" w:right="0" w:hanging="225"/>
              <w:rPr/>
            </w:pPr>
            <w:r>
              <w:rPr/>
              <w:t>Financing Activities: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Proceeds from exercise of stock options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397</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397</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Stock issuance costs related to acquisitions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Excess tax benefit from stock compensation</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3,230</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3,230</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Debt issuance costs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37" w:type="dxa"/>
            <w:tcBorders/>
            <w:shd w:fill="auto" w:val="clear"/>
            <w:vAlign w:val="bottom"/>
          </w:tcPr>
          <w:p>
            <w:pPr>
              <w:pStyle w:val="TableContents"/>
              <w:spacing w:before="0" w:after="283"/>
              <w:jc w:val="right"/>
              <w:rPr/>
            </w:pPr>
            <w:r>
              <w:rPr/>
              <w:t>(1,930</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(467</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(2,397</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450" w:right="0" w:hanging="225"/>
              <w:rPr/>
            </w:pPr>
            <w:r>
              <w:rPr/>
              <w:t>Taxes paid related to net share settlement of equity awards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(7,484</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(7,484</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450" w:right="0" w:hanging="225"/>
              <w:rPr/>
            </w:pPr>
            <w:r>
              <w:rPr/>
              <w:t>Proceeds on revolving line of credit</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164,500</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164,500</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Payments  on revolving line of credit</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(147,000</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(147,000</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450" w:right="0" w:hanging="225"/>
              <w:rPr/>
            </w:pPr>
            <w:r>
              <w:rPr/>
              <w:t>Proceeds from bank borrowings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2,500</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(2,500</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Payments on bank borrowings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(10,000</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(15,004</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(25,004</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auto" w:val="clear"/>
            <w:vAlign w:val="bottom"/>
          </w:tcPr>
          <w:p>
            <w:pPr>
              <w:pStyle w:val="TableContents"/>
              <w:spacing w:before="0" w:after="0"/>
              <w:ind w:left="900" w:right="0" w:hanging="225"/>
              <w:rPr/>
            </w:pPr>
            <w:r>
              <w:rPr/>
              <w:t>Net cash provided by (used in) financing activities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37" w:type="dxa"/>
            <w:tcBorders/>
            <w:shd w:fill="auto" w:val="clear"/>
            <w:vAlign w:val="bottom"/>
          </w:tcPr>
          <w:p>
            <w:pPr>
              <w:pStyle w:val="TableContents"/>
              <w:spacing w:before="0" w:after="283"/>
              <w:jc w:val="right"/>
              <w:rPr/>
            </w:pPr>
            <w:r>
              <w:rPr/>
              <w:t>(13,287</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(471</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13,758</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auto" w:val="clear"/>
          </w:tcPr>
          <w:p>
            <w:pPr>
              <w:pStyle w:val="TableContents"/>
              <w:spacing w:before="0" w:after="0"/>
              <w:ind w:left="225" w:right="0" w:hanging="225"/>
              <w:rPr/>
            </w:pPr>
            <w:r>
              <w:rPr/>
              <w:t> </w:t>
            </w:r>
          </w:p>
        </w:tc>
        <w:tc>
          <w:tcPr>
            <w:tcW w:w="303" w:type="dxa"/>
            <w:tcBorders/>
            <w:shd w:fill="auto" w:val="clear"/>
          </w:tcPr>
          <w:p>
            <w:pPr>
              <w:pStyle w:val="TableContents"/>
              <w:spacing w:before="0" w:after="283"/>
              <w:rPr/>
            </w:pPr>
            <w:r>
              <w:rPr/>
              <w:t> </w:t>
            </w:r>
          </w:p>
        </w:tc>
        <w:tc>
          <w:tcPr>
            <w:tcW w:w="158" w:type="dxa"/>
            <w:tcBorders/>
            <w:shd w:fill="auto" w:val="clear"/>
          </w:tcPr>
          <w:p>
            <w:pPr>
              <w:pStyle w:val="TableContents"/>
              <w:spacing w:before="0" w:after="283"/>
              <w:rPr/>
            </w:pPr>
            <w:r>
              <w:rPr/>
              <w:t> </w:t>
            </w:r>
          </w:p>
        </w:tc>
        <w:tc>
          <w:tcPr>
            <w:tcW w:w="837"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65" w:type="dxa"/>
            <w:tcBorders/>
            <w:shd w:fill="auto" w:val="clear"/>
          </w:tcPr>
          <w:p>
            <w:pPr>
              <w:pStyle w:val="TableContents"/>
              <w:spacing w:before="0" w:after="283"/>
              <w:rPr/>
            </w:pPr>
            <w:r>
              <w:rPr/>
              <w:t> </w:t>
            </w:r>
          </w:p>
        </w:tc>
        <w:tc>
          <w:tcPr>
            <w:tcW w:w="974"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1008"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84" w:type="dxa"/>
            <w:tcBorders/>
            <w:shd w:fill="auto" w:val="clear"/>
          </w:tcPr>
          <w:p>
            <w:pPr>
              <w:pStyle w:val="TableContents"/>
              <w:spacing w:before="0" w:after="283"/>
              <w:rPr/>
            </w:pPr>
            <w:r>
              <w:rPr/>
              <w:t> </w:t>
            </w:r>
          </w:p>
        </w:tc>
        <w:tc>
          <w:tcPr>
            <w:tcW w:w="1093"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Net (decrease) increase in cash and cash equivalents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(3,002</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1,117</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(1,885</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450" w:right="0" w:hanging="225"/>
              <w:rPr/>
            </w:pPr>
            <w:r>
              <w:rPr/>
              <w:t>Cash and equivalents at beginning of period</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23,862</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1,992</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25,854</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Cash and equivalents at end of period</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974" w:type="dxa"/>
            <w:tcBorders/>
            <w:shd w:fill="CCEEFF" w:val="clear"/>
            <w:vAlign w:val="bottom"/>
          </w:tcPr>
          <w:p>
            <w:pPr>
              <w:pStyle w:val="TableContents"/>
              <w:spacing w:before="0" w:after="283"/>
              <w:jc w:val="right"/>
              <w:rPr/>
            </w:pPr>
            <w:r>
              <w:rPr/>
              <w:t>20,860</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08" w:type="dxa"/>
            <w:tcBorders/>
            <w:shd w:fill="CCEEFF" w:val="clear"/>
            <w:vAlign w:val="bottom"/>
          </w:tcPr>
          <w:p>
            <w:pPr>
              <w:pStyle w:val="TableContents"/>
              <w:spacing w:before="0" w:after="283"/>
              <w:jc w:val="right"/>
              <w:rPr/>
            </w:pPr>
            <w:r>
              <w:rPr/>
              <w:t>3,109</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93" w:type="dxa"/>
            <w:tcBorders/>
            <w:shd w:fill="CCEEFF" w:val="clear"/>
            <w:vAlign w:val="bottom"/>
          </w:tcPr>
          <w:p>
            <w:pPr>
              <w:pStyle w:val="TableContents"/>
              <w:spacing w:before="0" w:after="283"/>
              <w:jc w:val="right"/>
              <w:rPr/>
            </w:pPr>
            <w:r>
              <w:rPr/>
              <w:t>23,969</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39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883"/>
        <w:gridCol w:w="303"/>
        <w:gridCol w:w="158"/>
        <w:gridCol w:w="837"/>
        <w:gridCol w:w="124"/>
        <w:gridCol w:w="303"/>
        <w:gridCol w:w="165"/>
        <w:gridCol w:w="974"/>
        <w:gridCol w:w="124"/>
        <w:gridCol w:w="303"/>
        <w:gridCol w:w="188"/>
        <w:gridCol w:w="1008"/>
        <w:gridCol w:w="124"/>
        <w:gridCol w:w="303"/>
        <w:gridCol w:w="184"/>
        <w:gridCol w:w="1093"/>
        <w:gridCol w:w="131"/>
      </w:tblGrid>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4184"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 Ended September 30, 2010</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jc w:val="center"/>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4184" w:type="dxa"/>
            <w:gridSpan w:val="10"/>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jc w:val="center"/>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39" w:type="dxa"/>
            <w:gridSpan w:val="2"/>
            <w:tcBorders>
              <w:bottom w:val="single" w:sz="2" w:space="0" w:color="000000"/>
            </w:tcBorders>
            <w:shd w:fill="auto" w:val="clear"/>
            <w:tcMar>
              <w:bottom w:w="28" w:type="dxa"/>
            </w:tcMar>
            <w:vAlign w:val="bottom"/>
          </w:tcPr>
          <w:p>
            <w:pPr>
              <w:pStyle w:val="TableContents"/>
              <w:spacing w:before="0" w:after="283"/>
              <w:jc w:val="center"/>
              <w:rPr/>
            </w:pPr>
            <w:r>
              <w:rPr/>
              <w:t xml:space="preserve">Subsidiary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96" w:type="dxa"/>
            <w:gridSpan w:val="2"/>
            <w:tcBorders>
              <w:bottom w:val="single" w:sz="2" w:space="0" w:color="000000"/>
            </w:tcBorders>
            <w:shd w:fill="auto" w:val="clear"/>
            <w:tcMar>
              <w:bottom w:w="28" w:type="dxa"/>
            </w:tcMar>
            <w:vAlign w:val="bottom"/>
          </w:tcPr>
          <w:p>
            <w:pPr>
              <w:pStyle w:val="TableContents"/>
              <w:spacing w:before="0" w:after="283"/>
              <w:jc w:val="center"/>
              <w:rPr/>
            </w:pPr>
            <w:r>
              <w:rPr/>
              <w:t>Other</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jc w:val="center"/>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pPr>
            <w:r>
              <w:rPr/>
              <w:t>Parent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39" w:type="dxa"/>
            <w:gridSpan w:val="2"/>
            <w:tcBorders>
              <w:bottom w:val="single" w:sz="2" w:space="0" w:color="000000"/>
            </w:tcBorders>
            <w:shd w:fill="auto" w:val="clear"/>
            <w:tcMar>
              <w:bottom w:w="28" w:type="dxa"/>
            </w:tcMar>
            <w:vAlign w:val="bottom"/>
          </w:tcPr>
          <w:p>
            <w:pPr>
              <w:pStyle w:val="TableContents"/>
              <w:spacing w:before="0" w:after="283"/>
              <w:jc w:val="center"/>
              <w:rPr/>
            </w:pPr>
            <w:r>
              <w:rPr/>
              <w:t>Guarantors</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96" w:type="dxa"/>
            <w:gridSpan w:val="2"/>
            <w:tcBorders>
              <w:bottom w:val="single" w:sz="2" w:space="0" w:color="000000"/>
            </w:tcBorders>
            <w:shd w:fill="auto" w:val="clear"/>
            <w:tcMar>
              <w:bottom w:w="28" w:type="dxa"/>
            </w:tcMar>
            <w:vAlign w:val="bottom"/>
          </w:tcPr>
          <w:p>
            <w:pPr>
              <w:pStyle w:val="TableContents"/>
              <w:spacing w:before="0" w:after="283"/>
              <w:jc w:val="center"/>
              <w:rPr/>
            </w:pPr>
            <w:r>
              <w:rPr/>
              <w:t>Subsidiaries</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77"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225" w:right="0" w:hanging="225"/>
              <w:rPr/>
            </w:pPr>
            <w:r>
              <w:rPr/>
              <w:t>Operating Activities: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Net income</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37" w:type="dxa"/>
            <w:tcBorders/>
            <w:shd w:fill="auto" w:val="clear"/>
            <w:vAlign w:val="bottom"/>
          </w:tcPr>
          <w:p>
            <w:pPr>
              <w:pStyle w:val="TableContents"/>
              <w:spacing w:before="0" w:after="283"/>
              <w:jc w:val="right"/>
              <w:rPr/>
            </w:pPr>
            <w:r>
              <w:rPr/>
              <w:t>12,868</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974" w:type="dxa"/>
            <w:tcBorders/>
            <w:shd w:fill="auto" w:val="clear"/>
            <w:vAlign w:val="bottom"/>
          </w:tcPr>
          <w:p>
            <w:pPr>
              <w:pStyle w:val="TableContents"/>
              <w:spacing w:before="0" w:after="283"/>
              <w:jc w:val="right"/>
              <w:rPr/>
            </w:pPr>
            <w:r>
              <w:rPr/>
              <w:t>88,112</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08" w:type="dxa"/>
            <w:tcBorders/>
            <w:shd w:fill="auto" w:val="clear"/>
            <w:vAlign w:val="bottom"/>
          </w:tcPr>
          <w:p>
            <w:pPr>
              <w:pStyle w:val="TableContents"/>
              <w:spacing w:before="0" w:after="283"/>
              <w:jc w:val="right"/>
              <w:rPr/>
            </w:pPr>
            <w:r>
              <w:rPr/>
              <w:t>(3,686</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93" w:type="dxa"/>
            <w:tcBorders/>
            <w:shd w:fill="auto" w:val="clear"/>
            <w:vAlign w:val="bottom"/>
          </w:tcPr>
          <w:p>
            <w:pPr>
              <w:pStyle w:val="TableContents"/>
              <w:spacing w:before="0" w:after="283"/>
              <w:jc w:val="right"/>
              <w:rPr/>
            </w:pPr>
            <w:r>
              <w:rPr/>
              <w:t>97,294</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675" w:right="0" w:hanging="225"/>
              <w:rPr/>
            </w:pPr>
            <w:r>
              <w:rPr/>
              <w:t>Depreciation and amortization</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12,627</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2,034</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14,661</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675" w:right="0" w:hanging="225"/>
              <w:rPr/>
            </w:pPr>
            <w:r>
              <w:rPr/>
              <w:t>Signature loan and auto title loan loss provisions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10,494</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1,094</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11,588</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675" w:right="0" w:hanging="225"/>
              <w:rPr/>
            </w:pPr>
            <w:r>
              <w:rPr/>
              <w:t>Deferred taxes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37" w:type="dxa"/>
            <w:tcBorders/>
            <w:shd w:fill="auto" w:val="clear"/>
            <w:vAlign w:val="bottom"/>
          </w:tcPr>
          <w:p>
            <w:pPr>
              <w:pStyle w:val="TableContents"/>
              <w:spacing w:before="0" w:after="283"/>
              <w:jc w:val="right"/>
              <w:rPr/>
            </w:pPr>
            <w:r>
              <w:rPr/>
              <w:t>(3,022</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1,660</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75</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(1,287</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675" w:right="0" w:hanging="225"/>
              <w:rPr/>
            </w:pPr>
            <w:r>
              <w:rPr/>
              <w:t>(Gain) / loss on sale or disposal of assets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1,472</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56</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1,528</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675" w:right="0" w:hanging="225"/>
              <w:rPr/>
            </w:pPr>
            <w:r>
              <w:rPr/>
              <w:t>Stock compensation</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4,512</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4,512</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675" w:right="0" w:hanging="225"/>
              <w:rPr/>
            </w:pPr>
            <w:r>
              <w:rPr/>
              <w:t>Income from investments in unconsolidated affiliates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(3,928</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(6,822</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(10,750</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450" w:right="0" w:hanging="225"/>
              <w:rPr/>
            </w:pPr>
            <w:r>
              <w:rPr/>
              <w:t>Changes in operating assets and liabilities, net of business acquisitions: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675" w:right="0" w:hanging="225"/>
              <w:rPr/>
            </w:pPr>
            <w:r>
              <w:rPr/>
              <w:t>Service charges and fees receivable, net</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(3,742</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(570</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(4,312</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675" w:right="0" w:hanging="225"/>
              <w:rPr/>
            </w:pPr>
            <w:r>
              <w:rPr/>
              <w:t>Inventory, net</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(1,773</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(371</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(2,144</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675" w:right="0" w:hanging="225"/>
              <w:rPr/>
            </w:pPr>
            <w:r>
              <w:rPr/>
              <w:t>Prepaid expenses, other current assets, and other assets, net</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397</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(3,983</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(2,691</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(6,277</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675" w:right="0" w:hanging="225"/>
              <w:rPr/>
            </w:pPr>
            <w:r>
              <w:rPr/>
              <w:t>Accounts payable and accrued expenses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50,659</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(57,510</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22,443</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15,592</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675" w:right="0" w:hanging="225"/>
              <w:rPr/>
            </w:pPr>
            <w:r>
              <w:rPr/>
              <w:t>Customer layaway deposits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1,780</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44</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1,824</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675" w:right="0" w:hanging="225"/>
              <w:rPr/>
            </w:pPr>
            <w:r>
              <w:rPr/>
              <w:t>Deferred gains and other long-term liabilities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(422</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(314</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(736</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675" w:right="0" w:hanging="225"/>
              <w:rPr/>
            </w:pPr>
            <w:r>
              <w:rPr/>
              <w:t>Excess tax benefit from stock compensation</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(1,861</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(1,861</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675" w:right="0" w:hanging="225"/>
              <w:rPr/>
            </w:pPr>
            <w:r>
              <w:rPr/>
              <w:t>Income taxes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5,841</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270</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(1,018</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5,093</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900" w:right="0" w:hanging="225"/>
              <w:rPr/>
            </w:pPr>
            <w:r>
              <w:rPr/>
              <w:t>Net cash provided by (used in) operating activities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62,815</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44,814</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17,096</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124,725</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tcPr>
          <w:p>
            <w:pPr>
              <w:pStyle w:val="TableContents"/>
              <w:spacing w:before="0" w:after="0"/>
              <w:ind w:left="225" w:right="0" w:hanging="225"/>
              <w:rPr/>
            </w:pPr>
            <w:r>
              <w:rPr/>
              <w:t> </w:t>
            </w:r>
          </w:p>
        </w:tc>
        <w:tc>
          <w:tcPr>
            <w:tcW w:w="303" w:type="dxa"/>
            <w:tcBorders/>
            <w:shd w:fill="auto" w:val="clear"/>
          </w:tcPr>
          <w:p>
            <w:pPr>
              <w:pStyle w:val="TableContents"/>
              <w:spacing w:before="0" w:after="283"/>
              <w:rPr/>
            </w:pPr>
            <w:r>
              <w:rPr/>
              <w:t> </w:t>
            </w:r>
          </w:p>
        </w:tc>
        <w:tc>
          <w:tcPr>
            <w:tcW w:w="158" w:type="dxa"/>
            <w:tcBorders/>
            <w:shd w:fill="auto" w:val="clear"/>
          </w:tcPr>
          <w:p>
            <w:pPr>
              <w:pStyle w:val="TableContents"/>
              <w:spacing w:before="0" w:after="283"/>
              <w:rPr/>
            </w:pPr>
            <w:r>
              <w:rPr/>
              <w:t> </w:t>
            </w:r>
          </w:p>
        </w:tc>
        <w:tc>
          <w:tcPr>
            <w:tcW w:w="837"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65" w:type="dxa"/>
            <w:tcBorders/>
            <w:shd w:fill="auto" w:val="clear"/>
          </w:tcPr>
          <w:p>
            <w:pPr>
              <w:pStyle w:val="TableContents"/>
              <w:spacing w:before="0" w:after="283"/>
              <w:rPr/>
            </w:pPr>
            <w:r>
              <w:rPr/>
              <w:t> </w:t>
            </w:r>
          </w:p>
        </w:tc>
        <w:tc>
          <w:tcPr>
            <w:tcW w:w="974"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1008"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84" w:type="dxa"/>
            <w:tcBorders/>
            <w:shd w:fill="auto" w:val="clear"/>
          </w:tcPr>
          <w:p>
            <w:pPr>
              <w:pStyle w:val="TableContents"/>
              <w:spacing w:before="0" w:after="283"/>
              <w:rPr/>
            </w:pPr>
            <w:r>
              <w:rPr/>
              <w:t> </w:t>
            </w:r>
          </w:p>
        </w:tc>
        <w:tc>
          <w:tcPr>
            <w:tcW w:w="1093"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r>
      <w:tr>
        <w:trPr/>
        <w:tc>
          <w:tcPr>
            <w:tcW w:w="3883" w:type="dxa"/>
            <w:tcBorders/>
            <w:shd w:fill="auto" w:val="clear"/>
            <w:vAlign w:val="bottom"/>
          </w:tcPr>
          <w:p>
            <w:pPr>
              <w:pStyle w:val="TableContents"/>
              <w:spacing w:before="0" w:after="0"/>
              <w:ind w:left="225" w:right="0" w:hanging="225"/>
              <w:rPr/>
            </w:pPr>
            <w:r>
              <w:rPr/>
              <w:t>Investing Activities: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Loans made</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(504,305</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(41,274</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(545,579</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450" w:right="0" w:hanging="225"/>
              <w:rPr/>
            </w:pPr>
            <w:r>
              <w:rPr/>
              <w:t>Loans repaid</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313,255</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22,577</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335,832</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Recovery of pawn loan principal through sale of forfeited collateral</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162,407</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11,817</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174,224</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Additions to property and equipment</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(16,503</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(9,238</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(25,741</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450" w:right="0" w:hanging="225"/>
              <w:rPr/>
            </w:pPr>
            <w:r>
              <w:rPr/>
              <w:t>Proceeds on disposal of assets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1,347</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1,347</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Acquisitions, net of cash acquired</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(21,837</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(21,837</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450" w:right="0" w:hanging="225"/>
              <w:rPr/>
            </w:pPr>
            <w:r>
              <w:rPr/>
              <w:t>Investments in unconsolidated affiliates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(57,772</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(1,416</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(59,188</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450" w:right="0" w:hanging="225"/>
              <w:rPr/>
            </w:pPr>
            <w:r>
              <w:rPr/>
              <w:t>Dividends from unconsolidated affiliates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1,494</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2,347</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3,841</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900" w:right="0" w:hanging="225"/>
              <w:rPr/>
            </w:pPr>
            <w:r>
              <w:rPr/>
              <w:t>Net cash provided by (used in) investing activities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(56,278</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(64,705</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(16,118</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(137,101</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tcPr>
          <w:p>
            <w:pPr>
              <w:pStyle w:val="TableContents"/>
              <w:spacing w:before="0" w:after="0"/>
              <w:ind w:left="225" w:right="0" w:hanging="225"/>
              <w:rPr/>
            </w:pPr>
            <w:r>
              <w:rPr/>
              <w:t> </w:t>
            </w:r>
          </w:p>
        </w:tc>
        <w:tc>
          <w:tcPr>
            <w:tcW w:w="303" w:type="dxa"/>
            <w:tcBorders/>
            <w:shd w:fill="auto" w:val="clear"/>
          </w:tcPr>
          <w:p>
            <w:pPr>
              <w:pStyle w:val="TableContents"/>
              <w:spacing w:before="0" w:after="283"/>
              <w:rPr/>
            </w:pPr>
            <w:r>
              <w:rPr/>
              <w:t> </w:t>
            </w:r>
          </w:p>
        </w:tc>
        <w:tc>
          <w:tcPr>
            <w:tcW w:w="158" w:type="dxa"/>
            <w:tcBorders/>
            <w:shd w:fill="auto" w:val="clear"/>
          </w:tcPr>
          <w:p>
            <w:pPr>
              <w:pStyle w:val="TableContents"/>
              <w:spacing w:before="0" w:after="283"/>
              <w:rPr/>
            </w:pPr>
            <w:r>
              <w:rPr/>
              <w:t> </w:t>
            </w:r>
          </w:p>
        </w:tc>
        <w:tc>
          <w:tcPr>
            <w:tcW w:w="837"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65" w:type="dxa"/>
            <w:tcBorders/>
            <w:shd w:fill="auto" w:val="clear"/>
          </w:tcPr>
          <w:p>
            <w:pPr>
              <w:pStyle w:val="TableContents"/>
              <w:spacing w:before="0" w:after="283"/>
              <w:rPr/>
            </w:pPr>
            <w:r>
              <w:rPr/>
              <w:t> </w:t>
            </w:r>
          </w:p>
        </w:tc>
        <w:tc>
          <w:tcPr>
            <w:tcW w:w="974"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1008"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84" w:type="dxa"/>
            <w:tcBorders/>
            <w:shd w:fill="auto" w:val="clear"/>
          </w:tcPr>
          <w:p>
            <w:pPr>
              <w:pStyle w:val="TableContents"/>
              <w:spacing w:before="0" w:after="283"/>
              <w:rPr/>
            </w:pPr>
            <w:r>
              <w:rPr/>
              <w:t> </w:t>
            </w:r>
          </w:p>
        </w:tc>
        <w:tc>
          <w:tcPr>
            <w:tcW w:w="1093"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r>
      <w:tr>
        <w:trPr/>
        <w:tc>
          <w:tcPr>
            <w:tcW w:w="3883" w:type="dxa"/>
            <w:tcBorders/>
            <w:shd w:fill="auto" w:val="clear"/>
            <w:vAlign w:val="bottom"/>
          </w:tcPr>
          <w:p>
            <w:pPr>
              <w:pStyle w:val="TableContents"/>
              <w:spacing w:before="0" w:after="0"/>
              <w:ind w:left="225" w:right="0" w:hanging="225"/>
              <w:rPr/>
            </w:pPr>
            <w:r>
              <w:rPr/>
              <w:t>Financing Activities: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Proceeds from exercise of stock options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1,602</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1,602</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Stock issuance costs related to acquisitions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Excess tax benefit from stock compensation</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1,861</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1,861</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Debt issuance costs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3</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3</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Taxes paid related to net share settlement of equity awards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Proceeds on revolving line of credit</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63,050</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63,050</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Payments on revolving line of credit</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(63,050</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(63,050</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450" w:right="0" w:hanging="225"/>
              <w:rPr/>
            </w:pPr>
            <w:r>
              <w:rPr/>
              <w:t>Proceeds from bank borrowings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Payments on bank borrowings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(10,000</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(10,000</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auto" w:val="clear"/>
            <w:vAlign w:val="bottom"/>
          </w:tcPr>
          <w:p>
            <w:pPr>
              <w:pStyle w:val="TableContents"/>
              <w:spacing w:before="0" w:after="0"/>
              <w:ind w:left="900" w:right="0" w:hanging="225"/>
              <w:rPr/>
            </w:pPr>
            <w:r>
              <w:rPr/>
              <w:t>Net cash provided by (used in) financing activities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37" w:type="dxa"/>
            <w:tcBorders/>
            <w:shd w:fill="auto" w:val="clear"/>
            <w:vAlign w:val="bottom"/>
          </w:tcPr>
          <w:p>
            <w:pPr>
              <w:pStyle w:val="TableContents"/>
              <w:spacing w:before="0" w:after="283"/>
              <w:jc w:val="right"/>
              <w:rPr/>
            </w:pPr>
            <w:r>
              <w:rPr/>
              <w:t>(6,537</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3</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(6,534</w:t>
            </w:r>
          </w:p>
        </w:tc>
        <w:tc>
          <w:tcPr>
            <w:tcW w:w="131" w:type="dxa"/>
            <w:tcBorders/>
            <w:shd w:fill="auto" w:val="clear"/>
            <w:vAlign w:val="bottom"/>
          </w:tcPr>
          <w:p>
            <w:pPr>
              <w:pStyle w:val="TableContents"/>
              <w:spacing w:before="0" w:after="283"/>
              <w:rPr/>
            </w:pPr>
            <w:r>
              <w:rPr/>
              <w:t>)</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auto" w:val="clear"/>
          </w:tcPr>
          <w:p>
            <w:pPr>
              <w:pStyle w:val="TableContents"/>
              <w:spacing w:before="0" w:after="0"/>
              <w:ind w:left="225" w:right="0" w:hanging="225"/>
              <w:rPr/>
            </w:pPr>
            <w:r>
              <w:rPr/>
              <w:t> </w:t>
            </w:r>
          </w:p>
        </w:tc>
        <w:tc>
          <w:tcPr>
            <w:tcW w:w="303" w:type="dxa"/>
            <w:tcBorders/>
            <w:shd w:fill="auto" w:val="clear"/>
          </w:tcPr>
          <w:p>
            <w:pPr>
              <w:pStyle w:val="TableContents"/>
              <w:spacing w:before="0" w:after="283"/>
              <w:rPr/>
            </w:pPr>
            <w:r>
              <w:rPr/>
              <w:t> </w:t>
            </w:r>
          </w:p>
        </w:tc>
        <w:tc>
          <w:tcPr>
            <w:tcW w:w="158" w:type="dxa"/>
            <w:tcBorders/>
            <w:shd w:fill="auto" w:val="clear"/>
          </w:tcPr>
          <w:p>
            <w:pPr>
              <w:pStyle w:val="TableContents"/>
              <w:spacing w:before="0" w:after="283"/>
              <w:rPr/>
            </w:pPr>
            <w:r>
              <w:rPr/>
              <w:t> </w:t>
            </w:r>
          </w:p>
        </w:tc>
        <w:tc>
          <w:tcPr>
            <w:tcW w:w="837"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65" w:type="dxa"/>
            <w:tcBorders/>
            <w:shd w:fill="auto" w:val="clear"/>
          </w:tcPr>
          <w:p>
            <w:pPr>
              <w:pStyle w:val="TableContents"/>
              <w:spacing w:before="0" w:after="283"/>
              <w:rPr/>
            </w:pPr>
            <w:r>
              <w:rPr/>
              <w:t> </w:t>
            </w:r>
          </w:p>
        </w:tc>
        <w:tc>
          <w:tcPr>
            <w:tcW w:w="974"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88" w:type="dxa"/>
            <w:tcBorders/>
            <w:shd w:fill="auto" w:val="clear"/>
          </w:tcPr>
          <w:p>
            <w:pPr>
              <w:pStyle w:val="TableContents"/>
              <w:spacing w:before="0" w:after="283"/>
              <w:rPr/>
            </w:pPr>
            <w:r>
              <w:rPr/>
              <w:t> </w:t>
            </w:r>
          </w:p>
        </w:tc>
        <w:tc>
          <w:tcPr>
            <w:tcW w:w="1008" w:type="dxa"/>
            <w:tcBorders/>
            <w:shd w:fill="auto" w:val="clear"/>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84" w:type="dxa"/>
            <w:tcBorders/>
            <w:shd w:fill="auto" w:val="clear"/>
          </w:tcPr>
          <w:p>
            <w:pPr>
              <w:pStyle w:val="TableContents"/>
              <w:spacing w:before="0" w:after="283"/>
              <w:rPr/>
            </w:pPr>
            <w:r>
              <w:rPr/>
              <w:t> </w:t>
            </w:r>
          </w:p>
        </w:tc>
        <w:tc>
          <w:tcPr>
            <w:tcW w:w="1093" w:type="dxa"/>
            <w:tcBorders/>
            <w:shd w:fill="auto" w:val="clear"/>
          </w:tcPr>
          <w:p>
            <w:pPr>
              <w:pStyle w:val="TableContents"/>
              <w:spacing w:before="0" w:after="283"/>
              <w:rPr/>
            </w:pPr>
            <w:r>
              <w:rPr/>
              <w:t> </w:t>
            </w:r>
          </w:p>
        </w:tc>
        <w:tc>
          <w:tcPr>
            <w:tcW w:w="131" w:type="dxa"/>
            <w:tcBorders/>
            <w:shd w:fill="auto" w:val="clear"/>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Net (decrease) increase in cash and cash equivalents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(19,888</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978</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(18,910</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450" w:right="0" w:hanging="225"/>
              <w:rPr/>
            </w:pPr>
            <w:r>
              <w:rPr/>
              <w:t>Cash and equivalents at beginning of period</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43,750</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1,014</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44,764</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Cash and equivalents at end of period</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974" w:type="dxa"/>
            <w:tcBorders/>
            <w:shd w:fill="CCEEFF" w:val="clear"/>
            <w:vAlign w:val="bottom"/>
          </w:tcPr>
          <w:p>
            <w:pPr>
              <w:pStyle w:val="TableContents"/>
              <w:spacing w:before="0" w:after="283"/>
              <w:jc w:val="right"/>
              <w:rPr/>
            </w:pPr>
            <w:r>
              <w:rPr/>
              <w:t>23,862</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08" w:type="dxa"/>
            <w:tcBorders/>
            <w:shd w:fill="CCEEFF" w:val="clear"/>
            <w:vAlign w:val="bottom"/>
          </w:tcPr>
          <w:p>
            <w:pPr>
              <w:pStyle w:val="TableContents"/>
              <w:spacing w:before="0" w:after="283"/>
              <w:jc w:val="right"/>
              <w:rPr/>
            </w:pPr>
            <w:r>
              <w:rPr/>
              <w:t>1,992</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1093" w:type="dxa"/>
            <w:tcBorders/>
            <w:shd w:fill="CCEEFF" w:val="clear"/>
            <w:vAlign w:val="bottom"/>
          </w:tcPr>
          <w:p>
            <w:pPr>
              <w:pStyle w:val="TableContents"/>
              <w:spacing w:before="0" w:after="283"/>
              <w:jc w:val="right"/>
              <w:rPr/>
            </w:pPr>
            <w:r>
              <w:rPr/>
              <w:t>25,854</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40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883"/>
        <w:gridCol w:w="303"/>
        <w:gridCol w:w="158"/>
        <w:gridCol w:w="837"/>
        <w:gridCol w:w="124"/>
        <w:gridCol w:w="303"/>
        <w:gridCol w:w="165"/>
        <w:gridCol w:w="974"/>
        <w:gridCol w:w="124"/>
        <w:gridCol w:w="303"/>
        <w:gridCol w:w="188"/>
        <w:gridCol w:w="1008"/>
        <w:gridCol w:w="124"/>
        <w:gridCol w:w="303"/>
        <w:gridCol w:w="184"/>
        <w:gridCol w:w="1093"/>
        <w:gridCol w:w="131"/>
      </w:tblGrid>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4184"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 Ended September 30, 2009</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jc w:val="center"/>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4184" w:type="dxa"/>
            <w:gridSpan w:val="10"/>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jc w:val="center"/>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39" w:type="dxa"/>
            <w:gridSpan w:val="2"/>
            <w:tcBorders>
              <w:bottom w:val="single" w:sz="2" w:space="0" w:color="000000"/>
            </w:tcBorders>
            <w:shd w:fill="auto" w:val="clear"/>
            <w:tcMar>
              <w:bottom w:w="28" w:type="dxa"/>
            </w:tcMar>
            <w:vAlign w:val="bottom"/>
          </w:tcPr>
          <w:p>
            <w:pPr>
              <w:pStyle w:val="TableContents"/>
              <w:spacing w:before="0" w:after="283"/>
              <w:jc w:val="center"/>
              <w:rPr/>
            </w:pPr>
            <w:r>
              <w:rPr/>
              <w:t xml:space="preserve">Subsidiary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96" w:type="dxa"/>
            <w:gridSpan w:val="2"/>
            <w:tcBorders>
              <w:bottom w:val="single" w:sz="2" w:space="0" w:color="000000"/>
            </w:tcBorders>
            <w:shd w:fill="auto" w:val="clear"/>
            <w:tcMar>
              <w:bottom w:w="28" w:type="dxa"/>
            </w:tcMar>
            <w:vAlign w:val="bottom"/>
          </w:tcPr>
          <w:p>
            <w:pPr>
              <w:pStyle w:val="TableContents"/>
              <w:spacing w:before="0" w:after="283"/>
              <w:jc w:val="center"/>
              <w:rPr/>
            </w:pPr>
            <w:r>
              <w:rPr/>
              <w:t>Other</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jc w:val="center"/>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pPr>
            <w:r>
              <w:rPr/>
              <w:t>Parent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39" w:type="dxa"/>
            <w:gridSpan w:val="2"/>
            <w:tcBorders>
              <w:bottom w:val="single" w:sz="2" w:space="0" w:color="000000"/>
            </w:tcBorders>
            <w:shd w:fill="auto" w:val="clear"/>
            <w:tcMar>
              <w:bottom w:w="28" w:type="dxa"/>
            </w:tcMar>
            <w:vAlign w:val="bottom"/>
          </w:tcPr>
          <w:p>
            <w:pPr>
              <w:pStyle w:val="TableContents"/>
              <w:spacing w:before="0" w:after="283"/>
              <w:jc w:val="center"/>
              <w:rPr/>
            </w:pPr>
            <w:r>
              <w:rPr/>
              <w:t>Guarantors</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96" w:type="dxa"/>
            <w:gridSpan w:val="2"/>
            <w:tcBorders>
              <w:bottom w:val="single" w:sz="2" w:space="0" w:color="000000"/>
            </w:tcBorders>
            <w:shd w:fill="auto" w:val="clear"/>
            <w:tcMar>
              <w:bottom w:w="28" w:type="dxa"/>
            </w:tcMar>
            <w:vAlign w:val="bottom"/>
          </w:tcPr>
          <w:p>
            <w:pPr>
              <w:pStyle w:val="TableContents"/>
              <w:spacing w:before="0" w:after="283"/>
              <w:jc w:val="center"/>
              <w:rPr/>
            </w:pPr>
            <w:r>
              <w:rPr/>
              <w:t>Subsidiaries</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77"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225" w:right="0" w:hanging="225"/>
              <w:rPr/>
            </w:pPr>
            <w:r>
              <w:rPr/>
              <w:t>Operating Activities: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Net income</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37" w:type="dxa"/>
            <w:tcBorders/>
            <w:shd w:fill="auto" w:val="clear"/>
            <w:vAlign w:val="bottom"/>
          </w:tcPr>
          <w:p>
            <w:pPr>
              <w:pStyle w:val="TableContents"/>
              <w:spacing w:before="0" w:after="283"/>
              <w:jc w:val="right"/>
              <w:rPr/>
            </w:pPr>
            <w:r>
              <w:rPr/>
              <w:t>9,656</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974" w:type="dxa"/>
            <w:tcBorders/>
            <w:shd w:fill="auto" w:val="clear"/>
            <w:vAlign w:val="bottom"/>
          </w:tcPr>
          <w:p>
            <w:pPr>
              <w:pStyle w:val="TableContents"/>
              <w:spacing w:before="0" w:after="283"/>
              <w:jc w:val="right"/>
              <w:rPr/>
            </w:pPr>
            <w:r>
              <w:rPr/>
              <w:t>58,094</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08" w:type="dxa"/>
            <w:tcBorders/>
            <w:shd w:fill="auto" w:val="clear"/>
            <w:vAlign w:val="bottom"/>
          </w:tcPr>
          <w:p>
            <w:pPr>
              <w:pStyle w:val="TableContents"/>
              <w:spacing w:before="0" w:after="283"/>
              <w:jc w:val="right"/>
              <w:rPr/>
            </w:pPr>
            <w:r>
              <w:rPr/>
              <w:t>722</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93" w:type="dxa"/>
            <w:tcBorders/>
            <w:shd w:fill="auto" w:val="clear"/>
            <w:vAlign w:val="bottom"/>
          </w:tcPr>
          <w:p>
            <w:pPr>
              <w:pStyle w:val="TableContents"/>
              <w:spacing w:before="0" w:after="283"/>
              <w:jc w:val="right"/>
              <w:rPr/>
            </w:pPr>
            <w:r>
              <w:rPr/>
              <w:t>68,472</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675" w:right="0" w:hanging="225"/>
              <w:rPr/>
            </w:pPr>
            <w:r>
              <w:rPr/>
              <w:t>Depreciation and amortization</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11,700</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1,046</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12,746</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675" w:right="0" w:hanging="225"/>
              <w:rPr/>
            </w:pPr>
            <w:r>
              <w:rPr/>
              <w:t>Signature loan and auto title loan loss provisions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9,023</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9,023</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675" w:right="0" w:hanging="225"/>
              <w:rPr/>
            </w:pPr>
            <w:r>
              <w:rPr/>
              <w:t>Deferred taxes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2,800</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(87</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(220</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2,493</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675" w:right="0" w:hanging="225"/>
              <w:rPr/>
            </w:pPr>
            <w:r>
              <w:rPr/>
              <w:t>(Gain) / loss on sale or disposal of assets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(1,029</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5</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(1,024</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675" w:right="0" w:hanging="225"/>
              <w:rPr/>
            </w:pPr>
            <w:r>
              <w:rPr/>
              <w:t>Stock compensation</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3,701</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3,701</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675" w:right="0" w:hanging="225"/>
              <w:rPr/>
            </w:pPr>
            <w:r>
              <w:rPr/>
              <w:t>Income from investments in unconsolidated affiliates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(5,016</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(5,016</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450" w:right="0" w:hanging="225"/>
              <w:rPr/>
            </w:pPr>
            <w:r>
              <w:rPr/>
              <w:t>Changes in operating assets and liabilities, net of business acquisitions: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675" w:right="0" w:hanging="225"/>
              <w:rPr/>
            </w:pPr>
            <w:r>
              <w:rPr/>
              <w:t>Service charges and fees receivable, net</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(1,333</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(75</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(1,408</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675" w:right="0" w:hanging="225"/>
              <w:rPr/>
            </w:pPr>
            <w:r>
              <w:rPr/>
              <w:t>Inventory, net</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(493</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(290</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(783</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675" w:right="0" w:hanging="225"/>
              <w:rPr/>
            </w:pPr>
            <w:r>
              <w:rPr/>
              <w:t>Prepaid expenses, other current assets, and other assets, net</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(6</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(4,289</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(472</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(767</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675" w:right="0" w:hanging="225"/>
              <w:rPr/>
            </w:pPr>
            <w:r>
              <w:rPr/>
              <w:t>Accounts payable and accrued expenses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37" w:type="dxa"/>
            <w:tcBorders/>
            <w:shd w:fill="auto" w:val="clear"/>
            <w:vAlign w:val="bottom"/>
          </w:tcPr>
          <w:p>
            <w:pPr>
              <w:pStyle w:val="TableContents"/>
              <w:spacing w:before="0" w:after="283"/>
              <w:jc w:val="right"/>
              <w:rPr/>
            </w:pPr>
            <w:r>
              <w:rPr/>
              <w:t>(55,352</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47,116</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4,587</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(3,649</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675" w:right="0" w:hanging="225"/>
              <w:rPr/>
            </w:pPr>
            <w:r>
              <w:rPr/>
              <w:t>Customer layaway deposits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817</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44</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861</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675" w:right="0" w:hanging="225"/>
              <w:rPr/>
            </w:pPr>
            <w:r>
              <w:rPr/>
              <w:t>Deferred gains and other long-term liabilities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(425</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62</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(363</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675" w:right="0" w:hanging="225"/>
              <w:rPr/>
            </w:pPr>
            <w:r>
              <w:rPr/>
              <w:t>Excess tax benefit from stock compensation</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(1,789</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(1,789</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675" w:right="0" w:hanging="225"/>
              <w:rPr/>
            </w:pPr>
            <w:r>
              <w:rPr/>
              <w:t>Income taxes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1,760</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1,399</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(1,039</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2,120</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900" w:right="0" w:hanging="225"/>
              <w:rPr/>
            </w:pPr>
            <w:r>
              <w:rPr/>
              <w:t>Net cash provided by (used in) operating activities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(41,142</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117,389</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4,370</w:t>
            </w:r>
          </w:p>
        </w:tc>
        <w:tc>
          <w:tcPr>
            <w:tcW w:w="124"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80,617</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225" w:right="0" w:hanging="225"/>
              <w:rPr/>
            </w:pPr>
            <w:r>
              <w:rPr/>
              <w:t> </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225" w:right="0" w:hanging="225"/>
              <w:rPr/>
            </w:pPr>
            <w:r>
              <w:rPr/>
              <w:t>Investing Activities: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Loans made</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(430,423</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(15,600</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(446,023</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450" w:right="0" w:hanging="225"/>
              <w:rPr/>
            </w:pPr>
            <w:r>
              <w:rPr/>
              <w:t>Loans repaid</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267,232</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9,023</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276,255</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Recovery of pawn loan principal through sale of forfeited collateral</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147,851</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6,384</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154,235</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Additions to property and equipment</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(15,492</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(3,772</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(19,264</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450" w:right="0" w:hanging="225"/>
              <w:rPr/>
            </w:pPr>
            <w:r>
              <w:rPr/>
              <w:t>Proceeds on disposal of assets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1,062</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1,062</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Acquisitions, net of cash acquired</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(40,185</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(737</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(40,922</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450" w:right="0" w:hanging="225"/>
              <w:rPr/>
            </w:pPr>
            <w:r>
              <w:rPr/>
              <w:t>Investments in unconsolidated affiliates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Dividends from unconsolidated affiliates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1,634</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1,634</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900" w:right="0" w:hanging="225"/>
              <w:rPr/>
            </w:pPr>
            <w:r>
              <w:rPr/>
              <w:t>Net cash provided by (used in) investing activities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(68,321</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(4,702</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(73,023</w:t>
            </w:r>
          </w:p>
        </w:tc>
        <w:tc>
          <w:tcPr>
            <w:tcW w:w="131" w:type="dxa"/>
            <w:tcBorders/>
            <w:shd w:fill="CCEEFF" w:val="clear"/>
            <w:vAlign w:val="bottom"/>
          </w:tcPr>
          <w:p>
            <w:pPr>
              <w:pStyle w:val="TableContents"/>
              <w:spacing w:before="0" w:after="283"/>
              <w:rPr/>
            </w:pPr>
            <w:r>
              <w:rPr/>
              <w:t>)</w:t>
            </w:r>
          </w:p>
        </w:tc>
      </w:tr>
      <w:tr>
        <w:trPr/>
        <w:tc>
          <w:tcPr>
            <w:tcW w:w="3883" w:type="dxa"/>
            <w:tcBorders/>
            <w:shd w:fill="auto" w:val="clear"/>
            <w:vAlign w:val="bottom"/>
          </w:tcPr>
          <w:p>
            <w:pPr>
              <w:pStyle w:val="TableContents"/>
              <w:spacing w:before="0" w:after="0"/>
              <w:ind w:left="225" w:right="0" w:hanging="225"/>
              <w:rPr/>
            </w:pPr>
            <w:r>
              <w:rPr/>
              <w:t> </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225" w:right="0" w:hanging="225"/>
              <w:rPr/>
            </w:pPr>
            <w:r>
              <w:rPr/>
              <w:t>Financing Activities: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Proceeds from exercise of stock options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4,943</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4,943</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Stock issuance costs related to acquisitions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(442</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(442</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450" w:right="0" w:hanging="225"/>
              <w:rPr/>
            </w:pPr>
            <w:r>
              <w:rPr/>
              <w:t>Excess tax benefit from stock compensation</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1,789</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1,789</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Debt issuance costs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37" w:type="dxa"/>
            <w:tcBorders/>
            <w:shd w:fill="auto" w:val="clear"/>
            <w:vAlign w:val="bottom"/>
          </w:tcPr>
          <w:p>
            <w:pPr>
              <w:pStyle w:val="TableContents"/>
              <w:spacing w:before="0" w:after="283"/>
              <w:jc w:val="right"/>
              <w:rPr/>
            </w:pPr>
            <w:r>
              <w:rPr/>
              <w:t>(590</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(589</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(1,179</w:t>
            </w:r>
          </w:p>
        </w:tc>
        <w:tc>
          <w:tcPr>
            <w:tcW w:w="131" w:type="dxa"/>
            <w:tcBorders/>
            <w:shd w:fill="auto" w:val="clear"/>
            <w:vAlign w:val="bottom"/>
          </w:tcPr>
          <w:p>
            <w:pPr>
              <w:pStyle w:val="TableContents"/>
              <w:spacing w:before="0" w:after="283"/>
              <w:rPr/>
            </w:pPr>
            <w:r>
              <w:rPr/>
              <w:t>)</w:t>
            </w:r>
          </w:p>
        </w:tc>
      </w:tr>
      <w:tr>
        <w:trPr/>
        <w:tc>
          <w:tcPr>
            <w:tcW w:w="3883" w:type="dxa"/>
            <w:tcBorders/>
            <w:shd w:fill="CCEEFF" w:val="clear"/>
            <w:vAlign w:val="bottom"/>
          </w:tcPr>
          <w:p>
            <w:pPr>
              <w:pStyle w:val="TableContents"/>
              <w:spacing w:before="0" w:after="0"/>
              <w:ind w:left="450" w:right="0" w:hanging="225"/>
              <w:rPr/>
            </w:pPr>
            <w:r>
              <w:rPr/>
              <w:t>Taxes paid related to net share settlement of equity awards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Net proceeds (payments) on revolving line of credit</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Proceeds from bank borrowings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40,000</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40,000</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Payments on bank borrowings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37" w:type="dxa"/>
            <w:tcBorders/>
            <w:shd w:fill="auto" w:val="clear"/>
            <w:vAlign w:val="bottom"/>
          </w:tcPr>
          <w:p>
            <w:pPr>
              <w:pStyle w:val="TableContents"/>
              <w:spacing w:before="0" w:after="283"/>
              <w:jc w:val="right"/>
              <w:rPr/>
            </w:pPr>
            <w:r>
              <w:rPr/>
              <w:t>(5,000</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74" w:type="dxa"/>
            <w:tcBorders/>
            <w:shd w:fill="auto" w:val="clear"/>
            <w:vAlign w:val="bottom"/>
          </w:tcPr>
          <w:p>
            <w:pPr>
              <w:pStyle w:val="TableContents"/>
              <w:spacing w:before="0" w:after="283"/>
              <w:jc w:val="right"/>
              <w:rPr/>
            </w:pPr>
            <w:r>
              <w:rPr/>
              <w:t>(30,385</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1093" w:type="dxa"/>
            <w:tcBorders/>
            <w:shd w:fill="auto" w:val="clear"/>
            <w:vAlign w:val="bottom"/>
          </w:tcPr>
          <w:p>
            <w:pPr>
              <w:pStyle w:val="TableContents"/>
              <w:spacing w:before="0" w:after="283"/>
              <w:jc w:val="right"/>
              <w:rPr/>
            </w:pPr>
            <w:r>
              <w:rPr/>
              <w:t>(35,385</w:t>
            </w:r>
          </w:p>
        </w:tc>
        <w:tc>
          <w:tcPr>
            <w:tcW w:w="131" w:type="dxa"/>
            <w:tcBorders/>
            <w:shd w:fill="auto" w:val="clear"/>
            <w:vAlign w:val="bottom"/>
          </w:tcPr>
          <w:p>
            <w:pPr>
              <w:pStyle w:val="TableContents"/>
              <w:spacing w:before="0" w:after="283"/>
              <w:rPr/>
            </w:pPr>
            <w:r>
              <w:rPr/>
              <w:t>)</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900" w:right="0" w:hanging="225"/>
              <w:rPr/>
            </w:pPr>
            <w:r>
              <w:rPr/>
              <w:t>Net cash provided by (used in) financing activities</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41,142</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74" w:type="dxa"/>
            <w:tcBorders/>
            <w:shd w:fill="CCEEFF" w:val="clear"/>
            <w:vAlign w:val="bottom"/>
          </w:tcPr>
          <w:p>
            <w:pPr>
              <w:pStyle w:val="TableContents"/>
              <w:spacing w:before="0" w:after="283"/>
              <w:jc w:val="right"/>
              <w:rPr/>
            </w:pPr>
            <w:r>
              <w:rPr/>
              <w:t>(31,416</w:t>
            </w:r>
          </w:p>
        </w:tc>
        <w:tc>
          <w:tcPr>
            <w:tcW w:w="124" w:type="dxa"/>
            <w:tcBorders/>
            <w:shd w:fill="CCEEFF" w:val="clear"/>
            <w:vAlign w:val="bottom"/>
          </w:tcPr>
          <w:p>
            <w:pPr>
              <w:pStyle w:val="TableContents"/>
              <w:spacing w:before="0" w:after="283"/>
              <w:rPr/>
            </w:pPr>
            <w:r>
              <w:rPr/>
              <w:t>)</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9,726</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auto" w:val="clear"/>
            <w:vAlign w:val="bottom"/>
          </w:tcPr>
          <w:p>
            <w:pPr>
              <w:pStyle w:val="TableContents"/>
              <w:spacing w:before="0" w:after="0"/>
              <w:ind w:left="225" w:right="0" w:hanging="225"/>
              <w:rPr/>
            </w:pPr>
            <w:r>
              <w:rPr/>
              <w:t> </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Net (decrease) increase in cash and cash equivalents</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17,652</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(332</w:t>
            </w:r>
          </w:p>
        </w:tc>
        <w:tc>
          <w:tcPr>
            <w:tcW w:w="124" w:type="dxa"/>
            <w:tcBorders/>
            <w:shd w:fill="auto" w:val="clear"/>
            <w:vAlign w:val="bottom"/>
          </w:tcPr>
          <w:p>
            <w:pPr>
              <w:pStyle w:val="TableContents"/>
              <w:spacing w:before="0" w:after="283"/>
              <w:rPr/>
            </w:pPr>
            <w:r>
              <w:rPr/>
              <w:t>)</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17,320</w:t>
            </w:r>
          </w:p>
        </w:tc>
        <w:tc>
          <w:tcPr>
            <w:tcW w:w="131" w:type="dxa"/>
            <w:tcBorders/>
            <w:shd w:fill="auto" w:val="clear"/>
            <w:vAlign w:val="bottom"/>
          </w:tcPr>
          <w:p>
            <w:pPr>
              <w:pStyle w:val="TableContents"/>
              <w:spacing w:before="0" w:after="283"/>
              <w:rPr/>
            </w:pPr>
            <w:r>
              <w:rPr/>
              <w:t> </w:t>
            </w:r>
          </w:p>
        </w:tc>
      </w:tr>
      <w:tr>
        <w:trPr/>
        <w:tc>
          <w:tcPr>
            <w:tcW w:w="3883" w:type="dxa"/>
            <w:tcBorders/>
            <w:shd w:fill="CCEEFF" w:val="clear"/>
            <w:vAlign w:val="bottom"/>
          </w:tcPr>
          <w:p>
            <w:pPr>
              <w:pStyle w:val="TableContents"/>
              <w:spacing w:before="0" w:after="0"/>
              <w:ind w:left="450" w:right="0" w:hanging="225"/>
              <w:rPr/>
            </w:pPr>
            <w:r>
              <w:rPr/>
              <w:t>Cash and equivalents at beginning of period</w:t>
            </w:r>
          </w:p>
        </w:tc>
        <w:tc>
          <w:tcPr>
            <w:tcW w:w="30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26,098</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1,346</w:t>
            </w:r>
          </w:p>
        </w:tc>
        <w:tc>
          <w:tcPr>
            <w:tcW w:w="12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27,444</w:t>
            </w:r>
          </w:p>
        </w:tc>
        <w:tc>
          <w:tcPr>
            <w:tcW w:w="131" w:type="dxa"/>
            <w:tcBorders/>
            <w:shd w:fill="CCEEFF" w:val="clear"/>
            <w:vAlign w:val="bottom"/>
          </w:tcPr>
          <w:p>
            <w:pPr>
              <w:pStyle w:val="TableContents"/>
              <w:spacing w:before="0" w:after="283"/>
              <w:rPr/>
            </w:pPr>
            <w:r>
              <w:rPr/>
              <w:t> </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883" w:type="dxa"/>
            <w:tcBorders/>
            <w:shd w:fill="auto" w:val="clear"/>
            <w:vAlign w:val="bottom"/>
          </w:tcPr>
          <w:p>
            <w:pPr>
              <w:pStyle w:val="TableContents"/>
              <w:spacing w:before="0" w:after="0"/>
              <w:ind w:left="450" w:right="0" w:hanging="225"/>
              <w:rPr/>
            </w:pPr>
            <w:r>
              <w:rPr/>
              <w:t>Cash and equivalents at end of period</w:t>
            </w:r>
          </w:p>
        </w:tc>
        <w:tc>
          <w:tcPr>
            <w:tcW w:w="30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37"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974" w:type="dxa"/>
            <w:tcBorders/>
            <w:shd w:fill="auto" w:val="clear"/>
            <w:vAlign w:val="bottom"/>
          </w:tcPr>
          <w:p>
            <w:pPr>
              <w:pStyle w:val="TableContents"/>
              <w:spacing w:before="0" w:after="283"/>
              <w:jc w:val="right"/>
              <w:rPr/>
            </w:pPr>
            <w:r>
              <w:rPr/>
              <w:t>43,750</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08" w:type="dxa"/>
            <w:tcBorders/>
            <w:shd w:fill="auto" w:val="clear"/>
            <w:vAlign w:val="bottom"/>
          </w:tcPr>
          <w:p>
            <w:pPr>
              <w:pStyle w:val="TableContents"/>
              <w:spacing w:before="0" w:after="283"/>
              <w:jc w:val="right"/>
              <w:rPr/>
            </w:pPr>
            <w:r>
              <w:rPr/>
              <w:t>1,014</w:t>
            </w:r>
          </w:p>
        </w:tc>
        <w:tc>
          <w:tcPr>
            <w:tcW w:w="12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1093" w:type="dxa"/>
            <w:tcBorders/>
            <w:shd w:fill="auto" w:val="clear"/>
            <w:vAlign w:val="bottom"/>
          </w:tcPr>
          <w:p>
            <w:pPr>
              <w:pStyle w:val="TableContents"/>
              <w:spacing w:before="0" w:after="283"/>
              <w:jc w:val="right"/>
              <w:rPr/>
            </w:pPr>
            <w:r>
              <w:rPr/>
              <w:t>44,764</w:t>
            </w:r>
          </w:p>
        </w:tc>
        <w:tc>
          <w:tcPr>
            <w:tcW w:w="131" w:type="dxa"/>
            <w:tcBorders/>
            <w:shd w:fill="auto" w:val="clear"/>
            <w:vAlign w:val="bottom"/>
          </w:tcPr>
          <w:p>
            <w:pPr>
              <w:pStyle w:val="TableContents"/>
              <w:spacing w:before="0" w:after="283"/>
              <w:rPr/>
            </w:pPr>
            <w:r>
              <w:rPr/>
              <w:t> </w:t>
            </w:r>
          </w:p>
        </w:tc>
      </w:tr>
      <w:tr>
        <w:trPr/>
        <w:tc>
          <w:tcPr>
            <w:tcW w:w="3883"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1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2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283"/>
        <w:jc w:val="center"/>
        <w:rPr>
          <w:rFonts w:ascii="Times New Roman;Times;serif" w:hAnsi="Times New Roman;Times;serif"/>
          <w:sz w:val="17"/>
        </w:rPr>
      </w:pPr>
      <w:r>
        <w:rPr>
          <w:rFonts w:ascii="Times New Roman;Times;serif" w:hAnsi="Times New Roman;Times;serif"/>
          <w:sz w:val="17"/>
        </w:rPr>
        <w:t xml:space="preserve">41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45</Pages>
  <Words>19449</Words>
  <CharactersWithSpaces>128962</CharactersWithSpaces>
  <Paragraphs>20647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