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8,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On February 8, 2016, EZCORP, Inc. issued a press release announcing its results of operations and financial condition for the first fiscal quarter of the fiscal year ended September 30, 2016. A copy of that press release is attached as Exhibit 99.1.</w:t>
      </w:r>
    </w:p>
    <w:p>
      <w:pPr>
        <w:sectPr>
          <w:pgSz w:w="11900" w:h="16838" w:orient="portrait"/>
          <w:cols w:equalWidth="0" w:num="1">
            <w:col w:w="11300"/>
          </w:cols>
          <w:pgMar w:left="240" w:top="1440" w:right="359" w:bottom="1440" w:gutter="0" w:footer="0" w:header="0"/>
        </w:sectPr>
      </w:pPr>
    </w:p>
    <w:bookmarkStart w:id="1" w:name="page2"/>
    <w:bookmarkEnd w:id="1"/>
    <w:p>
      <w:pPr>
        <w:spacing w:after="0" w:line="290"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Mexico Pawn and Grupo Finmart operations, which are denominated in Mexican pesos. Management believes that these non-GAAP financial measures reflect an additional way of viewing aspects of our business that, when viewed with our GAAP results, provides a more complete understanding of factors and trends affecting our business. Management provides non-GAAP financial information for informational purposes and to enhance understanding of our GAAP consolidated financial statements.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1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first quarter of fiscal 2016 earnings conference call (to be held on February 9, 2016) has been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33" w:lineRule="exact"/>
        <w:rPr>
          <w:sz w:val="20"/>
          <w:szCs w:val="20"/>
          <w:color w:val="auto"/>
        </w:rPr>
      </w:pPr>
    </w:p>
    <w:p>
      <w:pPr>
        <w:ind w:left="1120" w:right="94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February 8, 2016, announcing EZCORP, Inc.’s results of operations and financial condition for the first fiscal quarter of the fiscal year ended September 30, 2016.</w:t>
      </w:r>
    </w:p>
    <w:p>
      <w:pPr>
        <w:sectPr>
          <w:pgSz w:w="11900" w:h="16838" w:orient="portrait"/>
          <w:cols w:equalWidth="0" w:num="1">
            <w:col w:w="11420"/>
          </w:cols>
          <w:pgMar w:left="240" w:top="74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620" w:right="2900" w:hanging="6941"/>
        <w:spacing w:after="0" w:line="290" w:lineRule="auto"/>
        <w:tabs>
          <w:tab w:leader="none" w:pos="600" w:val="left"/>
        </w:tabs>
        <w:rPr>
          <w:sz w:val="20"/>
          <w:szCs w:val="20"/>
          <w:color w:val="auto"/>
        </w:rPr>
      </w:pPr>
      <w:r>
        <w:rPr>
          <w:rFonts w:ascii="Arial" w:cs="Arial" w:eastAsia="Arial" w:hAnsi="Arial"/>
          <w:sz w:val="18"/>
          <w:szCs w:val="18"/>
          <w:color w:val="auto"/>
        </w:rPr>
        <w:t>Date:</w:t>
        <w:tab/>
        <w:t>February 8, 2016 By: /s/ David McGuire David McGuire</w:t>
      </w:r>
    </w:p>
    <w:p>
      <w:pPr>
        <w:spacing w:after="0" w:line="29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Press Release, dated February 8, 2016, announcing EZCORP, Inc.’s results of operations and financial condition for the first fiscal</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 of the fiscal year ended September 30,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173990</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Announces First Quarter Fiscal 2016 Results</w:t>
      </w:r>
    </w:p>
    <w:p>
      <w:pPr>
        <w:spacing w:after="0" w:line="163" w:lineRule="exact"/>
        <w:rPr>
          <w:sz w:val="20"/>
          <w:szCs w:val="20"/>
          <w:color w:val="auto"/>
        </w:rPr>
      </w:pPr>
    </w:p>
    <w:p>
      <w:pPr>
        <w:jc w:val="center"/>
        <w:ind w:left="260" w:right="1980"/>
        <w:spacing w:after="0" w:line="415" w:lineRule="auto"/>
        <w:rPr>
          <w:sz w:val="20"/>
          <w:szCs w:val="20"/>
          <w:color w:val="auto"/>
        </w:rPr>
      </w:pPr>
      <w:r>
        <w:rPr>
          <w:rFonts w:ascii="Arial" w:cs="Arial" w:eastAsia="Arial" w:hAnsi="Arial"/>
          <w:sz w:val="18"/>
          <w:szCs w:val="18"/>
          <w:color w:val="auto"/>
        </w:rPr>
        <w:t>Pawn loans outstanding ("PLO") up 6% on a constant currency basis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(5% on a GAAP basis) Same store PLO up 3% on a constant currency basis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(2% on a GAAP basis) Quality loan growth based on consistent redemption rate and increasing portfolio yield Strong merchandise margin expansion to 39%, a 500 basis point increase YOY Annualized return on pawn earning assets increased to 151%, a 900 basis point increase YOY Reviewing strategic options for Grupo Finmart, to be completed by end of Q3FY16</w:t>
      </w:r>
    </w:p>
    <w:p>
      <w:pPr>
        <w:spacing w:after="0" w:line="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Austin, Texas (February 8, 2016) — </w:t>
      </w:r>
      <w:r>
        <w:rPr>
          <w:rFonts w:ascii="Arial" w:cs="Arial" w:eastAsia="Arial" w:hAnsi="Arial"/>
          <w:sz w:val="18"/>
          <w:szCs w:val="18"/>
          <w:color w:val="auto"/>
        </w:rPr>
        <w:t>EZCORP, Inc. (NASDAQ: EZPW), a leading provider of pawn loans in the United States and Mexico and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loans in Mexico, today announced results for its first quarter ended December 31, 2015.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Stuart Grimshaw, EZCORP’s Chief Executive Officer, said, “In July 2015, we announced significant strategic changes in our company’s direction which included a refocus on our pawn operations in both the United States and Mexico. With the goal of increasing both our market share and efficiency, our stated path to making that a reality was to serve and satisfy our customers beyond their expectations. This quarter’s results reflect encouraging progress in meeting those expectations with growth in our customer transactions as well as the expansion in our portfolio of pawn loans, while improving the return on investment on our earning assets.”</w:t>
      </w:r>
    </w:p>
    <w:p>
      <w:pPr>
        <w:spacing w:after="0" w:line="13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Mr. Grimshaw continued, “Today, we also announced that we are undertaking a strategic review of Grupo Finmart. Clearly we are disappointed in the financial performance, which is affected by changes in the industry dynamics as well as the business environment over the past several quarters. With a view to maximizing our long term shareholder value, initiatives are underway for the short term while the longer term strategic options are being evaluated.”</w:t>
      </w:r>
    </w:p>
    <w:p>
      <w:pPr>
        <w:spacing w:after="0" w:line="93" w:lineRule="exact"/>
        <w:rPr>
          <w:sz w:val="20"/>
          <w:szCs w:val="20"/>
          <w:color w:val="auto"/>
        </w:rPr>
      </w:pPr>
    </w:p>
    <w:p>
      <w:pPr>
        <w:ind w:right="20"/>
        <w:spacing w:after="0" w:line="235" w:lineRule="auto"/>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Note: In addition to the financial information prepared in conformity with U.S. generally accepted accounting principles ("GAAP"), we provide certain other non-GAAP financial information such as constant currency results ("constant currency") where indicated. The average Mexican peso to U.S. dollar exchange rate as of December 31, 2015 was 17.3 to 1, compared to 14.7 to 1 in the prior year. The average Mexican peso to U.S. dollar exchange rate for the current three-month period ended December 31, 2015 was 16.8 to 1, compared to 13.9 to 1 in the comparable prior-year period. See additional information at the end of this release regarding non-GAAP financial measures.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ind w:left="660" w:right="80" w:hanging="328"/>
        <w:spacing w:after="0" w:line="31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 the quarter ended December 31, 2015, net loss from continuing operations attributable to EZCORP was $7.2 million (-$0.13 per share), compared to net income of $4.7 million ($0.09 per share) in the prior-year quarter. This year-over-year difference reflects continued improvement in our U.S. and Mexico pawn businesses (as discussed below) that was more than offset by continued challenges in Grupo Finmart.</w:t>
      </w:r>
    </w:p>
    <w:p>
      <w:pPr>
        <w:spacing w:after="0" w:line="38" w:lineRule="exact"/>
        <w:rPr>
          <w:rFonts w:ascii="Arial" w:cs="Arial" w:eastAsia="Arial" w:hAnsi="Arial"/>
          <w:sz w:val="16"/>
          <w:szCs w:val="16"/>
          <w:color w:val="auto"/>
        </w:rPr>
      </w:pPr>
    </w:p>
    <w:p>
      <w:pPr>
        <w:ind w:left="660" w:right="54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revenues for the quarter were $198.5 million, 7% lower than the prior-year quarter, primarily due to lower scrapping revenues and lower consumer loan fees and interest income in Grupo Finmart. On a constant currency basis, total revenues were 3% lower year-over-year.</w:t>
      </w:r>
    </w:p>
    <w:p>
      <w:pPr>
        <w:spacing w:after="0" w:line="15"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revenues for the quarter were $111.5 million, a 5% decrease from the prior-year quarter, reflecting an increase in bad debt reserves discussed below. On a constant currency basis, net revenues decreased 2%.</w:t>
      </w:r>
    </w:p>
    <w:p>
      <w:pPr>
        <w:spacing w:after="0" w:line="62" w:lineRule="exact"/>
        <w:rPr>
          <w:rFonts w:ascii="Arial" w:cs="Arial" w:eastAsia="Arial" w:hAnsi="Arial"/>
          <w:sz w:val="18"/>
          <w:szCs w:val="18"/>
          <w:color w:val="auto"/>
        </w:rPr>
      </w:pPr>
    </w:p>
    <w:p>
      <w:pPr>
        <w:ind w:left="660" w:right="2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increased 19% on a constant currency basis (14% on a GAAP basis) reflecting costs associated with the prior-period restatements, restructuring, reversal of stock compensation costs in the prior-year quarter as a result of forfeitures, and store-level bonus programs during fiscal 2016 to better incentivize performance.</w:t>
      </w:r>
    </w:p>
    <w:p>
      <w:pPr>
        <w:sectPr>
          <w:pgSz w:w="11900" w:h="16838" w:orient="portrait"/>
          <w:cols w:equalWidth="0" w:num="1">
            <w:col w:w="11420"/>
          </w:cols>
          <w:pgMar w:left="240" w:top="585" w:right="239" w:bottom="1440" w:gutter="0" w:footer="0" w:header="0"/>
        </w:sectPr>
      </w:pPr>
    </w:p>
    <w:bookmarkStart w:id="5" w:name="page6"/>
    <w:bookmarkEnd w:id="5"/>
    <w:p>
      <w:pPr>
        <w:ind w:left="660" w:right="28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Annualized return on pawn earning assets (defined as average annual merchandise and scrap sales gross profit and pawn service charges ("PSC") yield on pawn loans and inventory balances outstanding) increased to 151% in the current quarter versus 142% in the prior-year quarter.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7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pawn revenue increased 3% YOY driven by growth in PSC and merchandise sales.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posted our first same store PLO growth since Q4FY14: up 0.5% YOY in the December 2015 quarter, an improvement from -6% YOY in the September 2015 quarter, and -11% YOY in the June 2015 quarter.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loan growth continued with PLO increasing 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merchandise gross margin expansion to 40% from 34%.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Aged inventory reduction to 11% of total inventory from 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Pawn</w:t>
      </w:r>
    </w:p>
    <w:p>
      <w:pPr>
        <w:spacing w:after="0" w:line="175" w:lineRule="exact"/>
        <w:rPr>
          <w:sz w:val="20"/>
          <w:szCs w:val="20"/>
          <w:color w:val="auto"/>
        </w:rPr>
      </w:pPr>
    </w:p>
    <w:p>
      <w:pPr>
        <w:ind w:left="660" w:right="4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pawn revenue increased 8% YOY on a constant currency basis (11% decrease on a GAAP basis), primarily driven by 22% growth in PSC revenue on a constant currency basis (1% increase on a GAAP basis).</w:t>
      </w:r>
    </w:p>
    <w:p>
      <w:pPr>
        <w:spacing w:after="0" w:line="62"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 store PLO increased 34% on a constant currency basis (14% increase on a GAAP basis), the sixth consecutive quarter with double-digit same store loan growth on a constant currency basis (same store YOY loan growth has both increased and decreased on a GAAP basis over the same periods).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merchandise margin expansion to 35% from 31%.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Aged inventory reduction to 3% of total inventory from 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Grupo Finmart</w:t>
      </w:r>
    </w:p>
    <w:p>
      <w:pPr>
        <w:spacing w:after="0" w:line="175" w:lineRule="exact"/>
        <w:rPr>
          <w:sz w:val="20"/>
          <w:szCs w:val="20"/>
          <w:color w:val="auto"/>
        </w:rPr>
      </w:pPr>
    </w:p>
    <w:p>
      <w:pPr>
        <w:ind w:left="660" w:right="2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Segment loss of $19.5 million on a constant currency basis ($16.9 million on a GAAP basis) compared to a segment loss of $8.2 million on a GAAP basis in the prior-year quarter. The increase in the segment loss was primarily attributable to an 87% increase on a constant currency basis (55% increase on a GAAP basis) in bad debt expense, driven predominately by industry-wide delays in payment timing.</w:t>
      </w:r>
    </w:p>
    <w:p>
      <w:pPr>
        <w:spacing w:after="0" w:line="11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reserve for a loan at 100% of principal and accrued interest if no payment is received within a consecutive 180-day period. The bad debt expense included $2.1 million received in collections in the current quarter on loans that were fully reserved.</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response to the payment and collections challenges, we are refocusing our operations on higher quality, shorter term loans with the lowest risk convenios.</w:t>
      </w:r>
    </w:p>
    <w:p>
      <w:pPr>
        <w:spacing w:after="0" w:line="62" w:lineRule="exact"/>
        <w:rPr>
          <w:rFonts w:ascii="Arial" w:cs="Arial" w:eastAsia="Arial" w:hAnsi="Arial"/>
          <w:sz w:val="18"/>
          <w:szCs w:val="18"/>
          <w:color w:val="auto"/>
        </w:rPr>
      </w:pPr>
    </w:p>
    <w:p>
      <w:pPr>
        <w:ind w:left="660" w:right="5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Operations expense increased 40% YOY on a constant currency basis (16% on a GAAP basis), driven by an increase in commissions and investments in the senior management team. We have initiated a cost reduction program to better align the expense structure with the revenue performance.</w:t>
      </w:r>
    </w:p>
    <w:p>
      <w:pPr>
        <w:spacing w:after="0" w:line="7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light of the changing industry dynamics and business environment, we have initiated a review of all strategic options for Grupo Finmart, to be completed by the end of Q3FY16, with a view toward maximizing long-term shareholder value.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EZCORP will host a conference call on Tuesday, February 9, 2016 at 7:30 a.m. Central Time to discuss our first quarter results. Analysts and institutional investors may participate on the conference call by dialing (888) 734-0328, Conference ID: 43999396, International dialing (678) 894-3054. The conference call will be webcast simultaneously to the public through this link: http://investors.ezcorp.com/.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0000FF"/>
        </w:rPr>
        <w:t xml:space="preserve"> </w:t>
      </w:r>
      <w:r>
        <w:rPr>
          <w:rFonts w:ascii="Arial" w:cs="Arial" w:eastAsia="Arial" w:hAnsi="Arial"/>
          <w:sz w:val="18"/>
          <w:szCs w:val="18"/>
          <w:color w:val="000000"/>
        </w:rPr>
        <w:t>shortly after the call.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ectPr>
          <w:pgSz w:w="11900" w:h="16838" w:orient="portrait"/>
          <w:cols w:equalWidth="0" w:num="1">
            <w:col w:w="11380"/>
          </w:cols>
          <w:pgMar w:left="240" w:top="692"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ectPr>
          <w:pgSz w:w="11900" w:h="16838" w:orient="portrait"/>
          <w:cols w:equalWidth="0" w:num="1">
            <w:col w:w="11400"/>
          </w:cols>
          <w:pgMar w:left="240" w:top="742"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20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14"/>
                <w:szCs w:val="14"/>
                <w:b w:val="1"/>
                <w:bCs w:val="1"/>
                <w:color w:val="auto"/>
                <w:w w:val="93"/>
              </w:rPr>
              <w:t>Three Months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r>
      <w:tr>
        <w:trPr>
          <w:trHeight w:val="379"/>
        </w:trPr>
        <w:tc>
          <w:tcPr>
            <w:tcW w:w="7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(Unaudited)</w:t>
            </w:r>
          </w:p>
        </w:tc>
        <w:tc>
          <w:tcPr>
            <w:tcW w:w="680" w:type="dxa"/>
            <w:vAlign w:val="bottom"/>
          </w:tcPr>
          <w:p>
            <w:pPr>
              <w:spacing w:after="0"/>
              <w:rPr>
                <w:sz w:val="24"/>
                <w:szCs w:val="24"/>
                <w:color w:val="auto"/>
              </w:rPr>
            </w:pPr>
          </w:p>
        </w:tc>
      </w:tr>
      <w:tr>
        <w:trPr>
          <w:trHeight w:val="209"/>
        </w:trPr>
        <w:tc>
          <w:tcPr>
            <w:tcW w:w="7540" w:type="dxa"/>
            <w:vAlign w:val="bottom"/>
          </w:tcPr>
          <w:p>
            <w:pPr>
              <w:spacing w:after="0"/>
              <w:rPr>
                <w:sz w:val="18"/>
                <w:szCs w:val="18"/>
                <w:color w:val="auto"/>
              </w:rPr>
            </w:pPr>
          </w:p>
        </w:tc>
        <w:tc>
          <w:tcPr>
            <w:tcW w:w="3200" w:type="dxa"/>
            <w:vAlign w:val="bottom"/>
            <w:gridSpan w:val="4"/>
          </w:tcPr>
          <w:p>
            <w:pPr>
              <w:jc w:val="center"/>
              <w:ind w:left="641"/>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68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108,584</w:t>
            </w:r>
          </w:p>
        </w:tc>
        <w:tc>
          <w:tcPr>
            <w:tcW w:w="120" w:type="dxa"/>
            <w:vAlign w:val="bottom"/>
          </w:tcPr>
          <w:p>
            <w:pPr>
              <w:spacing w:after="0"/>
              <w:rPr>
                <w:sz w:val="20"/>
                <w:szCs w:val="20"/>
                <w:color w:val="auto"/>
              </w:rPr>
            </w:pPr>
          </w:p>
        </w:tc>
        <w:tc>
          <w:tcPr>
            <w:tcW w:w="1120" w:type="dxa"/>
            <w:vAlign w:val="bottom"/>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109,639</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18,534</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66,594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64,927</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13,188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18,971</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655</w:t>
            </w:r>
          </w:p>
        </w:tc>
      </w:tr>
      <w:tr>
        <w:trPr>
          <w:trHeight w:val="33"/>
        </w:trPr>
        <w:tc>
          <w:tcPr>
            <w:tcW w:w="7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198,454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212,726</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66,259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72,478</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14,675</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12,603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8,515</w:t>
            </w:r>
          </w:p>
        </w:tc>
      </w:tr>
      <w:tr>
        <w:trPr>
          <w:trHeight w:val="33"/>
        </w:trPr>
        <w:tc>
          <w:tcPr>
            <w:tcW w:w="7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111,516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117,058</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85,606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80,087</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19,983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12,552</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8,008</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Loss on sale or disposal of assets</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256</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17"/>
        </w:trPr>
        <w:tc>
          <w:tcPr>
            <w:tcW w:w="754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1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115,373</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6"/>
              </w:rPr>
              <w:t>100,925</w:t>
            </w:r>
          </w:p>
        </w:tc>
      </w:tr>
      <w:tr>
        <w:trPr>
          <w:trHeight w:val="33"/>
        </w:trPr>
        <w:tc>
          <w:tcPr>
            <w:tcW w:w="7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(loss) income</w:t>
            </w:r>
          </w:p>
        </w:tc>
        <w:tc>
          <w:tcPr>
            <w:tcW w:w="1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16,133</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9,192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12,034</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(2,055)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(2,194)</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w:t>
            </w: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(Loss) income from continuing operations before income taxes</w:t>
            </w:r>
          </w:p>
        </w:tc>
        <w:tc>
          <w:tcPr>
            <w:tcW w:w="1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(11,724)</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6,065</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3,264</w:t>
            </w: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(Loss) income from continuing operations, net of tax</w:t>
            </w:r>
          </w:p>
        </w:tc>
        <w:tc>
          <w:tcPr>
            <w:tcW w:w="1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(8,028)</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2,801</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6,877</w:t>
            </w: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(8,266)</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9,678</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redeemable noncontrolling interest</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w:t>
            </w:r>
          </w:p>
        </w:tc>
      </w:tr>
      <w:tr>
        <w:trPr>
          <w:trHeight w:val="28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122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(7,474)</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11,612</w:t>
            </w:r>
          </w:p>
        </w:tc>
      </w:tr>
      <w:tr>
        <w:trPr>
          <w:trHeight w:val="109"/>
        </w:trPr>
        <w:tc>
          <w:tcPr>
            <w:tcW w:w="75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Continuing operations</w:t>
            </w:r>
          </w:p>
        </w:tc>
        <w:tc>
          <w:tcPr>
            <w:tcW w:w="122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Discontinued operations</w:t>
            </w:r>
          </w:p>
        </w:tc>
        <w:tc>
          <w:tcPr>
            <w:tcW w:w="1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0.13</w:t>
            </w:r>
          </w:p>
        </w:tc>
      </w:tr>
      <w:tr>
        <w:trPr>
          <w:trHeight w:val="33"/>
        </w:trPr>
        <w:tc>
          <w:tcPr>
            <w:tcW w:w="7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earnings (loss) per share</w:t>
            </w:r>
          </w:p>
        </w:tc>
        <w:tc>
          <w:tcPr>
            <w:tcW w:w="122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r>
      <w:tr>
        <w:trPr>
          <w:trHeight w:val="20"/>
        </w:trPr>
        <w:tc>
          <w:tcPr>
            <w:tcW w:w="7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09"/>
        </w:trPr>
        <w:tc>
          <w:tcPr>
            <w:tcW w:w="7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0"/>
                <w:szCs w:val="20"/>
                <w:color w:val="auto"/>
              </w:rPr>
            </w:pPr>
          </w:p>
        </w:tc>
        <w:tc>
          <w:tcPr>
            <w:tcW w:w="1120" w:type="dxa"/>
            <w:vAlign w:val="bottom"/>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0.09</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r>
      <w:tr>
        <w:trPr>
          <w:trHeight w:val="284"/>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 (loss) earnings per share</w:t>
            </w:r>
          </w:p>
        </w:tc>
        <w:tc>
          <w:tcPr>
            <w:tcW w:w="122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0.22</w:t>
            </w:r>
          </w:p>
        </w:tc>
      </w:tr>
      <w:tr>
        <w:trPr>
          <w:trHeight w:val="109"/>
        </w:trPr>
        <w:tc>
          <w:tcPr>
            <w:tcW w:w="75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Weighted-average shares outstanding:</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54,895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53,650</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Diluted</w:t>
            </w:r>
          </w:p>
        </w:tc>
        <w:tc>
          <w:tcPr>
            <w:tcW w:w="1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54,895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53,698</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22"/>
        </w:trPr>
        <w:tc>
          <w:tcPr>
            <w:tcW w:w="7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Net (loss) income from continuing operations attributable to EZCORP, Inc.</w:t>
            </w: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(7,236)</w:t>
            </w:r>
          </w:p>
        </w:tc>
        <w:tc>
          <w:tcPr>
            <w:tcW w:w="120" w:type="dxa"/>
            <w:vAlign w:val="bottom"/>
          </w:tcPr>
          <w:p>
            <w:pPr>
              <w:spacing w:after="0"/>
              <w:rPr>
                <w:sz w:val="20"/>
                <w:szCs w:val="20"/>
                <w:color w:val="auto"/>
              </w:rPr>
            </w:pPr>
          </w:p>
        </w:tc>
        <w:tc>
          <w:tcPr>
            <w:tcW w:w="1120" w:type="dxa"/>
            <w:vAlign w:val="bottom"/>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4,735</w:t>
            </w:r>
          </w:p>
        </w:tc>
      </w:tr>
      <w:tr>
        <w:trPr>
          <w:trHeight w:val="33"/>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attributable to EZCORP, Inc.</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6,877</w:t>
            </w:r>
          </w:p>
        </w:tc>
      </w:tr>
      <w:tr>
        <w:trPr>
          <w:trHeight w:val="244"/>
        </w:trPr>
        <w:tc>
          <w:tcPr>
            <w:tcW w:w="7540" w:type="dxa"/>
            <w:vAlign w:val="bottom"/>
          </w:tcPr>
          <w:p>
            <w:pPr>
              <w:ind w:left="280"/>
              <w:spacing w:after="0"/>
              <w:rPr>
                <w:sz w:val="20"/>
                <w:szCs w:val="20"/>
                <w:color w:val="auto"/>
              </w:rPr>
            </w:pPr>
            <w:r>
              <w:rPr>
                <w:rFonts w:ascii="Arial" w:cs="Arial" w:eastAsia="Arial" w:hAnsi="Arial"/>
                <w:sz w:val="16"/>
                <w:szCs w:val="16"/>
                <w:color w:val="auto"/>
              </w:rPr>
              <w:t>Net (loss) income attributable to EZCORP, Inc.</w:t>
            </w:r>
          </w:p>
        </w:tc>
        <w:tc>
          <w:tcPr>
            <w:tcW w:w="122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(7,474)</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11,612</w:t>
            </w:r>
          </w:p>
        </w:tc>
      </w:tr>
      <w:tr>
        <w:trPr>
          <w:trHeight w:val="20"/>
        </w:trPr>
        <w:tc>
          <w:tcPr>
            <w:tcW w:w="7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90" w:right="239" w:bottom="1143"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r>
      <w:tr>
        <w:trPr>
          <w:trHeight w:val="385"/>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ind w:left="7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59,124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16,157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60,218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15,137</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loans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157,905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159,964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Consumer loans, net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32,175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61,347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36,533</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30,852</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Consumer loan fees and interest receivable, net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12,827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13,199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19,802</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132,980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124,084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Prepaid income taxes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5,929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36,580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7,945</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37,230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25,296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34,075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21,076</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472,523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613,091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511,747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53,404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99,219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56,182</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75,594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Restricted cash, non-current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4,310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2,883</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327,460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40,443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49,523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41,263</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consumer loans,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75,824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tax asset, net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73,655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28,189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69,121</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 net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77,352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42,985</w:t>
            </w:r>
          </w:p>
        </w:tc>
      </w:tr>
      <w:tr>
        <w:trPr>
          <w:trHeight w:val="284"/>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1,145,840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1,391,897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1,203,059</w:t>
            </w:r>
          </w:p>
        </w:tc>
      </w:tr>
      <w:tr>
        <w:trPr>
          <w:trHeight w:val="217"/>
        </w:trPr>
        <w:tc>
          <w:tcPr>
            <w:tcW w:w="7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Liabilities, temporary equity and stockholders’ equity:</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75,586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74,832</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74,345</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Current capital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Accounts payable and other accrued expenses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87,219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81,417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107,871</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10,138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5,133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10,470</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179,413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208,070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281,545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374,600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297,166</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gains and other long-term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6,157</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466,875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550,686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511,393</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Temporary equity:</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6"/>
              </w:rPr>
              <w:t>Class A Non-voting Common Stock, subject to possible redemption at $10.06 per share; 1,168,456 shares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2"/>
              </w:rPr>
              <w:t>issued and outstanding at redemption value as of December 31, 2015 and September 30, 2015; and none as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December 31, 2014</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Redeemable noncontrolling interest</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3,235</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temporary equity</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4"/>
              </w:rPr>
              <w:t>Class A Non-voting Common Stock, par value $.01 per share; shares authorized: 100 million as of December</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4"/>
              </w:rPr>
              <w:t>31, 2015 and 2014 and September 30, 2015; issued and outstanding: 50,756,171 as of December 31, 2015;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50,680,358 as of December 31, 2014; and 50,726,289 as of September 30, 2015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3"/>
              </w:rPr>
              <w:t>Class B Voting Common Stock, convertible, par value $.01 per share; 3 million shares authorized; issued and</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outstanding: 2,970,171</w:t>
            </w:r>
          </w:p>
        </w:tc>
        <w:tc>
          <w:tcPr>
            <w:tcW w:w="1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307,080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415,663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521,198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423,137</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(54,019)</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EZCORP, Inc. stockholders’ equity</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664,890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822,661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676,735</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temporary equity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1,145,840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1,391,897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1,203,059</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74" w:right="239" w:bottom="346"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379"/>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ind w:left="620"/>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r>
      <w:tr>
        <w:trPr>
          <w:trHeight w:val="209"/>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left="620"/>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(8,266)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9,678</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8,090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9,030</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consumer loan premium,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1,982</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Consumer loan loss provision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9,691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7,590</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prepaid commissions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4,023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3,013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Loss on sale or disposal of assets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Income from investment in unconsolidated affiliate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6,381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(3,361)</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(7,824)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accrued expenses and deferred gains and 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(13,955)</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(2,895)</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income taxes and income taxes receivable</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4,074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3,903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Dividends from unconsolidated affiliate</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2,407</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made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(223,748)</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Loans repaid</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106,372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166,771</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58,566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69,886</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Additions to property and equipment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(8,954)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sale of assets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Payout of deferred and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settlement of forward currency contracts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3,557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2,313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bank borrowings, net of debt issuance costs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14,302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66,560</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bank borrowings and capital lease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(34,650)</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(21,675)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27,428</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(2,455)</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(36,343)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22,274</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55,325</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22,781</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77,599</w:t>
            </w:r>
          </w:p>
        </w:tc>
      </w:tr>
      <w:tr>
        <w:trPr>
          <w:trHeight w:val="163"/>
        </w:trPr>
        <w:tc>
          <w:tcPr>
            <w:tcW w:w="8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65,629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66,699</w:t>
            </w:r>
          </w:p>
        </w:tc>
      </w:tr>
      <w:tr>
        <w:trPr>
          <w:trHeight w:val="33"/>
        </w:trPr>
        <w:tc>
          <w:tcPr>
            <w:tcW w:w="8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936" w:right="239" w:bottom="1157"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OPERATING SEGMENT RESULTS (UNAUDITED)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Percentage Change</w:t>
            </w:r>
          </w:p>
        </w:tc>
      </w:tr>
      <w:tr>
        <w:trPr>
          <w:trHeight w:val="385"/>
        </w:trPr>
        <w:tc>
          <w:tcPr>
            <w:tcW w:w="6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58,621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57,035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91,994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89,442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36,533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30,825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9,600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17,007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3,674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96,887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91,718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318"/>
        </w:trPr>
        <w:tc>
          <w:tcPr>
            <w:tcW w:w="6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63,545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59,507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29,782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28,759</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18"/>
        </w:trPr>
        <w:tc>
          <w:tcPr>
            <w:tcW w:w="6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segment expenses (income)</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28,799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28,767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258,798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251,317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 general merchandise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Inventory turnover — jewelry</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200bps</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0bps</w:t>
            </w:r>
          </w:p>
        </w:tc>
      </w:tr>
      <w:tr>
        <w:trPr>
          <w:trHeight w:val="27"/>
        </w:trPr>
        <w:tc>
          <w:tcPr>
            <w:tcW w:w="6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80" w:hanging="345"/>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hanging="345"/>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ectPr>
          <w:pgSz w:w="11900" w:h="16838" w:orient="portrait"/>
          <w:cols w:equalWidth="0" w:num="1">
            <w:col w:w="11420"/>
          </w:cols>
          <w:pgMar w:left="240" w:top="58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presents selected summary financial data from continuing operations for the Mexico Pawn segment, including constant currency results, after translation to U.S. dollars from its functional currency of the Mexican peso. See “Non-GAAP Financial Information”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3"/>
              </w:rPr>
              <w:t>Three Months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2015 Constant</w:t>
            </w:r>
          </w:p>
        </w:tc>
        <w:tc>
          <w:tcPr>
            <w:tcW w:w="340" w:type="dxa"/>
            <w:vAlign w:val="bottom"/>
          </w:tcPr>
          <w:p>
            <w:pPr>
              <w:spacing w:after="0"/>
              <w:rPr>
                <w:sz w:val="13"/>
                <w:szCs w:val="13"/>
                <w:color w:val="auto"/>
              </w:rPr>
            </w:pPr>
          </w:p>
        </w:tc>
        <w:tc>
          <w:tcPr>
            <w:tcW w:w="8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 (a)</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USD thousands)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9,636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7,892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16,586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20,046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19,580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6,996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6,096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8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w w:val="94"/>
              </w:rPr>
              <w:t>Gross margin on jewelry scrapping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13,952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16,863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14,374</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91"/>
        </w:trPr>
        <w:tc>
          <w:tcPr>
            <w:tcW w:w="35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13,528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10,520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segment expenses (b)</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w w:val="93"/>
              </w:rPr>
              <w:t>Net earning assets —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32,074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37,747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31,764</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per store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-400bps</w:t>
            </w: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-500bps</w:t>
            </w: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100bps</w:t>
            </w: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200" w:hanging="345"/>
        <w:spacing w:after="0" w:line="253"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applicable period was used. For balance sheet items, the end of the period rate for the applicable period end was used.</w:t>
      </w:r>
    </w:p>
    <w:p>
      <w:pPr>
        <w:spacing w:after="0" w:line="11" w:lineRule="exact"/>
        <w:rPr>
          <w:rFonts w:ascii="Arial" w:cs="Arial" w:eastAsia="Arial" w:hAnsi="Arial"/>
          <w:sz w:val="14"/>
          <w:szCs w:val="14"/>
          <w:color w:val="auto"/>
        </w:rPr>
      </w:pPr>
    </w:p>
    <w:p>
      <w:pPr>
        <w:ind w:left="380" w:right="80" w:hanging="345"/>
        <w:spacing w:after="0" w:line="281"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three-month period ended December 31, 2015 constant currency balance excludes $0.1 million of net foreign currency transaction losses resulting from movement in exchange rates. The net foreign currency transaction losses for the three-month period ended December 31, 2014 were $0.4 million and are not excluded from the above results.</w:t>
      </w:r>
    </w:p>
    <w:p>
      <w:pPr>
        <w:spacing w:after="0" w:line="1" w:lineRule="exact"/>
        <w:rPr>
          <w:rFonts w:ascii="Arial" w:cs="Arial" w:eastAsia="Arial" w:hAnsi="Arial"/>
          <w:sz w:val="13"/>
          <w:szCs w:val="13"/>
          <w:color w:val="auto"/>
        </w:rPr>
      </w:pPr>
    </w:p>
    <w:p>
      <w:pPr>
        <w:ind w:left="380" w:hanging="345"/>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table below presents selected summary financial data from continuing operations for the Grupo Finmart segment, including constant currency results, after translation to U.S. dollars from its functional currency of the Mexican peso. See “Non-GAAP Financial Information”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w w:val="94"/>
              </w:rPr>
              <w:t>Three Months Ended December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2015 Constant</w:t>
            </w:r>
          </w:p>
        </w:tc>
        <w:tc>
          <w:tcPr>
            <w:tcW w:w="340" w:type="dxa"/>
            <w:vAlign w:val="bottom"/>
          </w:tcPr>
          <w:p>
            <w:pPr>
              <w:spacing w:after="0"/>
              <w:rPr>
                <w:sz w:val="13"/>
                <w:szCs w:val="13"/>
                <w:color w:val="auto"/>
              </w:rPr>
            </w:pPr>
          </w:p>
        </w:tc>
        <w:tc>
          <w:tcPr>
            <w:tcW w:w="8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Currency (a)</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10,814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13,070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16,315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10,897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13,170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16,371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11,991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14,493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7,740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8,631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8,288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8,281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(b)</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Segment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(16,901)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(19,500)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(8,197)</w:t>
            </w:r>
          </w:p>
        </w:tc>
        <w:tc>
          <w:tcPr>
            <w:tcW w:w="120" w:type="dxa"/>
            <w:vAlign w:val="bottom"/>
            <w:tcBorders>
              <w:bottom w:val="single" w:sz="8" w:color="CCEEFF"/>
            </w:tcBorders>
          </w:tcPr>
          <w:p>
            <w:pPr>
              <w:spacing w:after="0"/>
              <w:rPr>
                <w:sz w:val="24"/>
                <w:szCs w:val="24"/>
                <w:color w:val="auto"/>
              </w:rPr>
            </w:pPr>
          </w:p>
        </w:tc>
        <w:tc>
          <w:tcPr>
            <w:tcW w:w="17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7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Net earning assets —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119,475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115,186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originations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15,970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19,302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21,897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Consumer loan bad debt as a percentage of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gross average consumer loan balance (d)</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96" w:lineRule="exact"/>
        <w:rPr>
          <w:sz w:val="20"/>
          <w:szCs w:val="20"/>
          <w:color w:val="auto"/>
        </w:rPr>
      </w:pPr>
    </w:p>
    <w:p>
      <w:pPr>
        <w:ind w:left="500" w:right="100" w:hanging="465"/>
        <w:spacing w:after="0" w:line="181" w:lineRule="auto"/>
        <w:tabs>
          <w:tab w:leader="none" w:pos="500" w:val="left"/>
        </w:tabs>
        <w:numPr>
          <w:ilvl w:val="0"/>
          <w:numId w:val="12"/>
        </w:numPr>
        <w:rPr>
          <w:rFonts w:ascii="Arial" w:cs="Arial" w:eastAsia="Arial" w:hAnsi="Arial"/>
          <w:sz w:val="25"/>
          <w:szCs w:val="25"/>
          <w:color w:val="auto"/>
          <w:vertAlign w:val="superscript"/>
        </w:rPr>
      </w:pPr>
      <w:r>
        <w:rPr>
          <w:rFonts w:ascii="Arial" w:cs="Arial" w:eastAsia="Arial" w:hAnsi="Arial"/>
          <w:sz w:val="13"/>
          <w:szCs w:val="13"/>
          <w:color w:val="auto"/>
        </w:rPr>
        <w:t>For income statement items, the average closing daily exchange rate for the applicable period was used. For balance sheet items, the end of the period rate for the applicable period end was used.</w:t>
      </w:r>
    </w:p>
    <w:p>
      <w:pPr>
        <w:spacing w:after="0" w:line="21" w:lineRule="exact"/>
        <w:rPr>
          <w:rFonts w:ascii="Arial" w:cs="Arial" w:eastAsia="Arial" w:hAnsi="Arial"/>
          <w:sz w:val="25"/>
          <w:szCs w:val="25"/>
          <w:color w:val="auto"/>
          <w:vertAlign w:val="superscript"/>
        </w:rPr>
      </w:pPr>
    </w:p>
    <w:p>
      <w:pPr>
        <w:ind w:left="500" w:right="120" w:hanging="465"/>
        <w:spacing w:after="0" w:line="281" w:lineRule="auto"/>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three-month period ended December 31, 2015 constant currency balance excludes a $0.8 million of net foreign currency transaction losses resulting from movement in exchange rates. The net foreign currency transaction losses for the three-month period ended December 31, 2014 were $0.2 million and are not excluded from the above results.</w:t>
      </w:r>
    </w:p>
    <w:p>
      <w:pPr>
        <w:ind w:left="500" w:hanging="465"/>
        <w:spacing w:after="0" w:line="184" w:lineRule="auto"/>
        <w:tabs>
          <w:tab w:leader="none" w:pos="500" w:val="left"/>
        </w:tabs>
        <w:numPr>
          <w:ilvl w:val="0"/>
          <w:numId w:val="12"/>
        </w:numPr>
        <w:rPr>
          <w:rFonts w:ascii="Arial" w:cs="Arial" w:eastAsia="Arial" w:hAnsi="Arial"/>
          <w:sz w:val="29"/>
          <w:szCs w:val="29"/>
          <w:color w:val="auto"/>
          <w:vertAlign w:val="superscript"/>
        </w:rPr>
      </w:pPr>
      <w:r>
        <w:rPr>
          <w:rFonts w:ascii="Arial" w:cs="Arial" w:eastAsia="Arial" w:hAnsi="Arial"/>
          <w:sz w:val="14"/>
          <w:szCs w:val="14"/>
          <w:color w:val="auto"/>
        </w:rPr>
        <w:t>Constant currency result is calculated as the average monthly consumer loan origination balance translated at the average closing daily exchange rate for the applicable period.</w:t>
      </w:r>
    </w:p>
    <w:p>
      <w:pPr>
        <w:spacing w:after="0" w:line="87" w:lineRule="exact"/>
        <w:rPr>
          <w:rFonts w:ascii="Arial" w:cs="Arial" w:eastAsia="Arial" w:hAnsi="Arial"/>
          <w:sz w:val="29"/>
          <w:szCs w:val="29"/>
          <w:color w:val="auto"/>
          <w:vertAlign w:val="superscript"/>
        </w:rPr>
      </w:pPr>
    </w:p>
    <w:p>
      <w:pPr>
        <w:ind w:left="500" w:right="320" w:hanging="465"/>
        <w:spacing w:after="0" w:line="190" w:lineRule="auto"/>
        <w:tabs>
          <w:tab w:leader="none" w:pos="500" w:val="left"/>
        </w:tabs>
        <w:numPr>
          <w:ilvl w:val="0"/>
          <w:numId w:val="12"/>
        </w:numPr>
        <w:rPr>
          <w:rFonts w:ascii="Arial" w:cs="Arial" w:eastAsia="Arial" w:hAnsi="Arial"/>
          <w:sz w:val="23"/>
          <w:szCs w:val="23"/>
          <w:color w:val="auto"/>
          <w:vertAlign w:val="superscript"/>
        </w:rPr>
      </w:pPr>
      <w:r>
        <w:rPr>
          <w:rFonts w:ascii="Arial" w:cs="Arial" w:eastAsia="Arial" w:hAnsi="Arial"/>
          <w:sz w:val="12"/>
          <w:szCs w:val="12"/>
          <w:color w:val="auto"/>
        </w:rPr>
        <w:t>Represents consumer loan bad debt expense during the applicable period as a percentage of the average monthly consumer loan balance during the applicable period. Constant currency consumer loan balance is calculated using the end of period rate for each month.</w:t>
      </w:r>
    </w:p>
    <w:p>
      <w:pPr>
        <w:sectPr>
          <w:pgSz w:w="11900" w:h="16838" w:orient="portrait"/>
          <w:cols w:equalWidth="0" w:num="1">
            <w:col w:w="11420"/>
          </w:cols>
          <w:pgMar w:left="240" w:top="74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December 31, 2015</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Company-owned Stores</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4"/>
        </w:trPr>
        <w:tc>
          <w:tcPr>
            <w:tcW w:w="3500" w:type="dxa"/>
            <w:vAlign w:val="bottom"/>
          </w:tcPr>
          <w:p>
            <w:pPr>
              <w:spacing w:after="0"/>
              <w:rPr>
                <w:sz w:val="22"/>
                <w:szCs w:val="22"/>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U.S. Pawn</w:t>
            </w:r>
          </w:p>
        </w:tc>
        <w:tc>
          <w:tcPr>
            <w:tcW w:w="1260" w:type="dxa"/>
            <w:vAlign w:val="bottom"/>
          </w:tcPr>
          <w:p>
            <w:pPr>
              <w:jc w:val="right"/>
              <w:ind w:right="134"/>
              <w:spacing w:after="0"/>
              <w:rPr>
                <w:sz w:val="20"/>
                <w:szCs w:val="20"/>
                <w:color w:val="auto"/>
              </w:rPr>
            </w:pPr>
            <w:r>
              <w:rPr>
                <w:rFonts w:ascii="Arial" w:cs="Arial" w:eastAsia="Arial" w:hAnsi="Arial"/>
                <w:sz w:val="14"/>
                <w:szCs w:val="14"/>
                <w:b w:val="1"/>
                <w:bCs w:val="1"/>
                <w:color w:val="auto"/>
              </w:rPr>
              <w:t>Mexico Pawn</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Grupo Finmart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Consolidated</w:t>
            </w:r>
          </w:p>
        </w:tc>
        <w:tc>
          <w:tcPr>
            <w:tcW w:w="100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35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As of December 31, 2015</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r>
      <w:tr>
        <w:trPr>
          <w:trHeight w:val="27"/>
        </w:trPr>
        <w:tc>
          <w:tcPr>
            <w:tcW w:w="3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tcPr>
          <w:p>
            <w:pPr>
              <w:ind w:left="40"/>
              <w:spacing w:after="0"/>
              <w:rPr>
                <w:sz w:val="20"/>
                <w:szCs w:val="20"/>
                <w:color w:val="auto"/>
              </w:rPr>
            </w:pPr>
            <w:r>
              <w:rPr>
                <w:rFonts w:ascii="Arial" w:cs="Arial" w:eastAsia="Arial" w:hAnsi="Arial"/>
                <w:sz w:val="14"/>
                <w:szCs w:val="14"/>
                <w:color w:val="auto"/>
              </w:rPr>
              <w:t>*  Includes five buy/sell stores.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44"/>
        </w:trPr>
        <w:tc>
          <w:tcPr>
            <w:tcW w:w="36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December 31, 2014</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366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3660" w:type="dxa"/>
            <w:vAlign w:val="bottom"/>
          </w:tcPr>
          <w:p>
            <w:pPr>
              <w:spacing w:after="0"/>
              <w:rPr>
                <w:sz w:val="22"/>
                <w:szCs w:val="22"/>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U.S. Pawn</w:t>
            </w: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Mexico Pawn</w:t>
            </w: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Grupo Finmart</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36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2014</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As of December 31, 2014</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3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INFORMATION</w:t>
      </w:r>
    </w:p>
    <w:p>
      <w:pPr>
        <w:spacing w:after="0" w:line="175" w:lineRule="exact"/>
        <w:rPr>
          <w:sz w:val="20"/>
          <w:szCs w:val="20"/>
          <w:color w:val="auto"/>
        </w:rPr>
      </w:pPr>
    </w:p>
    <w:p>
      <w:pPr>
        <w:ind w:left="60" w:right="20"/>
        <w:spacing w:after="0" w:line="270" w:lineRule="auto"/>
        <w:rPr>
          <w:sz w:val="20"/>
          <w:szCs w:val="20"/>
          <w:color w:val="auto"/>
        </w:rPr>
      </w:pPr>
      <w:r>
        <w:rPr>
          <w:rFonts w:ascii="Arial" w:cs="Arial" w:eastAsia="Arial" w:hAnsi="Arial"/>
          <w:sz w:val="17"/>
          <w:szCs w:val="17"/>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results to evaluate results of the Mexico Pawn and Grupo Finmart segment operations, which are denominated in Mexican pesos and believe that presentation of constant currency results is meaningful and useful in understanding the activities and business metrics of our Mexico Pawn and Grupo Finmart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comparable period, in order to exclude the effects of foreign currency rate fluctuations. For condensed consolidated balance sheet items, the average Mexican peso to U.S. dollar exchange rate as of December 31, 2015 of 17.3 to 1 was used, compared to the end of period rate as of December 31, 2014 of 14.7 to 1. For condensed consolidated statement of operations items, the average closing daily exchange rate for the appropriate period was used. The average Mexican peso to U.S. dollar exchange rate for the current three-month period ended December 31, 2015 was 16.8 to 1 as compared to the prior year three-month period ended December 31, 2014 rate of 13.9 to 1. Constant currency results, where presented, also exclude foreign currency gain or loss and the related foreign currency derivative gain or loss impact.</w:t>
      </w:r>
    </w:p>
    <w:p>
      <w:pPr>
        <w:sectPr>
          <w:pgSz w:w="11900" w:h="16838" w:orient="portrait"/>
          <w:cols w:equalWidth="0" w:num="1">
            <w:col w:w="11420"/>
          </w:cols>
          <w:pgMar w:left="240" w:top="585" w:right="239" w:bottom="144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t>The following information provides reconciliations of certain non-GAAP financial measures presented in this press release to the most directly comparable financial measures calculated and presented in accordance with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9"/>
              </w:rPr>
              <w:t>Dollar Amount</w:t>
            </w:r>
          </w:p>
        </w:tc>
        <w:tc>
          <w:tcPr>
            <w:tcW w:w="100" w:type="dxa"/>
            <w:vAlign w:val="bottom"/>
            <w:vMerge w:val="restart"/>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4"/>
                <w:szCs w:val="14"/>
                <w:b w:val="1"/>
                <w:bCs w:val="1"/>
                <w:color w:val="auto"/>
                <w:w w:val="99"/>
              </w:rPr>
              <w:t>Percentage Change</w:t>
            </w:r>
          </w:p>
        </w:tc>
        <w:tc>
          <w:tcPr>
            <w:tcW w:w="0" w:type="dxa"/>
            <w:vAlign w:val="bottom"/>
          </w:tcPr>
          <w:p>
            <w:pPr>
              <w:spacing w:after="0"/>
              <w:rPr>
                <w:sz w:val="1"/>
                <w:szCs w:val="1"/>
                <w:color w:val="auto"/>
              </w:rPr>
            </w:pPr>
          </w:p>
        </w:tc>
      </w:tr>
      <w:tr>
        <w:trPr>
          <w:trHeight w:val="192"/>
        </w:trPr>
        <w:tc>
          <w:tcPr>
            <w:tcW w:w="8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18"/>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3"/>
          </w:tcPr>
          <w:p>
            <w:pPr>
              <w:jc w:val="right"/>
              <w:ind w:right="96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pawn loans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157,905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pawn loans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160,466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Same store consolidated pawn loans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151,393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same store consolidated pawn loans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153,925</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198,454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7,436</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205,890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111,516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2,682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114,198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115,373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4,825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120,198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core pawn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24,559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5,123</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core pawn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29,682</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service charge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7,973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core pawn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9,636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Same store Mexico Pawn loans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same store Mexico Pawn loans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16,856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Grupo Finmart segment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(2,599)</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Grupo Finmart segment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Grupo Finmart operations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9,588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Constant currency Grupo Finmart operations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11,588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33"/>
        </w:trPr>
        <w:tc>
          <w:tcPr>
            <w:tcW w:w="8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2020-01-19T13:12:55Z</dcterms:created>
  <dcterms:modified xsi:type="dcterms:W3CDTF">2020-01-19T13:12:55Z</dcterms:modified>
</cp:coreProperties>
</file>