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2, 2022</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1820" w:type="dxa"/>
            <w:vAlign w:val="bottom"/>
          </w:tcPr>
          <w:p>
            <w:pPr>
              <w:jc w:val="center"/>
              <w:ind w:right="10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44"/>
        </w:trPr>
        <w:tc>
          <w:tcPr>
            <w:tcW w:w="1820" w:type="dxa"/>
            <w:vAlign w:val="bottom"/>
          </w:tcPr>
          <w:p>
            <w:pPr>
              <w:jc w:val="center"/>
              <w:ind w:right="102"/>
              <w:spacing w:after="0" w:line="144" w:lineRule="exact"/>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78"/>
              <w:spacing w:after="0" w:line="144" w:lineRule="exact"/>
              <w:rPr>
                <w:sz w:val="20"/>
                <w:szCs w:val="20"/>
                <w:color w:val="auto"/>
              </w:rPr>
            </w:pPr>
            <w:r>
              <w:rPr>
                <w:rFonts w:ascii="Arial" w:cs="Arial" w:eastAsia="Arial" w:hAnsi="Arial"/>
                <w:sz w:val="14"/>
                <w:szCs w:val="14"/>
                <w:b w:val="1"/>
                <w:bCs w:val="1"/>
                <w:color w:val="auto"/>
                <w:w w:val="92"/>
              </w:rPr>
              <w:t>(Commission</w:t>
            </w:r>
          </w:p>
        </w:tc>
        <w:tc>
          <w:tcPr>
            <w:tcW w:w="1420" w:type="dxa"/>
            <w:vAlign w:val="bottom"/>
          </w:tcPr>
          <w:p>
            <w:pPr>
              <w:jc w:val="center"/>
              <w:ind w:left="202"/>
              <w:spacing w:after="0" w:line="144"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820" w:type="dxa"/>
            <w:vAlign w:val="bottom"/>
          </w:tcPr>
          <w:p>
            <w:pPr>
              <w:jc w:val="center"/>
              <w:ind w:right="10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7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91"/>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24"/>
                <w:szCs w:val="24"/>
                <w:color w:val="auto"/>
              </w:rPr>
            </w:pPr>
          </w:p>
        </w:tc>
      </w:tr>
      <w:tr>
        <w:trPr>
          <w:trHeight w:val="186"/>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1"/>
        </w:trPr>
        <w:tc>
          <w:tcPr>
            <w:tcW w:w="47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Arial" w:cs="Arial" w:eastAsia="Arial" w:hAnsi="Arial"/>
                <w:sz w:val="14"/>
                <w:szCs w:val="14"/>
                <w:b w:val="1"/>
                <w:bCs w:val="1"/>
                <w:color w:val="auto"/>
              </w:rPr>
              <w:t>EZPW</w:t>
            </w:r>
          </w:p>
        </w:tc>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9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ind w:left="86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February 2, 2021, EZCORP, Inc. ("EZCORP") issued a press release announcing its results of operations and financial condition for the quarter ended December 31, 2021. A copy of that press release is attached as Exhibit 99.1.</w:t>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copy of the presentation materials that management will review during the Company’s earnings conference call (to be held on February 3, 2022) will be posted in the Investor Relations section of the company’s website at www.ezcorp.com.</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Exhibits.</w:t>
      </w:r>
    </w:p>
    <w:p>
      <w:pPr>
        <w:spacing w:after="0" w:line="293" w:lineRule="exact"/>
        <w:rPr>
          <w:sz w:val="20"/>
          <w:szCs w:val="20"/>
          <w:color w:val="auto"/>
        </w:rPr>
      </w:pPr>
    </w:p>
    <w:p>
      <w:pPr>
        <w:ind w:left="720" w:right="1000" w:hanging="687"/>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99.1 </w:t>
      </w:r>
      <w:hyperlink w:anchor="page3">
        <w:r>
          <w:rPr>
            <w:rFonts w:ascii="Arial" w:cs="Arial" w:eastAsia="Arial" w:hAnsi="Arial"/>
            <w:sz w:val="18"/>
            <w:szCs w:val="18"/>
            <w:u w:val="single" w:color="auto"/>
            <w:color w:val="0000FF"/>
          </w:rPr>
          <w:t>Press Release, dated February 2, 2022, announcing EZCORP, Inc.’s results of operations and financial condition for the quarter and year</w:t>
        </w:r>
      </w:hyperlink>
      <w:r>
        <w:rPr>
          <w:rFonts w:ascii="Arial" w:cs="Arial" w:eastAsia="Arial" w:hAnsi="Arial"/>
          <w:sz w:val="18"/>
          <w:szCs w:val="18"/>
          <w:color w:val="auto"/>
        </w:rPr>
        <w:t xml:space="preserve"> </w:t>
      </w:r>
      <w:hyperlink w:anchor="page3">
        <w:r>
          <w:rPr>
            <w:rFonts w:ascii="Arial" w:cs="Arial" w:eastAsia="Arial" w:hAnsi="Arial"/>
            <w:sz w:val="18"/>
            <w:szCs w:val="18"/>
            <w:u w:val="single" w:color="auto"/>
            <w:color w:val="0000FF"/>
          </w:rPr>
          <w:t>ended December 31, 2021.</w:t>
        </w:r>
      </w:hyperlink>
    </w:p>
    <w:p>
      <w:pPr>
        <w:ind w:left="60"/>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480" w:type="dxa"/>
            <w:vAlign w:val="bottom"/>
            <w:gridSpan w:val="2"/>
          </w:tcPr>
          <w:p>
            <w:pPr>
              <w:ind w:left="1500"/>
              <w:spacing w:after="0"/>
              <w:rPr>
                <w:sz w:val="20"/>
                <w:szCs w:val="20"/>
                <w:color w:val="auto"/>
              </w:rPr>
            </w:pPr>
            <w:r>
              <w:rPr>
                <w:rFonts w:ascii="Arial" w:cs="Arial" w:eastAsia="Arial" w:hAnsi="Arial"/>
                <w:sz w:val="18"/>
                <w:szCs w:val="18"/>
                <w:color w:val="auto"/>
              </w:rPr>
              <w:t>EZCORP, INC.</w:t>
            </w:r>
          </w:p>
        </w:tc>
      </w:tr>
      <w:tr>
        <w:trPr>
          <w:trHeight w:val="283"/>
        </w:trPr>
        <w:tc>
          <w:tcPr>
            <w:tcW w:w="3200" w:type="dxa"/>
            <w:vAlign w:val="bottom"/>
          </w:tcPr>
          <w:p>
            <w:pPr>
              <w:spacing w:after="0"/>
              <w:rPr>
                <w:sz w:val="20"/>
                <w:szCs w:val="20"/>
                <w:color w:val="auto"/>
              </w:rPr>
            </w:pPr>
            <w:r>
              <w:rPr>
                <w:rFonts w:ascii="Arial" w:cs="Arial" w:eastAsia="Arial" w:hAnsi="Arial"/>
                <w:sz w:val="18"/>
                <w:szCs w:val="18"/>
                <w:color w:val="auto"/>
              </w:rPr>
              <w:t>Date: February 2, 2022</w:t>
            </w:r>
          </w:p>
        </w:tc>
        <w:tc>
          <w:tcPr>
            <w:tcW w:w="2140" w:type="dxa"/>
            <w:vAlign w:val="bottom"/>
          </w:tcPr>
          <w:p>
            <w:pPr>
              <w:ind w:left="150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K. Jugmans</w:t>
            </w:r>
          </w:p>
        </w:tc>
      </w:tr>
      <w:tr>
        <w:trPr>
          <w:trHeight w:val="222"/>
        </w:trPr>
        <w:tc>
          <w:tcPr>
            <w:tcW w:w="3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Timothy K. Jugmans</w:t>
            </w:r>
          </w:p>
        </w:tc>
      </w:tr>
      <w:tr>
        <w:trPr>
          <w:trHeight w:val="230"/>
        </w:trPr>
        <w:tc>
          <w:tcPr>
            <w:tcW w:w="3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1053" w:right="359" w:bottom="1440" w:gutter="0" w:footer="0" w:header="0"/>
        </w:sectPr>
      </w:pPr>
    </w:p>
    <w:bookmarkStart w:id="2" w:name="page3"/>
    <w:bookmarkEnd w:id="2"/>
    <w:p>
      <w:pPr>
        <w:spacing w:after="0" w:line="2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2771140</wp:posOffset>
            </wp:positionH>
            <wp:positionV relativeFrom="page">
              <wp:posOffset>603250</wp:posOffset>
            </wp:positionV>
            <wp:extent cx="2005965" cy="351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7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5"/>
          <w:szCs w:val="25"/>
          <w:b w:val="1"/>
          <w:bCs w:val="1"/>
          <w:color w:val="auto"/>
        </w:rPr>
        <w:t>EZCORP Reports First Quarter 2022 Results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PLO Up 19%; Revenue up 24%; Net Income up 266%</w:t>
      </w:r>
    </w:p>
    <w:p>
      <w:pPr>
        <w:ind w:right="320"/>
        <w:spacing w:after="0" w:line="235" w:lineRule="auto"/>
        <w:rPr>
          <w:sz w:val="20"/>
          <w:szCs w:val="20"/>
          <w:color w:val="auto"/>
        </w:rPr>
      </w:pPr>
      <w:r>
        <w:rPr>
          <w:rFonts w:ascii="Arial" w:cs="Arial" w:eastAsia="Arial" w:hAnsi="Arial"/>
          <w:sz w:val="18"/>
          <w:szCs w:val="18"/>
          <w:b w:val="1"/>
          <w:bCs w:val="1"/>
          <w:color w:val="auto"/>
        </w:rPr>
        <w:t xml:space="preserve">Austin, Texas (February 2, 2022) — </w:t>
      </w:r>
      <w:r>
        <w:rPr>
          <w:rFonts w:ascii="Arial" w:cs="Arial" w:eastAsia="Arial" w:hAnsi="Arial"/>
          <w:sz w:val="18"/>
          <w:szCs w:val="18"/>
          <w:color w:val="auto"/>
        </w:rPr>
        <w:t>EZCORP, Inc. (NASDAQ: EZPW), a leading provider of pawn transactions in the United States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Latin America, today announced results for its first quarter ended December 31, 2021.</w:t>
      </w:r>
    </w:p>
    <w:p>
      <w:pPr>
        <w:spacing w:after="0" w:line="135"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i w:val="1"/>
          <w:iCs w:val="1"/>
          <w:color w:val="auto"/>
        </w:rPr>
        <w:t>All amounts in this release are in conformity with U.S. generally accepted accounting principles ("GAAP") unless otherwise noted. Comparisons shown in this release are to the same period in the prior year unless otherwise noted.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19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Pawn loans outstanding (PLO) was up 19%.</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24%, and net revenue increased 22%.</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Merchandise sales gross profit margin remains high at 40%.</w:t>
      </w:r>
    </w:p>
    <w:p>
      <w:pPr>
        <w:spacing w:after="0" w:line="147" w:lineRule="exact"/>
        <w:rPr>
          <w:rFonts w:ascii="Arial" w:cs="Arial" w:eastAsia="Arial" w:hAnsi="Arial"/>
          <w:sz w:val="18"/>
          <w:szCs w:val="18"/>
          <w:color w:val="auto"/>
        </w:rPr>
      </w:pPr>
    </w:p>
    <w:p>
      <w:pPr>
        <w:ind w:left="660" w:right="140" w:hanging="328"/>
        <w:spacing w:after="0" w:line="218" w:lineRule="auto"/>
        <w:tabs>
          <w:tab w:leader="none" w:pos="669"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Diluted earnings per share of $0.21 were up significantly from $0.08. On an adjusted basis</w:t>
      </w:r>
      <w:r>
        <w:rPr>
          <w:rFonts w:ascii="Arial" w:cs="Arial" w:eastAsia="Arial" w:hAnsi="Arial"/>
          <w:sz w:val="23"/>
          <w:szCs w:val="23"/>
          <w:color w:val="auto"/>
          <w:vertAlign w:val="superscript"/>
        </w:rPr>
        <w:t>1</w:t>
      </w:r>
      <w:r>
        <w:rPr>
          <w:rFonts w:ascii="Arial" w:cs="Arial" w:eastAsia="Arial" w:hAnsi="Arial"/>
          <w:sz w:val="18"/>
          <w:szCs w:val="18"/>
          <w:color w:val="auto"/>
        </w:rPr>
        <w:t>, diluted earnings per share were $0.22, compared to diluted earnings per share of $0.13.</w:t>
      </w:r>
    </w:p>
    <w:p>
      <w:pPr>
        <w:spacing w:after="0" w:line="14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Return on earning assets (ROEA) remains strong at 177%.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COMMENTARY AND OUTLOOK</w:t>
      </w:r>
    </w:p>
    <w:p>
      <w:pPr>
        <w:spacing w:after="0" w:line="1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Co-Interim Chief Executive Officer Lachie Given stated, “It was a very strong first quarter, as our passionate and productive team continued to execute on the plan we put in place at the end of fiscal 2020. These initiatives are driving better returns and improved financial metrics. PLO continues to recover, getting closer to pre-pandemic levels, and margins remain strong as our team has adopted the changes we implemented 18 months ago to improve inventory turns and reduce aged merchandise.</w:t>
      </w:r>
    </w:p>
    <w:p>
      <w:pPr>
        <w:spacing w:after="0" w:line="1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first quarter we invested in a company with interests in 20 pawn stores primarily in the Caribbean with plans for further expansion. Our acquisition pipeline remains robust and we will continue to look for opportunities to diversify into new pawn markets.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truly proud to provide a unique and essential service to our customers, that by its very nature contributes to the circular economy by extending the useful life of items and reducing waste. I am very excited to continue working with this team as we go forward to collectively grow the business and increase value for our shareholders,” concluded Given.</w:t>
      </w:r>
    </w:p>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Co-Interim Chief Executive Officer Blair Powell said, “In my 30 plus years at EZCORP I have never before seen the level of enthusiasm and pride throughout the organization. Our team has thoroughly embraced our operating themes of People, Pawn and Passion. At every level the focus is on looking for ways to be more efficient and cost effective and to provide the optimal customer experience. Our refocused efforts continue to deliver tangible results, as we have seen our store level operating metrics continue to improve.</w:t>
      </w:r>
    </w:p>
    <w:p>
      <w:pPr>
        <w:spacing w:after="0" w:line="15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“Improving the customer experience is essential to our mission. The launch of our points-based loyalty program incentivizes customers to transact with us and has performed better than expected in the first quarter. We continue to enhance our online payment options and roll out our online showcase in selected markets for customers to view inventory. Our team members and customers drive our success, and we are laser focused on doing everything we can to optimize the customer and team member experience throughout the company,” concluded Powell.</w:t>
      </w:r>
    </w:p>
    <w:p>
      <w:pPr>
        <w:sectPr>
          <w:pgSz w:w="11900" w:h="16838" w:orient="portrait"/>
          <w:cols w:equalWidth="0" w:num="1">
            <w:col w:w="11220"/>
          </w:cols>
          <w:pgMar w:left="320" w:top="144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9"/>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580"/>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December 31</w:t>
            </w:r>
          </w:p>
        </w:tc>
        <w:tc>
          <w:tcPr>
            <w:tcW w:w="260" w:type="dxa"/>
            <w:vAlign w:val="bottom"/>
          </w:tcPr>
          <w:p>
            <w:pPr>
              <w:spacing w:after="0"/>
              <w:rPr>
                <w:sz w:val="24"/>
                <w:szCs w:val="24"/>
                <w:color w:val="auto"/>
              </w:rPr>
            </w:pPr>
          </w:p>
        </w:tc>
        <w:tc>
          <w:tcPr>
            <w:tcW w:w="2720" w:type="dxa"/>
            <w:vAlign w:val="bottom"/>
            <w:gridSpan w:val="5"/>
          </w:tcPr>
          <w:p>
            <w:pPr>
              <w:ind w:left="48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3"/>
                <w:szCs w:val="23"/>
                <w:b w:val="1"/>
                <w:bCs w:val="1"/>
                <w:color w:val="auto"/>
                <w:vertAlign w:val="superscript"/>
              </w:rPr>
              <w:t>1</w:t>
            </w:r>
          </w:p>
        </w:tc>
        <w:tc>
          <w:tcPr>
            <w:tcW w:w="820" w:type="dxa"/>
            <w:vAlign w:val="bottom"/>
          </w:tcPr>
          <w:p>
            <w:pPr>
              <w:spacing w:after="0"/>
              <w:rPr>
                <w:sz w:val="24"/>
                <w:szCs w:val="24"/>
                <w:color w:val="auto"/>
              </w:rPr>
            </w:pP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2020</w:t>
            </w:r>
          </w:p>
        </w:tc>
      </w:tr>
      <w:tr>
        <w:trPr>
          <w:trHeight w:val="263"/>
        </w:trPr>
        <w:tc>
          <w:tcPr>
            <w:tcW w:w="57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178.1</w:t>
            </w:r>
          </w:p>
        </w:tc>
        <w:tc>
          <w:tcPr>
            <w:tcW w:w="44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108.4</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108.4</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Income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EBITDA (non-GAAP measure)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w:t>
            </w:r>
          </w:p>
        </w:tc>
      </w:tr>
    </w:tbl>
    <w:p>
      <w:pPr>
        <w:spacing w:after="0" w:line="256" w:lineRule="exact"/>
        <w:rPr>
          <w:sz w:val="20"/>
          <w:szCs w:val="20"/>
          <w:color w:val="auto"/>
        </w:rPr>
      </w:pPr>
    </w:p>
    <w:p>
      <w:pPr>
        <w:ind w:left="660" w:hanging="328"/>
        <w:spacing w:after="0" w:line="246" w:lineRule="auto"/>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Diluted earnings per share were $0.21 for the first quarter, compared to $0.08. On an adjusted basis, diluted earnings per share were $0.22, compared to $0.13.</w:t>
      </w:r>
    </w:p>
    <w:p>
      <w:pPr>
        <w:spacing w:after="0" w:line="142"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before taxes improved to $21.3 million from $5.5 million, while adjusted EBITDA increased 81% to $31.2 million.</w:t>
      </w:r>
    </w:p>
    <w:p>
      <w:pPr>
        <w:spacing w:after="0" w:line="152" w:lineRule="exact"/>
        <w:rPr>
          <w:rFonts w:ascii="Arial" w:cs="Arial" w:eastAsia="Arial" w:hAnsi="Arial"/>
          <w:sz w:val="18"/>
          <w:szCs w:val="18"/>
          <w:color w:val="auto"/>
        </w:rPr>
      </w:pPr>
    </w:p>
    <w:p>
      <w:pPr>
        <w:ind w:left="660" w:right="700" w:hanging="328"/>
        <w:spacing w:after="0" w:line="229" w:lineRule="auto"/>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PLO increased 19% to $176.6 million, up $28.7 million. On a same-store basis</w:t>
      </w:r>
      <w:r>
        <w:rPr>
          <w:rFonts w:ascii="Arial" w:cs="Arial" w:eastAsia="Arial" w:hAnsi="Arial"/>
          <w:sz w:val="23"/>
          <w:szCs w:val="23"/>
          <w:color w:val="auto"/>
          <w:vertAlign w:val="superscript"/>
        </w:rPr>
        <w:t>2</w:t>
      </w:r>
      <w:r>
        <w:rPr>
          <w:rFonts w:ascii="Arial" w:cs="Arial" w:eastAsia="Arial" w:hAnsi="Arial"/>
          <w:sz w:val="18"/>
          <w:szCs w:val="18"/>
          <w:color w:val="auto"/>
        </w:rPr>
        <w:t>, PLO increased 15% year-over-year and 1% sequentially.</w:t>
      </w:r>
    </w:p>
    <w:p>
      <w:pPr>
        <w:spacing w:after="0" w:line="162" w:lineRule="exact"/>
        <w:rPr>
          <w:rFonts w:ascii="Arial" w:cs="Arial" w:eastAsia="Arial" w:hAnsi="Arial"/>
          <w:sz w:val="18"/>
          <w:szCs w:val="18"/>
          <w:b w:val="1"/>
          <w:bCs w:val="1"/>
          <w:color w:val="auto"/>
        </w:rPr>
      </w:pPr>
    </w:p>
    <w:p>
      <w:pPr>
        <w:ind w:left="660" w:right="52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increased 24%, and net revenues increased 22%, reflecting improved pawn service charge (PSC) revenue and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PSC increased 20% due to an increase in the average PLO balance during the quarter.</w:t>
      </w:r>
    </w:p>
    <w:p>
      <w:pPr>
        <w:spacing w:after="0" w:line="171" w:lineRule="exact"/>
        <w:rPr>
          <w:rFonts w:ascii="Arial" w:cs="Arial" w:eastAsia="Arial" w:hAnsi="Arial"/>
          <w:sz w:val="18"/>
          <w:szCs w:val="18"/>
          <w:color w:val="auto"/>
        </w:rPr>
      </w:pPr>
    </w:p>
    <w:p>
      <w:pPr>
        <w:jc w:val="both"/>
        <w:ind w:left="660" w:right="20" w:hanging="328"/>
        <w:spacing w:after="0" w:line="256"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Merchandise sales gross profit margin remains high at 40%, reflecting the commitment to improving the core business by decreasing aged general merchandise (now less than 1% of total general merchandise inventory) and focusing on selling inventory in the first 90 days.</w:t>
      </w:r>
    </w:p>
    <w:p>
      <w:pPr>
        <w:spacing w:after="0" w:line="147"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inventory increased 26% year-over-year and 7% sequentially, reflecting a return towards normalized inventory levels. Inventory turnover remained strong at 3.0x for the quarter, up from 2.9x.</w:t>
      </w:r>
    </w:p>
    <w:p>
      <w:pPr>
        <w:spacing w:after="0" w:line="143" w:lineRule="exact"/>
        <w:rPr>
          <w:rFonts w:ascii="Arial" w:cs="Arial" w:eastAsia="Arial" w:hAnsi="Arial"/>
          <w:sz w:val="18"/>
          <w:szCs w:val="18"/>
          <w:color w:val="auto"/>
        </w:rPr>
      </w:pPr>
    </w:p>
    <w:p>
      <w:pPr>
        <w:ind w:left="660" w:right="340" w:hanging="328"/>
        <w:spacing w:after="0" w:line="261" w:lineRule="auto"/>
        <w:tabs>
          <w:tab w:leader="none" w:pos="669"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Store expenses increased $7.5 million or 9%, primarily due to increased store count and rising labor costs resulting from growing transaction volume. On a same-store basis, store expenses increased 4%.</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and administrative expenses increased $3.0 million or 24%, primarily due to timing of fiscal year 2021 expenses.</w:t>
      </w:r>
    </w:p>
    <w:p>
      <w:pPr>
        <w:spacing w:after="0" w:line="171" w:lineRule="exact"/>
        <w:rPr>
          <w:rFonts w:ascii="Arial" w:cs="Arial" w:eastAsia="Arial" w:hAnsi="Arial"/>
          <w:sz w:val="18"/>
          <w:szCs w:val="18"/>
          <w:color w:val="auto"/>
        </w:rPr>
      </w:pPr>
    </w:p>
    <w:p>
      <w:pPr>
        <w:ind w:left="660" w:right="160" w:hanging="328"/>
        <w:spacing w:after="0" w:line="256" w:lineRule="auto"/>
        <w:tabs>
          <w:tab w:leader="none" w:pos="669"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Cash and cash equivalents at the end of the quarter was $233.3 million, down $57.2 million or 20% year-over-year and down $20.4 million or 8% on a sequential basis. The decrease is primarily due to the increase in PLO and inventory and the acquisition of new stores.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right="50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PLO continued to increase, ending the quarter up 16% (15% on a same store basis) year-over-year and up 4% on a sequential basis.</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6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was up 20% and net revenues increased 19%, reflecting increasing PSC, higher sales and improved merchandise sales gross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PSC increased 13% in the first quarter as a result of higher average PLO.</w:t>
      </w:r>
    </w:p>
    <w:p>
      <w:pPr>
        <w:spacing w:after="0" w:line="171" w:lineRule="exact"/>
        <w:rPr>
          <w:rFonts w:ascii="Arial" w:cs="Arial" w:eastAsia="Arial" w:hAnsi="Arial"/>
          <w:sz w:val="18"/>
          <w:szCs w:val="18"/>
          <w:color w:val="auto"/>
        </w:rPr>
      </w:pPr>
    </w:p>
    <w:p>
      <w:pPr>
        <w:ind w:left="660" w:right="60" w:hanging="328"/>
        <w:spacing w:after="0" w:line="291"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Merchandise sales gross profit gross margins improved to 43% from 42%, reflecting a continued focus on improving retailing and maintaining lower levels of aged general merchandise inventory (which improved to 0.4% from 3.4% of total merchandise inventory).</w:t>
      </w:r>
    </w:p>
    <w:p>
      <w:pPr>
        <w:sectPr>
          <w:pgSz w:w="11900" w:h="16838" w:orient="portrait"/>
          <w:cols w:equalWidth="0" w:num="1">
            <w:col w:w="11240"/>
          </w:cols>
          <w:pgMar w:left="320" w:top="1089" w:right="339" w:bottom="1440" w:gutter="0" w:footer="0" w:header="0"/>
        </w:sectPr>
      </w:pPr>
    </w:p>
    <w:bookmarkStart w:id="4" w:name="page5"/>
    <w:bookmarkEnd w:id="4"/>
    <w:p>
      <w:pPr>
        <w:ind w:left="660" w:right="10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inventory increased 16% year-over-year and 10% sequentially. Inventory turnover continued to improve, increasing to 2.8x from 2.6x for the prior-year quarter.</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Store expenses increased 4%, or $2.6 million, to $64.7 million, primarily due to rising labor costs resulting from growing transaction volume and store count.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Segment contribution increased to $34.5 million, up $13.8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jc w:val="both"/>
        <w:ind w:left="660" w:right="26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PLO improved 37% to $35.5 million (up 40% on constant currency basis). On a same store basis, PLO increased 18% (20% on a constant currency basis) year-over-year and decreased 10% (down 8% on a constant currency basis) sequentially consistent with seasonality.</w:t>
      </w:r>
    </w:p>
    <w:p>
      <w:pPr>
        <w:spacing w:after="0" w:line="147" w:lineRule="exact"/>
        <w:rPr>
          <w:rFonts w:ascii="Arial" w:cs="Arial" w:eastAsia="Arial" w:hAnsi="Arial"/>
          <w:sz w:val="18"/>
          <w:szCs w:val="18"/>
          <w:color w:val="auto"/>
        </w:rPr>
      </w:pPr>
    </w:p>
    <w:p>
      <w:pPr>
        <w:ind w:left="660" w:right="40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was up 38% (39% on a constant currency basis), while net revenues increased 33% (34% on a constant currency basis).</w:t>
      </w:r>
    </w:p>
    <w:p>
      <w:pPr>
        <w:spacing w:after="0" w:line="143" w:lineRule="exact"/>
        <w:rPr>
          <w:rFonts w:ascii="Arial" w:cs="Arial" w:eastAsia="Arial" w:hAnsi="Arial"/>
          <w:sz w:val="18"/>
          <w:szCs w:val="18"/>
          <w:color w:val="auto"/>
        </w:rPr>
      </w:pPr>
    </w:p>
    <w:p>
      <w:pPr>
        <w:ind w:left="66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PSC increased 47% to $19.5 million (up 47% to $19.6 million on a constant currency basis) as a result of higher average PLO for the quarter.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Merchandise sales gross profit margins decreased from 35% to 29% reflecting a return to more normalized margins.</w:t>
      </w:r>
    </w:p>
    <w:p>
      <w:pPr>
        <w:spacing w:after="0" w:line="184" w:lineRule="exact"/>
        <w:rPr>
          <w:rFonts w:ascii="Arial" w:cs="Arial" w:eastAsia="Arial" w:hAnsi="Arial"/>
          <w:sz w:val="18"/>
          <w:szCs w:val="18"/>
          <w:color w:val="auto"/>
        </w:rPr>
      </w:pPr>
    </w:p>
    <w:p>
      <w:pPr>
        <w:ind w:left="660" w:right="500" w:hanging="328"/>
        <w:spacing w:after="0" w:line="237" w:lineRule="auto"/>
        <w:tabs>
          <w:tab w:leader="none" w:pos="662" w:val="left"/>
        </w:tabs>
        <w:numPr>
          <w:ilvl w:val="0"/>
          <w:numId w:val="6"/>
        </w:numPr>
        <w:rPr>
          <w:rFonts w:ascii="Arial" w:cs="Arial" w:eastAsia="Arial" w:hAnsi="Arial"/>
          <w:sz w:val="20"/>
          <w:szCs w:val="20"/>
          <w:color w:val="auto"/>
        </w:rPr>
      </w:pPr>
      <w:r>
        <w:rPr>
          <w:rFonts w:ascii="Arial" w:cs="Arial" w:eastAsia="Arial" w:hAnsi="Arial"/>
          <w:sz w:val="18"/>
          <w:szCs w:val="18"/>
          <w:color w:val="auto"/>
        </w:rPr>
        <w:t>Net inventory increased 67% (71% on a constant currency basis), but was up only 1% sequentially (3% on a constant currency basis). Inventory turnover remains strong at 3.6x down from 3.8x for the prior-year quarter.</w:t>
      </w:r>
    </w:p>
    <w:p>
      <w:pPr>
        <w:spacing w:after="0" w:line="162" w:lineRule="exact"/>
        <w:rPr>
          <w:rFonts w:ascii="Arial" w:cs="Arial" w:eastAsia="Arial" w:hAnsi="Arial"/>
          <w:sz w:val="20"/>
          <w:szCs w:val="20"/>
          <w:color w:val="auto"/>
        </w:rPr>
      </w:pPr>
    </w:p>
    <w:p>
      <w:pPr>
        <w:jc w:val="both"/>
        <w:ind w:left="660" w:right="340" w:hanging="328"/>
        <w:spacing w:after="0" w:line="256"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expenses increased $4.9 million or 28% ($5.0 million or 29% on a constant currency basis) primarily due to growth in store count and rising labor costs resulting from growing transaction volume. Same-store expenses increased $0.9 million or 5% ($1.0 million or 6% on a constant currency basis).</w:t>
      </w:r>
    </w:p>
    <w:p>
      <w:pPr>
        <w:spacing w:after="0" w:line="147" w:lineRule="exact"/>
        <w:rPr>
          <w:rFonts w:ascii="Arial" w:cs="Arial" w:eastAsia="Arial" w:hAnsi="Arial"/>
          <w:sz w:val="18"/>
          <w:szCs w:val="18"/>
          <w:color w:val="auto"/>
        </w:rPr>
      </w:pPr>
    </w:p>
    <w:p>
      <w:pPr>
        <w:ind w:left="660" w:right="80" w:hanging="328"/>
        <w:spacing w:after="0" w:line="261"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contribution was $6.5 million ($6.6 million on a constant currency basis), compared to $5.0 million in the prior-year quarter. On an adjusted basis, the increase in segment contribution was $1.8 million to $6.6 million.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store count increased by one de novo store opened during the quarter.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10-Q</w:t>
      </w:r>
    </w:p>
    <w:p>
      <w:pPr>
        <w:spacing w:after="0" w:line="193"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EZCORP’s Quarterly Report on Form 10-Q for the quarter ended December 31, 2021 has been filed with the Securities and Exchange Commission. The report is available in the Investor Relations section of the Company’s website at http://investors.ezcorp.com. EZCORP shareholders may obtain a paper copy of the report, free of charge, by sending a request to the investor relations contact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 xml:space="preserve">EZCORP will host a conference call on Thursday, February 3, 2022, at 7:00 am Central Time to discuss First Quarter Fiscal 2022 results. Analysts and institutional investors may participate on the conference call by dialing (833) 579-0921, Conference ID: </w:t>
      </w:r>
      <w:r>
        <w:rPr>
          <w:rFonts w:ascii="Arial" w:cs="Arial" w:eastAsia="Arial" w:hAnsi="Arial"/>
          <w:sz w:val="18"/>
          <w:szCs w:val="18"/>
          <w:color w:val="111111"/>
        </w:rPr>
        <w:t>3989568</w:t>
      </w:r>
      <w:r>
        <w:rPr>
          <w:rFonts w:ascii="Arial" w:cs="Arial" w:eastAsia="Arial" w:hAnsi="Arial"/>
          <w:sz w:val="18"/>
          <w:szCs w:val="18"/>
          <w:color w:val="auto"/>
        </w:rPr>
        <w:t>, or internationally by dialing (778) 560-2579. The conference call will be webcast simultaneously to the public through this</w:t>
      </w:r>
    </w:p>
    <w:p>
      <w:pPr>
        <w:spacing w:after="0" w:line="235" w:lineRule="auto"/>
        <w:rPr>
          <w:sz w:val="20"/>
          <w:szCs w:val="20"/>
          <w:color w:val="auto"/>
        </w:rPr>
      </w:pPr>
      <w:r>
        <w:rPr>
          <w:rFonts w:ascii="Arial" w:cs="Arial" w:eastAsia="Arial" w:hAnsi="Arial"/>
          <w:sz w:val="18"/>
          <w:szCs w:val="18"/>
          <w:color w:val="auto"/>
        </w:rPr>
        <w:t xml:space="preserve">link: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auto"/>
        </w:rPr>
        <w:t>http://investors.ezcorp.com/</w:t>
      </w:r>
      <w:r>
        <w:rPr>
          <w:rFonts w:ascii="Arial" w:cs="Arial" w:eastAsia="Arial" w:hAnsi="Arial"/>
          <w:sz w:val="18"/>
          <w:szCs w:val="18"/>
          <w:color w:val="auto"/>
        </w:rPr>
        <w:t xml:space="preserve"> shortly after the end of the call.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Formed in 1989, EZCORP has grown into a leading provider of pawn transactions in the United States and Latin America. We also sell merchandise, primarily collateral forfeited from pawn lending operations and pre-owned and recycled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1000 Index and Nasdaq Composite Index.</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Follow us on social media: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Facebook EZPAWN Official https://www.facebook.com/EZPAWN/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Instagram Official https://www.instagram.com/ezcorp_official/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199" w:lineRule="auto"/>
        <w:rPr>
          <w:sz w:val="20"/>
          <w:szCs w:val="20"/>
          <w:color w:val="auto"/>
        </w:rPr>
      </w:pPr>
      <w:r>
        <w:rPr>
          <w:rFonts w:ascii="Arial" w:cs="Arial" w:eastAsia="Arial" w:hAnsi="Arial"/>
          <w:sz w:val="18"/>
          <w:szCs w:val="18"/>
          <w:i w:val="1"/>
          <w:iCs w:val="1"/>
          <w:color w:val="auto"/>
          <w:vertAlign w:val="superscript"/>
        </w:rPr>
        <w:t>2</w:t>
      </w:r>
      <w:r>
        <w:rPr>
          <w:rFonts w:ascii="Arial" w:cs="Arial" w:eastAsia="Arial" w:hAnsi="Arial"/>
          <w:sz w:val="14"/>
          <w:szCs w:val="14"/>
          <w:i w:val="1"/>
          <w:iCs w:val="1"/>
          <w:color w:val="auto"/>
        </w:rPr>
        <w:t>”Same Store” basis, which is a non-GAAP measure, includes stores open the entirety of the comparable periods.</w:t>
      </w:r>
    </w:p>
    <w:p>
      <w:pPr>
        <w:ind w:right="300"/>
        <w:spacing w:after="0" w:line="255"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20"/>
          </w:cols>
          <w:pgMar w:left="320" w:top="1111"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EZPAWN Instagram Official https://www.instagram.com/ezpawnofficial/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EZCORP Linked In https://www.linkedin.com/company/ezcorp/</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340"/>
        <w:spacing w:after="0" w:line="227" w:lineRule="auto"/>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”Adjusted” basis, which is a non-GAAP measure, excludes certain items. “Constant currency” basis, which is a non-GAAP measure, excludes the impact of foreign currency exchange rate fluctuations. “Free cash flow,” which is a non-GAAP measure, includes certain adjustments to cash flow from operating activities.</w:t>
      </w:r>
    </w:p>
    <w:p>
      <w:pPr>
        <w:spacing w:after="0" w:line="224" w:lineRule="exact"/>
        <w:rPr>
          <w:sz w:val="20"/>
          <w:szCs w:val="20"/>
          <w:color w:val="auto"/>
        </w:rPr>
      </w:pPr>
    </w:p>
    <w:p>
      <w:pPr>
        <w:ind w:right="320"/>
        <w:spacing w:after="0" w:line="273" w:lineRule="auto"/>
        <w:rPr>
          <w:sz w:val="20"/>
          <w:szCs w:val="20"/>
          <w:color w:val="auto"/>
        </w:rPr>
      </w:pPr>
      <w:r>
        <w:rPr>
          <w:rFonts w:ascii="Arial" w:cs="Arial" w:eastAsia="Arial" w:hAnsi="Arial"/>
          <w:sz w:val="14"/>
          <w:szCs w:val="14"/>
          <w:i w:val="1"/>
          <w:iCs w:val="1"/>
          <w:color w:val="auto"/>
        </w:rPr>
        <w:t>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11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w w:val="99"/>
              </w:rPr>
              <w:t>December 31,</w:t>
            </w:r>
          </w:p>
        </w:tc>
        <w:tc>
          <w:tcPr>
            <w:tcW w:w="9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4"/>
                <w:szCs w:val="14"/>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204"/>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gridSpan w:val="2"/>
          </w:tcPr>
          <w:p>
            <w:pPr>
              <w:jc w:val="center"/>
              <w:ind w:left="539"/>
              <w:spacing w:after="0"/>
              <w:rPr>
                <w:sz w:val="20"/>
                <w:szCs w:val="20"/>
                <w:color w:val="auto"/>
              </w:rPr>
            </w:pPr>
            <w:r>
              <w:rPr>
                <w:rFonts w:ascii="Arial" w:cs="Arial" w:eastAsia="Arial" w:hAnsi="Arial"/>
                <w:sz w:val="16"/>
                <w:szCs w:val="16"/>
                <w:color w:val="auto"/>
              </w:rPr>
              <w:t>(Unaudited)</w:t>
            </w:r>
          </w:p>
        </w:tc>
        <w:tc>
          <w:tcPr>
            <w:tcW w:w="940" w:type="dxa"/>
            <w:vAlign w:val="bottom"/>
          </w:tcPr>
          <w:p>
            <w:pPr>
              <w:spacing w:after="0"/>
              <w:rPr>
                <w:sz w:val="17"/>
                <w:szCs w:val="17"/>
                <w:color w:val="auto"/>
              </w:rPr>
            </w:pP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137,720</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107,783</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6,944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6,759</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76,025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63,489</w:t>
            </w:r>
          </w:p>
        </w:tc>
      </w:tr>
      <w:tr>
        <w:trPr>
          <w:trHeight w:val="219"/>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220,994</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178,135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83,111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64,543</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5,772</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r>
      <w:tr>
        <w:trPr>
          <w:trHeight w:val="207"/>
        </w:trPr>
        <w:tc>
          <w:tcPr>
            <w:tcW w:w="82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132,111</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108,390</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86,771</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79,309</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15,545</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12,510</w:t>
            </w:r>
          </w:p>
        </w:tc>
      </w:tr>
      <w:tr>
        <w:trPr>
          <w:trHeight w:val="216"/>
        </w:trPr>
        <w:tc>
          <w:tcPr>
            <w:tcW w:w="82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7,574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7,572</w:t>
            </w:r>
          </w:p>
        </w:tc>
      </w:tr>
      <w:tr>
        <w:trPr>
          <w:trHeight w:val="219"/>
        </w:trPr>
        <w:tc>
          <w:tcPr>
            <w:tcW w:w="824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Loss (gain) on sale or disposal of assets and other</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109,895</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99,369</w:t>
            </w:r>
          </w:p>
        </w:tc>
      </w:tr>
      <w:tr>
        <w:trPr>
          <w:trHeight w:val="209"/>
        </w:trPr>
        <w:tc>
          <w:tcPr>
            <w:tcW w:w="824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Operating income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22,216</w:t>
            </w: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9,021</w:t>
            </w:r>
          </w:p>
        </w:tc>
      </w:tr>
      <w:tr>
        <w:trPr>
          <w:trHeight w:val="207"/>
        </w:trPr>
        <w:tc>
          <w:tcPr>
            <w:tcW w:w="82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2,431</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5,455</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(304)</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Equity in net income of unconsolidated affiliates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06"/>
        </w:trPr>
        <w:tc>
          <w:tcPr>
            <w:tcW w:w="82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21,347</w:t>
            </w:r>
          </w:p>
        </w:tc>
        <w:tc>
          <w:tcPr>
            <w:tcW w:w="5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5,502</w:t>
            </w:r>
          </w:p>
        </w:tc>
      </w:tr>
      <w:tr>
        <w:trPr>
          <w:trHeight w:val="21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5,626</w:t>
            </w: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r>
      <w:tr>
        <w:trPr>
          <w:trHeight w:val="22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15,721</w:t>
            </w:r>
          </w:p>
        </w:tc>
        <w:tc>
          <w:tcPr>
            <w:tcW w:w="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r>
      <w:tr>
        <w:trPr>
          <w:trHeight w:val="413"/>
        </w:trPr>
        <w:tc>
          <w:tcPr>
            <w:tcW w:w="824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0.28</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0.21</w:t>
            </w:r>
          </w:p>
        </w:tc>
        <w:tc>
          <w:tcPr>
            <w:tcW w:w="5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432"/>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56,183</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55,361</w:t>
            </w:r>
          </w:p>
        </w:tc>
      </w:tr>
      <w:tr>
        <w:trPr>
          <w:trHeight w:val="216"/>
        </w:trPr>
        <w:tc>
          <w:tcPr>
            <w:tcW w:w="824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81,948</w:t>
            </w: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55,428</w:t>
            </w:r>
          </w:p>
        </w:tc>
      </w:tr>
    </w:tbl>
    <w:p>
      <w:pPr>
        <w:sectPr>
          <w:pgSz w:w="11900" w:h="16838" w:orient="portrait"/>
          <w:cols w:equalWidth="0" w:num="1">
            <w:col w:w="11240"/>
          </w:cols>
          <w:pgMar w:left="320" w:top="117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45"/>
        </w:trPr>
        <w:tc>
          <w:tcPr>
            <w:tcW w:w="6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60" w:type="dxa"/>
            <w:vAlign w:val="bottom"/>
            <w:gridSpan w:val="5"/>
          </w:tcPr>
          <w:p>
            <w:pPr>
              <w:ind w:left="920"/>
              <w:spacing w:after="0"/>
              <w:rPr>
                <w:sz w:val="20"/>
                <w:szCs w:val="20"/>
                <w:color w:val="auto"/>
              </w:rPr>
            </w:pPr>
            <w:r>
              <w:rPr>
                <w:rFonts w:ascii="Arial" w:cs="Arial" w:eastAsia="Arial" w:hAnsi="Arial"/>
                <w:sz w:val="16"/>
                <w:szCs w:val="16"/>
                <w:color w:val="auto"/>
              </w:rPr>
              <w:t>(Unaudited)</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233,274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290,450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253,667</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9,957</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176,586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147,852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175,901</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29,765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29,337</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119,313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110,989</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31,010</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598,839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598,942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610,861</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Investments in unconsolidated affiliates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37,724</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Other investments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Right-of-use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201,527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200,990</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284,619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258,453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285,758</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61,458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58,794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62,104</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Notes receivable,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1,181</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asset,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9,746</w:t>
            </w:r>
          </w:p>
        </w:tc>
      </w:tr>
      <w:tr>
        <w:trPr>
          <w:trHeight w:val="219"/>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4,736</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1,280,321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1,197,164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r>
        <w:trPr>
          <w:trHeight w:val="305"/>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670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75,531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67,777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90,268</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12,557</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Lease liability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51,843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45,351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52,263</w:t>
            </w:r>
          </w:p>
        </w:tc>
      </w:tr>
      <w:tr>
        <w:trPr>
          <w:trHeight w:val="206"/>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140,516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123,245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155,088</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Long-term debt,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311,844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254,322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264,186</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Deferred tax liability,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3,684</w:t>
            </w:r>
          </w:p>
        </w:tc>
      </w:tr>
      <w:tr>
        <w:trPr>
          <w:trHeight w:val="216"/>
        </w:trPr>
        <w:tc>
          <w:tcPr>
            <w:tcW w:w="6700" w:type="dxa"/>
            <w:vAlign w:val="bottom"/>
          </w:tcPr>
          <w:p>
            <w:pPr>
              <w:ind w:left="260"/>
              <w:spacing w:after="0"/>
              <w:rPr>
                <w:sz w:val="20"/>
                <w:szCs w:val="20"/>
                <w:color w:val="auto"/>
              </w:rPr>
            </w:pPr>
            <w:r>
              <w:rPr>
                <w:rFonts w:ascii="Arial" w:cs="Arial" w:eastAsia="Arial" w:hAnsi="Arial"/>
                <w:sz w:val="16"/>
                <w:szCs w:val="16"/>
                <w:color w:val="auto"/>
              </w:rPr>
              <w:t>Lease liability</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143,620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161,330</w:t>
            </w:r>
          </w:p>
        </w:tc>
      </w:tr>
      <w:tr>
        <w:trPr>
          <w:trHeight w:val="219"/>
        </w:trPr>
        <w:tc>
          <w:tcPr>
            <w:tcW w:w="67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11,303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10,385</w:t>
            </w:r>
          </w:p>
        </w:tc>
      </w:tr>
      <w:tr>
        <w:trPr>
          <w:trHeight w:val="207"/>
        </w:trPr>
        <w:tc>
          <w:tcPr>
            <w:tcW w:w="670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625,820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532,662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594,673</w:t>
            </w: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700" w:type="dxa"/>
            <w:vAlign w:val="bottom"/>
          </w:tcPr>
          <w:p>
            <w:pPr>
              <w:ind w:left="24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A Non-voting Common Stock, par value $0.01 per share; shares authorized:</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53,344,218 as of December 31, 2021; 52,628,588</w:t>
            </w: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as of December 31, 2020; and 53,086,438 as of September 30, 2021</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183"/>
        </w:trPr>
        <w:tc>
          <w:tcPr>
            <w:tcW w:w="6700" w:type="dxa"/>
            <w:vAlign w:val="bottom"/>
          </w:tcPr>
          <w:p>
            <w:pPr>
              <w:ind w:left="480"/>
              <w:spacing w:after="0"/>
              <w:rPr>
                <w:sz w:val="20"/>
                <w:szCs w:val="20"/>
                <w:color w:val="auto"/>
              </w:rPr>
            </w:pPr>
            <w:r>
              <w:rPr>
                <w:rFonts w:ascii="Arial" w:cs="Arial" w:eastAsia="Arial" w:hAnsi="Arial"/>
                <w:sz w:val="16"/>
                <w:szCs w:val="16"/>
                <w:color w:val="auto"/>
              </w:rPr>
              <w:t>Class B Voting Common Stock, convertible, par value $0.01 per share; shares</w:t>
            </w: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5"/>
        </w:trPr>
        <w:tc>
          <w:tcPr>
            <w:tcW w:w="6700" w:type="dxa"/>
            <w:vAlign w:val="bottom"/>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339,955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398,269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403,312</w:t>
            </w:r>
          </w:p>
        </w:tc>
      </w:tr>
      <w:tr>
        <w:trPr>
          <w:trHeight w:val="216"/>
        </w:trPr>
        <w:tc>
          <w:tcPr>
            <w:tcW w:w="6700" w:type="dxa"/>
            <w:vAlign w:val="bottom"/>
          </w:tcPr>
          <w:p>
            <w:pPr>
              <w:ind w:left="48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369,359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322,468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326,781</w:t>
            </w:r>
          </w:p>
        </w:tc>
      </w:tr>
      <w:tr>
        <w:trPr>
          <w:trHeight w:val="219"/>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(56,791)</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(58,415)</w:t>
            </w:r>
          </w:p>
        </w:tc>
      </w:tr>
      <w:tr>
        <w:trPr>
          <w:trHeight w:val="209"/>
        </w:trPr>
        <w:tc>
          <w:tcPr>
            <w:tcW w:w="670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654,501</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664,502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672,238</w:t>
            </w:r>
          </w:p>
        </w:tc>
      </w:tr>
      <w:tr>
        <w:trPr>
          <w:trHeight w:val="220"/>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1,280,321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1,197,164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1,266,911</w:t>
            </w:r>
          </w:p>
        </w:tc>
      </w:tr>
    </w:tbl>
    <w:p>
      <w:pPr>
        <w:sectPr>
          <w:pgSz w:w="11900" w:h="16838" w:orient="portrait"/>
          <w:cols w:equalWidth="0" w:num="1">
            <w:col w:w="11240"/>
          </w:cols>
          <w:pgMar w:left="320" w:top="125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3"/>
          </w:tcPr>
          <w:p>
            <w:pPr>
              <w:jc w:val="right"/>
              <w:ind w:right="604"/>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5"/>
                <w:szCs w:val="15"/>
                <w:color w:val="auto"/>
              </w:rPr>
              <w:t>(in thousands)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2020</w:t>
            </w:r>
          </w:p>
        </w:tc>
      </w:tr>
      <w:tr>
        <w:trPr>
          <w:trHeight w:val="229"/>
        </w:trPr>
        <w:tc>
          <w:tcPr>
            <w:tcW w:w="8260" w:type="dxa"/>
            <w:vAlign w:val="bottom"/>
          </w:tcPr>
          <w:p>
            <w:pPr>
              <w:ind w:left="20"/>
              <w:spacing w:after="0"/>
              <w:rPr>
                <w:sz w:val="20"/>
                <w:szCs w:val="20"/>
                <w:color w:val="auto"/>
              </w:rPr>
            </w:pPr>
            <w:r>
              <w:rPr>
                <w:rFonts w:ascii="Arial" w:cs="Arial" w:eastAsia="Arial" w:hAnsi="Arial"/>
                <w:sz w:val="15"/>
                <w:szCs w:val="15"/>
                <w:color w:val="auto"/>
              </w:rPr>
              <w:t>Operating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15,721</w:t>
            </w:r>
          </w:p>
        </w:tc>
        <w:tc>
          <w:tcPr>
            <w:tcW w:w="5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4,299</w:t>
            </w:r>
          </w:p>
        </w:tc>
      </w:tr>
      <w:tr>
        <w:trPr>
          <w:trHeight w:val="202"/>
        </w:trPr>
        <w:tc>
          <w:tcPr>
            <w:tcW w:w="8260" w:type="dxa"/>
            <w:vAlign w:val="bottom"/>
          </w:tcPr>
          <w:p>
            <w:pPr>
              <w:ind w:left="480"/>
              <w:spacing w:after="0"/>
              <w:rPr>
                <w:sz w:val="20"/>
                <w:szCs w:val="20"/>
                <w:color w:val="auto"/>
              </w:rPr>
            </w:pPr>
            <w:r>
              <w:rPr>
                <w:rFonts w:ascii="Arial" w:cs="Arial" w:eastAsia="Arial" w:hAnsi="Arial"/>
                <w:sz w:val="15"/>
                <w:szCs w:val="15"/>
                <w:color w:val="auto"/>
              </w:rPr>
              <w:t>Adjustments to reconcile net income to net cash flows from operating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Depreciation and amortization</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7,574</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7,572</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debt discount and deferred financing costs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374</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3,329</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Amortization of lease right-of-use asset</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12,694</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11,504</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Deferred 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587</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(1,421)</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Other adjustments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(167)</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Provision for inventory reserve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(820)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(1,510)</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Stock compensation expense</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1,698</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524</w:t>
            </w:r>
          </w:p>
        </w:tc>
      </w:tr>
      <w:tr>
        <w:trPr>
          <w:trHeight w:val="203"/>
        </w:trPr>
        <w:tc>
          <w:tcPr>
            <w:tcW w:w="8260" w:type="dxa"/>
            <w:vAlign w:val="bottom"/>
          </w:tcPr>
          <w:p>
            <w:pPr>
              <w:ind w:left="680"/>
              <w:spacing w:after="0"/>
              <w:rPr>
                <w:sz w:val="20"/>
                <w:szCs w:val="20"/>
                <w:color w:val="auto"/>
              </w:rPr>
            </w:pPr>
            <w:r>
              <w:rPr>
                <w:rFonts w:ascii="Arial" w:cs="Arial" w:eastAsia="Arial" w:hAnsi="Arial"/>
                <w:sz w:val="15"/>
                <w:szCs w:val="15"/>
                <w:color w:val="auto"/>
              </w:rPr>
              <w:t>Equity in net income of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(1,138)</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(516)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Service charges and fees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(419)</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(4,034)</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Inventory</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(2,314)</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1,323</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Prepaid expenses, other current assets and other assets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(2,330)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(713)</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Accounts payable, accrued expenses and other liabilities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(29,531)</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(23,460)</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Customer layaway deposits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551</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(1,311)</w:t>
            </w:r>
          </w:p>
        </w:tc>
      </w:tr>
      <w:tr>
        <w:trPr>
          <w:trHeight w:val="203"/>
        </w:trPr>
        <w:tc>
          <w:tcPr>
            <w:tcW w:w="8260" w:type="dxa"/>
            <w:vAlign w:val="bottom"/>
          </w:tcPr>
          <w:p>
            <w:pPr>
              <w:ind w:left="480"/>
              <w:spacing w:after="0"/>
              <w:rPr>
                <w:sz w:val="20"/>
                <w:szCs w:val="20"/>
                <w:color w:val="auto"/>
              </w:rPr>
            </w:pPr>
            <w:r>
              <w:rPr>
                <w:rFonts w:ascii="Arial" w:cs="Arial" w:eastAsia="Arial" w:hAnsi="Arial"/>
                <w:sz w:val="15"/>
                <w:szCs w:val="15"/>
                <w:color w:val="auto"/>
              </w:rPr>
              <w:t>Income taxes</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4,741</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68</w:t>
            </w:r>
          </w:p>
        </w:tc>
      </w:tr>
      <w:tr>
        <w:trPr>
          <w:trHeight w:val="207"/>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Dividends from unconsolidated affiliates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1,660</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provided by (used in) operating activities</w:t>
            </w:r>
          </w:p>
        </w:tc>
        <w:tc>
          <w:tcPr>
            <w:tcW w:w="34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9,018</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(4,513)</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made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(166,480)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(142,936)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Loans repaid</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95,542</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77,116</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Recovery of pawn loan principal through sale of forfeited collateral</w:t>
            </w:r>
          </w:p>
        </w:tc>
        <w:tc>
          <w:tcPr>
            <w:tcW w:w="340" w:type="dxa"/>
            <w:vAlign w:val="bottom"/>
          </w:tcPr>
          <w:p>
            <w:pPr>
              <w:spacing w:after="0"/>
              <w:rPr>
                <w:sz w:val="17"/>
                <w:szCs w:val="17"/>
                <w:color w:val="auto"/>
              </w:rPr>
            </w:pP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65,297</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53,981</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Capital expenditures, net</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(4,985)</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(3,223)</w:t>
            </w: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Issuance of note receivable</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(1,000)</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8260" w:type="dxa"/>
            <w:vAlign w:val="bottom"/>
          </w:tcPr>
          <w:p>
            <w:pPr>
              <w:ind w:left="220"/>
              <w:spacing w:after="0"/>
              <w:rPr>
                <w:sz w:val="20"/>
                <w:szCs w:val="20"/>
                <w:color w:val="auto"/>
              </w:rPr>
            </w:pPr>
            <w:r>
              <w:rPr>
                <w:rFonts w:ascii="Arial" w:cs="Arial" w:eastAsia="Arial" w:hAnsi="Arial"/>
                <w:sz w:val="15"/>
                <w:szCs w:val="15"/>
                <w:color w:val="auto"/>
              </w:rPr>
              <w:t>Investment in unconsolidated affiliates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(2,477)</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Investment in other investments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(16,500)</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(30,603)</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(15,062)</w:t>
            </w:r>
          </w:p>
        </w:tc>
      </w:tr>
      <w:tr>
        <w:trPr>
          <w:trHeight w:val="203"/>
        </w:trPr>
        <w:tc>
          <w:tcPr>
            <w:tcW w:w="8260" w:type="dxa"/>
            <w:vAlign w:val="bottom"/>
          </w:tcPr>
          <w:p>
            <w:pPr>
              <w:ind w:left="20"/>
              <w:spacing w:after="0"/>
              <w:rPr>
                <w:sz w:val="20"/>
                <w:szCs w:val="20"/>
                <w:color w:val="auto"/>
              </w:rPr>
            </w:pPr>
            <w:r>
              <w:rPr>
                <w:rFonts w:ascii="Arial" w:cs="Arial" w:eastAsia="Arial" w:hAnsi="Arial"/>
                <w:sz w:val="15"/>
                <w:szCs w:val="15"/>
                <w:color w:val="auto"/>
              </w:rPr>
              <w:t>Financing activities: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Taxes paid related to net share settlement of equity awards</w:t>
            </w:r>
          </w:p>
        </w:tc>
        <w:tc>
          <w:tcPr>
            <w:tcW w:w="340" w:type="dxa"/>
            <w:vAlign w:val="bottom"/>
          </w:tcPr>
          <w:p>
            <w:pPr>
              <w:spacing w:after="0"/>
              <w:rPr>
                <w:sz w:val="17"/>
                <w:szCs w:val="17"/>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(730)</w:t>
            </w:r>
          </w:p>
        </w:tc>
      </w:tr>
      <w:tr>
        <w:trPr>
          <w:trHeight w:val="206"/>
        </w:trPr>
        <w:tc>
          <w:tcPr>
            <w:tcW w:w="826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Payments on assumed debt and other borrowings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w:t>
            </w:r>
          </w:p>
        </w:tc>
      </w:tr>
      <w:tr>
        <w:trPr>
          <w:trHeight w:val="192"/>
        </w:trPr>
        <w:tc>
          <w:tcPr>
            <w:tcW w:w="8260" w:type="dxa"/>
            <w:vAlign w:val="bottom"/>
          </w:tcPr>
          <w:p>
            <w:pPr>
              <w:ind w:left="800"/>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(792)</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(783)</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Effect of exchange rate changes on cash and cash equivalents and 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719</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6,266</w:t>
            </w:r>
          </w:p>
        </w:tc>
      </w:tr>
      <w:tr>
        <w:trPr>
          <w:trHeight w:val="192"/>
        </w:trPr>
        <w:tc>
          <w:tcPr>
            <w:tcW w:w="8260" w:type="dxa"/>
            <w:vAlign w:val="bottom"/>
          </w:tcPr>
          <w:p>
            <w:pPr>
              <w:ind w:left="20"/>
              <w:spacing w:after="0"/>
              <w:rPr>
                <w:sz w:val="20"/>
                <w:szCs w:val="20"/>
                <w:color w:val="auto"/>
              </w:rPr>
            </w:pPr>
            <w:r>
              <w:rPr>
                <w:rFonts w:ascii="Arial" w:cs="Arial" w:eastAsia="Arial" w:hAnsi="Arial"/>
                <w:sz w:val="15"/>
                <w:szCs w:val="15"/>
                <w:color w:val="auto"/>
              </w:rPr>
              <w:t>Net decrease in cash, cash equivalents and restricted cash</w:t>
            </w:r>
          </w:p>
        </w:tc>
        <w:tc>
          <w:tcPr>
            <w:tcW w:w="34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5"/>
                <w:szCs w:val="15"/>
                <w:color w:val="auto"/>
              </w:rPr>
              <w:t>(21,658)</w:t>
            </w:r>
          </w:p>
        </w:tc>
        <w:tc>
          <w:tcPr>
            <w:tcW w:w="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(14,092)</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263,624</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312,553</w:t>
            </w:r>
          </w:p>
        </w:tc>
      </w:tr>
      <w:tr>
        <w:trPr>
          <w:trHeight w:val="20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241,966</w:t>
            </w:r>
          </w:p>
        </w:tc>
        <w:tc>
          <w:tcPr>
            <w:tcW w:w="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298,461</w:t>
            </w:r>
          </w:p>
        </w:tc>
      </w:tr>
      <w:tr>
        <w:trPr>
          <w:trHeight w:val="235"/>
        </w:trPr>
        <w:tc>
          <w:tcPr>
            <w:tcW w:w="8260" w:type="dxa"/>
            <w:vAlign w:val="bottom"/>
          </w:tcPr>
          <w:p>
            <w:pPr>
              <w:ind w:left="20"/>
              <w:spacing w:after="0"/>
              <w:rPr>
                <w:sz w:val="20"/>
                <w:szCs w:val="20"/>
                <w:color w:val="auto"/>
              </w:rPr>
            </w:pPr>
            <w:r>
              <w:rPr>
                <w:rFonts w:ascii="Arial" w:cs="Arial" w:eastAsia="Arial" w:hAnsi="Arial"/>
                <w:sz w:val="15"/>
                <w:szCs w:val="15"/>
                <w:color w:val="auto"/>
              </w:rPr>
              <w:t>Supplemental disclosure of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233,274</w:t>
            </w:r>
          </w:p>
        </w:tc>
        <w:tc>
          <w:tcPr>
            <w:tcW w:w="5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290,450</w:t>
            </w:r>
          </w:p>
        </w:tc>
      </w:tr>
      <w:tr>
        <w:trPr>
          <w:trHeight w:val="207"/>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Restricted cash</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8,692</w:t>
            </w: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8,011</w:t>
            </w:r>
          </w:p>
        </w:tc>
      </w:tr>
      <w:tr>
        <w:trPr>
          <w:trHeight w:val="207"/>
        </w:trPr>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Total cash and cash equivalents and restricted cash</w:t>
            </w:r>
          </w:p>
        </w:tc>
        <w:tc>
          <w:tcPr>
            <w:tcW w:w="34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241,966</w:t>
            </w:r>
          </w:p>
        </w:tc>
        <w:tc>
          <w:tcPr>
            <w:tcW w:w="56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298,461</w:t>
            </w:r>
          </w:p>
        </w:tc>
      </w:tr>
      <w:tr>
        <w:trPr>
          <w:trHeight w:val="289"/>
        </w:trPr>
        <w:tc>
          <w:tcPr>
            <w:tcW w:w="8260" w:type="dxa"/>
            <w:vAlign w:val="bottom"/>
          </w:tcPr>
          <w:p>
            <w:pPr>
              <w:ind w:left="20"/>
              <w:spacing w:after="0"/>
              <w:rPr>
                <w:sz w:val="20"/>
                <w:szCs w:val="20"/>
                <w:color w:val="auto"/>
              </w:rPr>
            </w:pPr>
            <w:r>
              <w:rPr>
                <w:rFonts w:ascii="Arial" w:cs="Arial" w:eastAsia="Arial" w:hAnsi="Arial"/>
                <w:sz w:val="15"/>
                <w:szCs w:val="15"/>
                <w:color w:val="auto"/>
              </w:rPr>
              <w:t>Non-cash investing and financing activities: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3"/>
        </w:trPr>
        <w:tc>
          <w:tcPr>
            <w:tcW w:w="8260" w:type="dxa"/>
            <w:vAlign w:val="bottom"/>
          </w:tcPr>
          <w:p>
            <w:pPr>
              <w:ind w:left="220"/>
              <w:spacing w:after="0"/>
              <w:rPr>
                <w:sz w:val="20"/>
                <w:szCs w:val="20"/>
                <w:color w:val="auto"/>
              </w:rPr>
            </w:pPr>
            <w:r>
              <w:rPr>
                <w:rFonts w:ascii="Arial" w:cs="Arial" w:eastAsia="Arial" w:hAnsi="Arial"/>
                <w:sz w:val="15"/>
                <w:szCs w:val="15"/>
                <w:color w:val="auto"/>
              </w:rPr>
              <w:t>Pawn loans forfeited and transferred to inventory</w:t>
            </w:r>
          </w:p>
        </w:tc>
        <w:tc>
          <w:tcPr>
            <w:tcW w:w="340" w:type="dxa"/>
            <w:vAlign w:val="bottom"/>
          </w:tcPr>
          <w:p>
            <w:pPr>
              <w:jc w:val="right"/>
              <w:ind w:right="14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3"/>
              <w:spacing w:after="0"/>
              <w:rPr>
                <w:sz w:val="20"/>
                <w:szCs w:val="20"/>
                <w:color w:val="auto"/>
              </w:rPr>
            </w:pPr>
            <w:r>
              <w:rPr>
                <w:rFonts w:ascii="Arial" w:cs="Arial" w:eastAsia="Arial" w:hAnsi="Arial"/>
                <w:sz w:val="15"/>
                <w:szCs w:val="15"/>
                <w:color w:val="auto"/>
              </w:rPr>
              <w:t>70,966</w:t>
            </w:r>
          </w:p>
        </w:tc>
        <w:tc>
          <w:tcPr>
            <w:tcW w:w="560" w:type="dxa"/>
            <w:vAlign w:val="bottom"/>
          </w:tcPr>
          <w:p>
            <w:pPr>
              <w:jc w:val="right"/>
              <w:ind w:right="324"/>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50,921</w:t>
            </w:r>
          </w:p>
        </w:tc>
      </w:tr>
    </w:tbl>
    <w:p>
      <w:pPr>
        <w:sectPr>
          <w:pgSz w:w="11900" w:h="16838" w:orient="portrait"/>
          <w:cols w:equalWidth="0" w:num="1">
            <w:col w:w="11240"/>
          </w:cols>
          <w:pgMar w:left="320" w:top="125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EZCORP,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 RESULTS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9"/>
          </w:tcPr>
          <w:p>
            <w:pPr>
              <w:ind w:left="1120"/>
              <w:spacing w:after="0"/>
              <w:rPr>
                <w:sz w:val="20"/>
                <w:szCs w:val="20"/>
                <w:color w:val="auto"/>
              </w:rPr>
            </w:pPr>
            <w:r>
              <w:rPr>
                <w:rFonts w:ascii="Arial" w:cs="Arial" w:eastAsia="Arial" w:hAnsi="Arial"/>
                <w:sz w:val="16"/>
                <w:szCs w:val="16"/>
                <w:b w:val="1"/>
                <w:bCs w:val="1"/>
                <w:color w:val="auto"/>
              </w:rPr>
              <w:t>Three Months Ended December 31, 2021</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40" w:type="dxa"/>
            <w:vAlign w:val="bottom"/>
          </w:tcPr>
          <w:p>
            <w:pPr>
              <w:spacing w:after="0"/>
              <w:rPr>
                <w:sz w:val="13"/>
                <w:szCs w:val="13"/>
                <w:color w:val="auto"/>
              </w:rPr>
            </w:pPr>
          </w:p>
        </w:tc>
        <w:tc>
          <w:tcPr>
            <w:tcW w:w="12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Pawn</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84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102,078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35,642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137,720</w:t>
            </w:r>
          </w:p>
        </w:tc>
        <w:tc>
          <w:tcPr>
            <w:tcW w:w="10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137,720</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6,944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19,468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76,025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76,025</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07"/>
        </w:trPr>
        <w:tc>
          <w:tcPr>
            <w:tcW w:w="284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163,637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57,314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220,994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220,994</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57,832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25,279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83,111</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5,772</w:t>
            </w:r>
          </w:p>
        </w:tc>
        <w:tc>
          <w:tcPr>
            <w:tcW w:w="0" w:type="dxa"/>
            <w:vAlign w:val="bottom"/>
          </w:tcPr>
          <w:p>
            <w:pPr>
              <w:spacing w:after="0"/>
              <w:rPr>
                <w:sz w:val="1"/>
                <w:szCs w:val="1"/>
                <w:color w:val="auto"/>
              </w:rPr>
            </w:pPr>
          </w:p>
        </w:tc>
      </w:tr>
      <w:tr>
        <w:trPr>
          <w:trHeight w:val="206"/>
        </w:trPr>
        <w:tc>
          <w:tcPr>
            <w:tcW w:w="284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101,830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132,111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132,111</w:t>
            </w:r>
          </w:p>
        </w:tc>
        <w:tc>
          <w:tcPr>
            <w:tcW w:w="0" w:type="dxa"/>
            <w:vAlign w:val="bottom"/>
          </w:tcPr>
          <w:p>
            <w:pPr>
              <w:spacing w:after="0"/>
              <w:rPr>
                <w:sz w:val="1"/>
                <w:szCs w:val="1"/>
                <w:color w:val="auto"/>
              </w:rPr>
            </w:pPr>
          </w:p>
        </w:tc>
      </w:tr>
      <w:tr>
        <w:trPr>
          <w:trHeight w:val="183"/>
        </w:trPr>
        <w:tc>
          <w:tcPr>
            <w:tcW w:w="284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64,689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22,082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86,771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15,545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7,574</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Loss on sale or disposal of assets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and other</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16"/>
        </w:trPr>
        <w:tc>
          <w:tcPr>
            <w:tcW w:w="28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83"/>
        </w:trPr>
        <w:tc>
          <w:tcPr>
            <w:tcW w:w="284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4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19"/>
        </w:trPr>
        <w:tc>
          <w:tcPr>
            <w:tcW w:w="2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42,151</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(20,804)</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21,347</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9"/>
          </w:tcPr>
          <w:p>
            <w:pPr>
              <w:jc w:val="right"/>
              <w:ind w:right="219"/>
              <w:spacing w:after="0"/>
              <w:rPr>
                <w:sz w:val="20"/>
                <w:szCs w:val="20"/>
                <w:color w:val="auto"/>
              </w:rPr>
            </w:pPr>
            <w:r>
              <w:rPr>
                <w:rFonts w:ascii="Arial" w:cs="Arial" w:eastAsia="Arial" w:hAnsi="Arial"/>
                <w:sz w:val="16"/>
                <w:szCs w:val="16"/>
                <w:b w:val="1"/>
                <w:bCs w:val="1"/>
                <w:color w:val="auto"/>
              </w:rPr>
              <w:t>Three Months Ended December 31, 2020</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U.S. Pawn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Latin America</w:t>
            </w: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8"/>
              </w:rPr>
              <w:t>Other</w:t>
            </w:r>
          </w:p>
        </w:tc>
        <w:tc>
          <w:tcPr>
            <w:tcW w:w="14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Total Segments</w:t>
            </w:r>
          </w:p>
        </w:tc>
        <w:tc>
          <w:tcPr>
            <w:tcW w:w="14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 Items</w:t>
            </w:r>
          </w:p>
        </w:tc>
        <w:tc>
          <w:tcPr>
            <w:tcW w:w="120" w:type="dxa"/>
            <w:vAlign w:val="bottom"/>
          </w:tcPr>
          <w:p>
            <w:pPr>
              <w:spacing w:after="0"/>
              <w:rPr>
                <w:sz w:val="13"/>
                <w:szCs w:val="13"/>
                <w:color w:val="auto"/>
              </w:rPr>
            </w:pPr>
          </w:p>
        </w:tc>
        <w:tc>
          <w:tcPr>
            <w:tcW w:w="12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Pawn</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Investments</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286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82,253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25,530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107,783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107,783</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Jewelry scrapping sales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6,759</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50,220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13,269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63,489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63,489</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7"/>
        </w:trPr>
        <w:tc>
          <w:tcPr>
            <w:tcW w:w="286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136,499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178,135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178,135</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Merchandise cost of goods sold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48,059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64,543</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5,202</w:t>
            </w:r>
          </w:p>
        </w:tc>
        <w:tc>
          <w:tcPr>
            <w:tcW w:w="0" w:type="dxa"/>
            <w:vAlign w:val="bottom"/>
          </w:tcPr>
          <w:p>
            <w:pPr>
              <w:spacing w:after="0"/>
              <w:rPr>
                <w:sz w:val="1"/>
                <w:szCs w:val="1"/>
                <w:color w:val="auto"/>
              </w:rPr>
            </w:pPr>
          </w:p>
        </w:tc>
      </w:tr>
      <w:tr>
        <w:trPr>
          <w:trHeight w:val="206"/>
        </w:trPr>
        <w:tc>
          <w:tcPr>
            <w:tcW w:w="286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85,596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22,719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108,390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108,390</w:t>
            </w:r>
          </w:p>
        </w:tc>
        <w:tc>
          <w:tcPr>
            <w:tcW w:w="0" w:type="dxa"/>
            <w:vAlign w:val="bottom"/>
          </w:tcPr>
          <w:p>
            <w:pPr>
              <w:spacing w:after="0"/>
              <w:rPr>
                <w:sz w:val="1"/>
                <w:szCs w:val="1"/>
                <w:color w:val="auto"/>
              </w:rPr>
            </w:pPr>
          </w:p>
        </w:tc>
      </w:tr>
      <w:tr>
        <w:trPr>
          <w:trHeight w:val="183"/>
        </w:trPr>
        <w:tc>
          <w:tcPr>
            <w:tcW w:w="2860" w:type="dxa"/>
            <w:vAlign w:val="bottom"/>
          </w:tcPr>
          <w:p>
            <w:pPr>
              <w:ind w:left="20"/>
              <w:spacing w:after="0"/>
              <w:rPr>
                <w:sz w:val="20"/>
                <w:szCs w:val="20"/>
                <w:color w:val="auto"/>
              </w:rPr>
            </w:pPr>
            <w:r>
              <w:rPr>
                <w:rFonts w:ascii="Arial" w:cs="Arial" w:eastAsia="Arial" w:hAnsi="Arial"/>
                <w:sz w:val="16"/>
                <w:szCs w:val="16"/>
                <w:color w:val="auto"/>
              </w:rPr>
              <w:t>Segment and corporate expenses</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0"/>
              <w:spacing w:after="0"/>
              <w:rPr>
                <w:sz w:val="20"/>
                <w:szCs w:val="20"/>
                <w:color w:val="auto"/>
              </w:rPr>
            </w:pPr>
            <w:r>
              <w:rPr>
                <w:rFonts w:ascii="Arial" w:cs="Arial" w:eastAsia="Arial" w:hAnsi="Arial"/>
                <w:sz w:val="16"/>
                <w:szCs w:val="16"/>
                <w:color w:val="auto"/>
              </w:rPr>
              <w:t>(income):</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62,092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17,217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79,309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79,309</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12,510</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4,596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7,572</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Loss (gain) on sale or disposal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assets and other</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5,455</w:t>
            </w:r>
          </w:p>
        </w:tc>
        <w:tc>
          <w:tcPr>
            <w:tcW w:w="0" w:type="dxa"/>
            <w:vAlign w:val="bottom"/>
          </w:tcPr>
          <w:p>
            <w:pPr>
              <w:spacing w:after="0"/>
              <w:rPr>
                <w:sz w:val="1"/>
                <w:szCs w:val="1"/>
                <w:color w:val="auto"/>
              </w:rPr>
            </w:pPr>
          </w:p>
        </w:tc>
      </w:tr>
      <w:tr>
        <w:trPr>
          <w:trHeight w:val="216"/>
        </w:trPr>
        <w:tc>
          <w:tcPr>
            <w:tcW w:w="28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(821)</w:t>
            </w:r>
          </w:p>
        </w:tc>
        <w:tc>
          <w:tcPr>
            <w:tcW w:w="0" w:type="dxa"/>
            <w:vAlign w:val="bottom"/>
          </w:tcPr>
          <w:p>
            <w:pPr>
              <w:spacing w:after="0"/>
              <w:rPr>
                <w:sz w:val="1"/>
                <w:szCs w:val="1"/>
                <w:color w:val="auto"/>
              </w:rPr>
            </w:pPr>
          </w:p>
        </w:tc>
      </w:tr>
      <w:tr>
        <w:trPr>
          <w:trHeight w:val="183"/>
        </w:trPr>
        <w:tc>
          <w:tcPr>
            <w:tcW w:w="2860" w:type="dxa"/>
            <w:vAlign w:val="bottom"/>
          </w:tcPr>
          <w:p>
            <w:pPr>
              <w:ind w:left="220"/>
              <w:spacing w:after="0"/>
              <w:rPr>
                <w:sz w:val="20"/>
                <w:szCs w:val="20"/>
                <w:color w:val="auto"/>
              </w:rPr>
            </w:pPr>
            <w:r>
              <w:rPr>
                <w:rFonts w:ascii="Arial" w:cs="Arial" w:eastAsia="Arial" w:hAnsi="Arial"/>
                <w:sz w:val="16"/>
                <w:szCs w:val="16"/>
                <w:color w:val="auto"/>
              </w:rPr>
              <w:t>Equity in net income of</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860" w:type="dxa"/>
            <w:vAlign w:val="bottom"/>
          </w:tcPr>
          <w:p>
            <w:pPr>
              <w:ind w:left="220"/>
              <w:spacing w:after="0"/>
              <w:rPr>
                <w:sz w:val="20"/>
                <w:szCs w:val="20"/>
                <w:color w:val="auto"/>
              </w:rPr>
            </w:pPr>
            <w:r>
              <w:rPr>
                <w:rFonts w:ascii="Arial" w:cs="Arial" w:eastAsia="Arial" w:hAnsi="Arial"/>
                <w:sz w:val="16"/>
                <w:szCs w:val="16"/>
                <w:color w:val="auto"/>
              </w:rPr>
              <w:t>unconsolidated affiliates</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19"/>
        </w:trPr>
        <w:tc>
          <w:tcPr>
            <w:tcW w:w="28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(21,002)</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EZCORP,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STORE COUNT ACTIVITY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40" w:type="dxa"/>
            <w:vAlign w:val="bottom"/>
          </w:tcPr>
          <w:p>
            <w:pPr>
              <w:ind w:left="20"/>
              <w:spacing w:after="0"/>
              <w:rPr>
                <w:sz w:val="20"/>
                <w:szCs w:val="20"/>
                <w:color w:val="auto"/>
              </w:rPr>
            </w:pPr>
            <w:r>
              <w:rPr>
                <w:rFonts w:ascii="Arial" w:cs="Arial" w:eastAsia="Arial" w:hAnsi="Arial"/>
                <w:sz w:val="16"/>
                <w:szCs w:val="16"/>
                <w:color w:val="auto"/>
              </w:rPr>
              <w:t>As of September 30, 2021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December 31, 2020</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6740" w:type="dxa"/>
            <w:vAlign w:val="bottom"/>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December 31,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quetzales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The end-of-period and approximate average exchange rates for each applicable currency as compared to U.S. dollars as of and for the three months ended December 31, 2021 and 2020 were as follows: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2440" w:type="dxa"/>
            <w:vAlign w:val="bottom"/>
            <w:gridSpan w:val="4"/>
            <w:vMerge w:val="restart"/>
          </w:tcPr>
          <w:p>
            <w:pPr>
              <w:ind w:left="640"/>
              <w:spacing w:after="0"/>
              <w:rPr>
                <w:sz w:val="20"/>
                <w:szCs w:val="20"/>
                <w:color w:val="auto"/>
              </w:rPr>
            </w:pPr>
            <w:r>
              <w:rPr>
                <w:rFonts w:ascii="Arial" w:cs="Arial" w:eastAsia="Arial" w:hAnsi="Arial"/>
                <w:sz w:val="16"/>
                <w:szCs w:val="16"/>
                <w:b w:val="1"/>
                <w:bCs w:val="1"/>
                <w:color w:val="auto"/>
              </w:rPr>
              <w:t>December 31,</w:t>
            </w:r>
          </w:p>
        </w:tc>
        <w:tc>
          <w:tcPr>
            <w:tcW w:w="232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6460" w:type="dxa"/>
            <w:vAlign w:val="bottom"/>
          </w:tcPr>
          <w:p>
            <w:pPr>
              <w:spacing w:after="0"/>
              <w:rPr>
                <w:sz w:val="18"/>
                <w:szCs w:val="18"/>
                <w:color w:val="auto"/>
              </w:rPr>
            </w:pPr>
          </w:p>
        </w:tc>
        <w:tc>
          <w:tcPr>
            <w:tcW w:w="2440" w:type="dxa"/>
            <w:vAlign w:val="bottom"/>
            <w:gridSpan w:val="4"/>
            <w:vMerge w:val="continue"/>
          </w:tcPr>
          <w:p>
            <w:pPr>
              <w:spacing w:after="0"/>
              <w:rPr>
                <w:sz w:val="18"/>
                <w:szCs w:val="18"/>
                <w:color w:val="auto"/>
              </w:rPr>
            </w:pPr>
          </w:p>
        </w:tc>
        <w:tc>
          <w:tcPr>
            <w:tcW w:w="2320" w:type="dxa"/>
            <w:vAlign w:val="bottom"/>
            <w:gridSpan w:val="3"/>
          </w:tcPr>
          <w:p>
            <w:pPr>
              <w:jc w:val="right"/>
              <w:ind w:right="5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64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45"/>
        </w:trPr>
        <w:tc>
          <w:tcPr>
            <w:tcW w:w="6460" w:type="dxa"/>
            <w:vAlign w:val="bottom"/>
          </w:tcPr>
          <w:p>
            <w:pPr>
              <w:spacing w:after="0"/>
              <w:rPr>
                <w:sz w:val="20"/>
                <w:szCs w:val="20"/>
                <w:color w:val="auto"/>
              </w:rPr>
            </w:pPr>
            <w:r>
              <w:rPr>
                <w:rFonts w:ascii="Arial" w:cs="Arial" w:eastAsia="Arial" w:hAnsi="Arial"/>
                <w:sz w:val="16"/>
                <w:szCs w:val="16"/>
                <w:color w:val="auto"/>
              </w:rPr>
              <w:t>Mexican peso</w:t>
            </w:r>
          </w:p>
        </w:tc>
        <w:tc>
          <w:tcPr>
            <w:tcW w:w="11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Guatemalan quetzal</w:t>
            </w:r>
          </w:p>
        </w:tc>
        <w:tc>
          <w:tcPr>
            <w:tcW w:w="11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Honduran lempira</w:t>
            </w:r>
          </w:p>
        </w:tc>
        <w:tc>
          <w:tcPr>
            <w:tcW w:w="112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6"/>
                <w:szCs w:val="16"/>
                <w:color w:val="auto"/>
              </w:rPr>
              <w:t>Peruvian sol</w:t>
            </w: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Our statement of operations constant currency results reflect the monthly exchange rate fluctuations and so are not directly calculable from the above rates. Constant currency results, where presented, also exclude the foreign currency gain or loss.</w:t>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8"/>
          </w:tcPr>
          <w:p>
            <w:pPr>
              <w:jc w:val="center"/>
              <w:ind w:right="415"/>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w w:val="95"/>
              </w:rPr>
              <w:t>2020</w:t>
            </w:r>
          </w:p>
        </w:tc>
        <w:tc>
          <w:tcPr>
            <w:tcW w:w="0" w:type="dxa"/>
            <w:vAlign w:val="bottom"/>
          </w:tcPr>
          <w:p>
            <w:pPr>
              <w:spacing w:after="0"/>
              <w:rPr>
                <w:sz w:val="1"/>
                <w:szCs w:val="1"/>
                <w:color w:val="auto"/>
              </w:rPr>
            </w:pPr>
          </w:p>
        </w:tc>
      </w:tr>
      <w:tr>
        <w:trPr>
          <w:trHeight w:val="245"/>
        </w:trPr>
        <w:tc>
          <w:tcPr>
            <w:tcW w:w="3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15.7</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center"/>
              <w:ind w:left="15"/>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6"/>
        </w:trPr>
        <w:tc>
          <w:tcPr>
            <w:tcW w:w="30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EBITDA</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69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6"/>
              </w:rPr>
              <w:t>Tax Effect</w:t>
            </w:r>
          </w:p>
        </w:tc>
        <w:tc>
          <w:tcPr>
            <w:tcW w:w="100" w:type="dxa"/>
            <w:vAlign w:val="bottom"/>
            <w:vMerge w:val="restart"/>
          </w:tcPr>
          <w:p>
            <w:pPr>
              <w:spacing w:after="0"/>
              <w:rPr>
                <w:sz w:val="24"/>
                <w:szCs w:val="24"/>
                <w:color w:val="auto"/>
              </w:rPr>
            </w:pPr>
          </w:p>
        </w:tc>
        <w:tc>
          <w:tcPr>
            <w:tcW w:w="10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Net Income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Diluted EPS</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restart"/>
          </w:tcPr>
          <w:p>
            <w:pPr>
              <w:jc w:val="right"/>
              <w:ind w:right="115"/>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52"/>
              <w:spacing w:after="0"/>
              <w:rPr>
                <w:sz w:val="20"/>
                <w:szCs w:val="20"/>
                <w:color w:val="auto"/>
              </w:rPr>
            </w:pPr>
            <w:r>
              <w:rPr>
                <w:rFonts w:ascii="Arial" w:cs="Arial" w:eastAsia="Arial" w:hAnsi="Arial"/>
                <w:sz w:val="16"/>
                <w:szCs w:val="16"/>
                <w:b w:val="1"/>
                <w:bCs w:val="1"/>
                <w:color w:val="auto"/>
              </w:rPr>
              <w:t>Tax</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20" w:type="dxa"/>
            <w:vAlign w:val="bottom"/>
            <w:tcBorders>
              <w:bottom w:val="single" w:sz="8" w:color="auto"/>
            </w:tcBorders>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6"/>
                <w:szCs w:val="16"/>
                <w:color w:val="auto"/>
              </w:rPr>
              <w:t>2022 Q1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2"/>
                <w:szCs w:val="22"/>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2"/>
                <w:szCs w:val="22"/>
                <w:color w:val="auto"/>
              </w:rPr>
            </w:pPr>
          </w:p>
        </w:tc>
        <w:tc>
          <w:tcPr>
            <w:tcW w:w="340" w:type="dxa"/>
            <w:vAlign w:val="bottom"/>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FX impact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Constant currency impact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2022 Q1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16.0</w:t>
            </w: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0.22</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453"/>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Total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Income Before</w:t>
            </w:r>
          </w:p>
        </w:tc>
        <w:tc>
          <w:tcPr>
            <w:tcW w:w="120" w:type="dxa"/>
            <w:vAlign w:val="bottom"/>
          </w:tcPr>
          <w:p>
            <w:pPr>
              <w:spacing w:after="0"/>
              <w:rPr>
                <w:sz w:val="24"/>
                <w:szCs w:val="24"/>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6"/>
                <w:szCs w:val="16"/>
                <w:b w:val="1"/>
                <w:bCs w:val="1"/>
                <w:color w:val="auto"/>
                <w:w w:val="96"/>
              </w:rPr>
              <w:t>Tax Effect</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Net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rPr>
              <w:t>Diluted EPS</w:t>
            </w:r>
          </w:p>
        </w:tc>
        <w:tc>
          <w:tcPr>
            <w:tcW w:w="100" w:type="dxa"/>
            <w:vAlign w:val="bottom"/>
            <w:vMerge w:val="restart"/>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6"/>
                <w:szCs w:val="16"/>
                <w:b w:val="1"/>
                <w:bCs w:val="1"/>
                <w:color w:val="auto"/>
              </w:rPr>
              <w:t>EBITDA</w:t>
            </w:r>
          </w:p>
        </w:tc>
        <w:tc>
          <w:tcPr>
            <w:tcW w:w="0" w:type="dxa"/>
            <w:vAlign w:val="bottom"/>
          </w:tcPr>
          <w:p>
            <w:pPr>
              <w:spacing w:after="0"/>
              <w:rPr>
                <w:sz w:val="1"/>
                <w:szCs w:val="1"/>
                <w:color w:val="auto"/>
              </w:rPr>
            </w:pPr>
          </w:p>
        </w:tc>
      </w:tr>
      <w:tr>
        <w:trPr>
          <w:trHeight w:val="215"/>
        </w:trPr>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rPr>
              <w:t>Revenues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9"/>
              </w:rPr>
              <w:t>Income</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gridSpan w:val="4"/>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40" w:type="dxa"/>
            <w:vAlign w:val="bottom"/>
          </w:tcPr>
          <w:p>
            <w:pPr>
              <w:ind w:left="20"/>
              <w:spacing w:after="0"/>
              <w:rPr>
                <w:sz w:val="20"/>
                <w:szCs w:val="20"/>
                <w:color w:val="auto"/>
              </w:rPr>
            </w:pPr>
            <w:r>
              <w:rPr>
                <w:rFonts w:ascii="Arial" w:cs="Arial" w:eastAsia="Arial" w:hAnsi="Arial"/>
                <w:sz w:val="16"/>
                <w:szCs w:val="16"/>
                <w:color w:val="auto"/>
              </w:rPr>
              <w:t>2021 Q1 Reported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2"/>
                <w:szCs w:val="22"/>
                <w:color w:val="auto"/>
              </w:rPr>
            </w:pPr>
          </w:p>
        </w:tc>
        <w:tc>
          <w:tcPr>
            <w:tcW w:w="34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38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3040" w:type="dxa"/>
            <w:vAlign w:val="bottom"/>
          </w:tcPr>
          <w:p>
            <w:pPr>
              <w:ind w:left="20"/>
              <w:spacing w:after="0"/>
              <w:rPr>
                <w:sz w:val="20"/>
                <w:szCs w:val="20"/>
                <w:color w:val="auto"/>
              </w:rPr>
            </w:pPr>
            <w:r>
              <w:rPr>
                <w:rFonts w:ascii="Arial" w:cs="Arial" w:eastAsia="Arial" w:hAnsi="Arial"/>
                <w:sz w:val="16"/>
                <w:szCs w:val="16"/>
                <w:color w:val="auto"/>
              </w:rPr>
              <w:t>Contract termination costs</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center"/>
              <w:ind w:left="175"/>
              <w:spacing w:after="0"/>
              <w:rPr>
                <w:sz w:val="20"/>
                <w:szCs w:val="20"/>
                <w:color w:val="auto"/>
              </w:rPr>
            </w:pPr>
            <w:r>
              <w:rPr>
                <w:rFonts w:ascii="Arial" w:cs="Arial" w:eastAsia="Arial" w:hAnsi="Arial"/>
                <w:sz w:val="18"/>
                <w:szCs w:val="18"/>
                <w:color w:val="auto"/>
                <w:w w:val="97"/>
              </w:rPr>
              <w:t>(0.01)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3040" w:type="dxa"/>
            <w:vAlign w:val="bottom"/>
          </w:tcPr>
          <w:p>
            <w:pPr>
              <w:ind w:left="20"/>
              <w:spacing w:after="0"/>
              <w:rPr>
                <w:sz w:val="20"/>
                <w:szCs w:val="20"/>
                <w:color w:val="auto"/>
              </w:rPr>
            </w:pPr>
            <w:r>
              <w:rPr>
                <w:rFonts w:ascii="Arial" w:cs="Arial" w:eastAsia="Arial" w:hAnsi="Arial"/>
                <w:sz w:val="16"/>
                <w:szCs w:val="16"/>
                <w:color w:val="auto"/>
              </w:rPr>
              <w:t>Non cash interest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adjustments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2021 Q1 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7.2</w:t>
            </w:r>
          </w:p>
        </w:tc>
        <w:tc>
          <w:tcPr>
            <w:tcW w:w="3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jc w:val="center"/>
        <w:ind w:left="8740"/>
        <w:spacing w:after="0"/>
        <w:rPr>
          <w:sz w:val="20"/>
          <w:szCs w:val="20"/>
          <w:color w:val="auto"/>
        </w:rPr>
      </w:pPr>
      <w:r>
        <w:rPr>
          <w:rFonts w:ascii="Arial" w:cs="Arial" w:eastAsia="Arial" w:hAnsi="Arial"/>
          <w:sz w:val="16"/>
          <w:szCs w:val="16"/>
          <w:b w:val="1"/>
          <w:bCs w:val="1"/>
          <w:color w:val="auto"/>
        </w:rPr>
        <w:t>Three Months Ended</w:t>
      </w:r>
    </w:p>
    <w:p>
      <w:pPr>
        <w:jc w:val="center"/>
        <w:ind w:left="8740"/>
        <w:spacing w:after="0"/>
        <w:rPr>
          <w:sz w:val="20"/>
          <w:szCs w:val="20"/>
          <w:color w:val="auto"/>
        </w:rPr>
      </w:pPr>
      <w:r>
        <w:rPr>
          <w:rFonts w:ascii="Arial" w:cs="Arial" w:eastAsia="Arial" w:hAnsi="Arial"/>
          <w:sz w:val="16"/>
          <w:szCs w:val="16"/>
          <w:b w:val="1"/>
          <w:bCs w:val="1"/>
          <w:color w:val="auto"/>
        </w:rPr>
        <w:t>December 31,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jc w:val="center"/>
              <w:ind w:right="240"/>
              <w:spacing w:after="0" w:line="161" w:lineRule="exact"/>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right"/>
              <w:ind w:right="99"/>
              <w:spacing w:after="0" w:line="161"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5"/>
        </w:trPr>
        <w:tc>
          <w:tcPr>
            <w:tcW w:w="8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Change YOY</w:t>
            </w:r>
          </w:p>
        </w:tc>
        <w:tc>
          <w:tcPr>
            <w:tcW w:w="0" w:type="dxa"/>
            <w:vAlign w:val="bottom"/>
          </w:tcPr>
          <w:p>
            <w:pPr>
              <w:spacing w:after="0"/>
              <w:rPr>
                <w:sz w:val="1"/>
                <w:szCs w:val="1"/>
                <w:color w:val="auto"/>
              </w:rPr>
            </w:pPr>
          </w:p>
        </w:tc>
      </w:tr>
      <w:tr>
        <w:trPr>
          <w:trHeight w:val="245"/>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132.1</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Consolidated net inventory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consolidated net inventory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88"/>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net revenue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PLO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PLO</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PSC revenues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PSC revenues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merchandise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47"/>
        </w:trPr>
        <w:tc>
          <w:tcPr>
            <w:tcW w:w="8760" w:type="dxa"/>
            <w:vAlign w:val="bottom"/>
          </w:tcPr>
          <w:p>
            <w:pPr>
              <w:ind w:left="20"/>
              <w:spacing w:after="0"/>
              <w:rPr>
                <w:sz w:val="20"/>
                <w:szCs w:val="20"/>
                <w:color w:val="auto"/>
              </w:rPr>
            </w:pPr>
            <w:r>
              <w:rPr>
                <w:rFonts w:ascii="Arial" w:cs="Arial" w:eastAsia="Arial" w:hAnsi="Arial"/>
                <w:sz w:val="16"/>
                <w:szCs w:val="16"/>
                <w:color w:val="auto"/>
              </w:rPr>
              <w:t>Latin America Pawn segment profit before tax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19"/>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Currency exchange rate fluctuations</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7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Constant currency Latin America Pawn segment profit before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2022-02-02T15:14:23Z</dcterms:created>
  <dcterms:modified xsi:type="dcterms:W3CDTF">2022-02-02T15:14:23Z</dcterms:modified>
</cp:coreProperties>
</file>