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37,071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141,967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132,940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37,071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16,000 unvested Restricted Stock Awards.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2019-12-13T16:52:04Z</dcterms:created>
  <dcterms:modified xsi:type="dcterms:W3CDTF">2019-12-13T16:52:04Z</dcterms:modified>
</cp:coreProperties>
</file>