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31, 2024</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7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4"/>
                <w:szCs w:val="24"/>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34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July 31, 2024, EZCORP, Inc. (“EZCORP”) issued a press release announcing its results of operations and financial condition for the quarter ended June 30, 2024. A copy of that press release is attached as Exhibit 99.1.</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copy of the presentation materials that management will review during the Company’s earnings conference call (to be held on August 1, 2024) will be posted in the Investor Relations section of the company’s website at www.ezcorp.com.</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July 31, 2024, announcing EZCORP, Inc.’s results of operations and financial condition for the period ended June</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0000FF"/>
        </w:rPr>
        <w:t>30, 2024.</w:t>
      </w:r>
    </w:p>
    <w:p>
      <w:pPr>
        <w:spacing w:after="0" w:line="7"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34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30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3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3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49" w:right="359" w:bottom="1440" w:gutter="0" w:footer="0" w:header="0"/>
        </w:sectPr>
      </w:pPr>
    </w:p>
    <w:bookmarkStart w:id="2" w:name="page3"/>
    <w:bookmarkEnd w:id="2"/>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EZCORP Reports Third Quarter Fiscal 2024 Results</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Record PLO and Q3 Revenues</w:t>
      </w:r>
    </w:p>
    <w:p>
      <w:pPr>
        <w:spacing w:after="0" w:line="19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 xml:space="preserve">Austin, Texas (July 31, 2024) — </w:t>
      </w:r>
      <w:r>
        <w:rPr>
          <w:rFonts w:ascii="Arial" w:cs="Arial" w:eastAsia="Arial" w:hAnsi="Arial"/>
          <w:sz w:val="18"/>
          <w:szCs w:val="18"/>
          <w:color w:val="auto"/>
        </w:rPr>
        <w:t>EZCORP, Inc. (NASDAQ: EZPW), a leading provider of pawn transactions in the United States and Latin</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today announced results for its third quarter ended June 30, 2024.</w:t>
      </w:r>
    </w:p>
    <w:p>
      <w:pPr>
        <w:spacing w:after="0" w:line="10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Unless otherwise noted, all amounts in this release are in conformity with U.S. generally accepted accounting principles (“GAAP”) and comparisons shown are to the same period in the prior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Pawn loans outstanding (PLO) up 14% to $261.7 million.</w:t>
      </w:r>
    </w:p>
    <w:p>
      <w:pPr>
        <w:spacing w:after="0" w:line="171" w:lineRule="exact"/>
        <w:rPr>
          <w:rFonts w:ascii="Arial" w:cs="Arial" w:eastAsia="Arial" w:hAnsi="Arial"/>
          <w:sz w:val="18"/>
          <w:szCs w:val="18"/>
          <w:color w:val="auto"/>
        </w:rPr>
      </w:pPr>
    </w:p>
    <w:p>
      <w:pPr>
        <w:ind w:left="660" w:right="200" w:hanging="328"/>
        <w:spacing w:after="0" w:line="287"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increased 10% and gross profit increased 12%, while merchandise sales gross margin remains within our targeted range at 36%.</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$18.0 million, compared to $18.2 million.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net income increased $2.2 million or 14%.</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of $0.25, up from $0.24. On an adjusted basis, diluted earnings per share of $0.23, compared to $0.20.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 on earning assets (ROEA) remains strong at 160%.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Lachie Given, Chief Executive Officer, stated, “Our team delivered another outstanding quarter for our shareholders, driven by strong customer demand and continued focus on operational execution at the store level. As a result, we achieved record Q3 revenues and our highest level of PLO in Company history. The challenging macro-economic climate continues to fuel robust customer interest in short-term cash solutions and high-quality pre-owned goods, and the team’s focus on market-leading customer service drove excellent operational and financial results, increasing adjusted EBITDA by 15% with expanded margin.</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quarter, we grew our footprint by adding twelve new stores, including six de novo stores in Latin America and one in the U.S., as well as acquiring five stores in the U.S. We now operate 1,258 stores and employ over 8,000 team members. Our strong, liquid balance sheet enables us to continue scaling the business, organically through new store openings and through strategic acquisitions. Additionally, we demonstrated our commitment to returning capital to shareholders by repurchasing $3.0 million worth of shares during the quarter. Subsequent to quarter end, we also settled our convertible notes that matured in 2024 with $34.4 million in cash and 77,328 shares.</w:t>
      </w:r>
    </w:p>
    <w:p>
      <w:pPr>
        <w:spacing w:after="0" w:line="1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continue to prioritize convenience and a seamless customer experience to drive loyalty and engagement. Our EZ+ Rewards program now boasts 5 million members globally, up 51% year-over-year. These members accounted for 76% of unique customer transactions during the quarter, illustrating the ongoing success of the program. Online payments also continue to gain traction with a 49% increase to $21.7 million collected in the U.S.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remain committed to a balanced capital allocation strategy in which we invest in our people and business to drive strong organic growth, execute value-enhancing acquisitions and investments, return capital to shareholders via strategic share repurchases, and maintain substantial liquidity to manage debt. The business is performing exceptionally well and I thank the team for their relentless focus on operational excellence to produce these results for all of our stakeholders,” concluded Given.</w:t>
      </w:r>
    </w:p>
    <w:p>
      <w:pPr>
        <w:sectPr>
          <w:pgSz w:w="11900" w:h="16838" w:orient="portrait"/>
          <w:cols w:equalWidth="0" w:num="1">
            <w:col w:w="11180"/>
          </w:cols>
          <w:pgMar w:left="320" w:top="1440"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CONSOLIDATED RESULTS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Reported</w:t>
            </w:r>
          </w:p>
        </w:tc>
        <w:tc>
          <w:tcPr>
            <w:tcW w:w="8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tcPr>
          <w:p>
            <w:pPr>
              <w:spacing w:after="0"/>
              <w:rPr>
                <w:sz w:val="21"/>
                <w:szCs w:val="2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6"/>
                <w:szCs w:val="16"/>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2023</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248"/>
        </w:trPr>
        <w:tc>
          <w:tcPr>
            <w:tcW w:w="5700" w:type="dxa"/>
            <w:vAlign w:val="bottom"/>
          </w:tcPr>
          <w:p>
            <w:pPr>
              <w:spacing w:after="0"/>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255.8</w:t>
            </w:r>
          </w:p>
        </w:tc>
        <w:tc>
          <w:tcPr>
            <w:tcW w:w="44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255.8</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148.8</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148.8</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Income before tax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21.3</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18.2</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0.24</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EBITDA (non-GAAP measure)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30.2</w:t>
            </w:r>
          </w:p>
        </w:tc>
        <w:tc>
          <w:tcPr>
            <w:tcW w:w="44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27.6</w:t>
            </w:r>
          </w:p>
        </w:tc>
      </w:tr>
    </w:tbl>
    <w:p>
      <w:pPr>
        <w:spacing w:after="0" w:line="321" w:lineRule="exact"/>
        <w:rPr>
          <w:sz w:val="20"/>
          <w:szCs w:val="20"/>
          <w:color w:val="auto"/>
        </w:rPr>
      </w:pPr>
    </w:p>
    <w:p>
      <w:pPr>
        <w:ind w:left="660" w:right="36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PLO increased 14% to $261.7 million, up $32.3 million. On a same-store basis, PLO increased 12% due to improved operational performance and continued strong pawn demand.</w:t>
      </w:r>
    </w:p>
    <w:p>
      <w:pPr>
        <w:spacing w:after="0" w:line="98" w:lineRule="exact"/>
        <w:rPr>
          <w:rFonts w:ascii="Arial" w:cs="Arial" w:eastAsia="Arial" w:hAnsi="Arial"/>
          <w:sz w:val="18"/>
          <w:szCs w:val="18"/>
          <w:color w:val="auto"/>
        </w:rPr>
      </w:pPr>
    </w:p>
    <w:p>
      <w:pPr>
        <w:ind w:left="660" w:right="88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increased 10%, and gross profit increased 12%, reflecting improved pawn service charge (PSC) revenues, merchandise sales and merchandise sales gross profit.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increased 15% as a result of higher average PLO.</w:t>
      </w:r>
    </w:p>
    <w:p>
      <w:pPr>
        <w:spacing w:after="0" w:line="171" w:lineRule="exact"/>
        <w:rPr>
          <w:rFonts w:ascii="Arial" w:cs="Arial" w:eastAsia="Arial" w:hAnsi="Arial"/>
          <w:sz w:val="18"/>
          <w:szCs w:val="18"/>
          <w:color w:val="auto"/>
        </w:rPr>
      </w:pPr>
    </w:p>
    <w:p>
      <w:pPr>
        <w:ind w:left="660" w:right="52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Merchandise sales gross margin remains within our target range at 36%. Aged general merchandise was 3.2% of total general merchandise inventory.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inventory increased 11%, as expected with the growth in PLO. Inventory turnover decreased to 2.7x, from 2.8x.</w:t>
      </w:r>
    </w:p>
    <w:p>
      <w:pPr>
        <w:spacing w:after="0" w:line="171" w:lineRule="exact"/>
        <w:rPr>
          <w:rFonts w:ascii="Arial" w:cs="Arial" w:eastAsia="Arial" w:hAnsi="Arial"/>
          <w:sz w:val="18"/>
          <w:szCs w:val="18"/>
          <w:color w:val="auto"/>
        </w:rPr>
      </w:pPr>
    </w:p>
    <w:p>
      <w:pPr>
        <w:ind w:left="660" w:right="30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expenses increased 11% and 8% on a same-store basis, primarily due to increased labor in-line with store activity and, to a lesser extent, expenses related to our loyalty program.</w:t>
      </w:r>
    </w:p>
    <w:p>
      <w:pPr>
        <w:spacing w:after="0" w:line="98" w:lineRule="exact"/>
        <w:rPr>
          <w:rFonts w:ascii="Arial" w:cs="Arial" w:eastAsia="Arial" w:hAnsi="Arial"/>
          <w:sz w:val="18"/>
          <w:szCs w:val="18"/>
          <w:color w:val="auto"/>
        </w:rPr>
      </w:pPr>
    </w:p>
    <w:p>
      <w:pPr>
        <w:ind w:left="660" w:right="28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increased 12%, primarily due to labor, incentive compensation and, to a lesser extent, costs related to the implementation and ongoing support of Workday.</w:t>
      </w:r>
    </w:p>
    <w:p>
      <w:pPr>
        <w:spacing w:after="0" w:line="98" w:lineRule="exact"/>
        <w:rPr>
          <w:rFonts w:ascii="Arial" w:cs="Arial" w:eastAsia="Arial" w:hAnsi="Arial"/>
          <w:sz w:val="18"/>
          <w:szCs w:val="18"/>
          <w:color w:val="auto"/>
        </w:rPr>
      </w:pPr>
    </w:p>
    <w:p>
      <w:pPr>
        <w:ind w:left="660" w:right="40" w:hanging="328"/>
        <w:spacing w:after="0" w:line="26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before taxes was $23.0 million, up from $21.3 million, and adjusted EBITDA increased 15% to $31.6 million, with the primary adjustment being in the prior year for the reversal of contingent consideration liability in connection with a previously completed acquisition.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of $0.25, up from $0.24. On an adjusted basis, diluted earnings per share of $0.23, up from $0.20.</w:t>
      </w:r>
    </w:p>
    <w:p>
      <w:pPr>
        <w:spacing w:after="0" w:line="171" w:lineRule="exact"/>
        <w:rPr>
          <w:rFonts w:ascii="Arial" w:cs="Arial" w:eastAsia="Arial" w:hAnsi="Arial"/>
          <w:sz w:val="18"/>
          <w:szCs w:val="18"/>
          <w:color w:val="auto"/>
        </w:rPr>
      </w:pPr>
    </w:p>
    <w:p>
      <w:pPr>
        <w:ind w:left="660" w:right="20" w:hanging="328"/>
        <w:spacing w:after="0" w:line="26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at the end of the quarter was $218.0 million, down 8% year-over-year. The decrease was due to the increase in PLO and inventory, strategic investments and acquisitions, and share repurchases, partially offset by cash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ended the quarter at $199.3 million, up 11% or 10% on a same-store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were up 8% and gross profit was up 9%, reflecting increased PSC and higher merchandise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increased 13% as a result of higher average PLO.</w:t>
      </w:r>
    </w:p>
    <w:p>
      <w:pPr>
        <w:spacing w:after="0" w:line="171" w:lineRule="exact"/>
        <w:rPr>
          <w:rFonts w:ascii="Arial" w:cs="Arial" w:eastAsia="Arial" w:hAnsi="Arial"/>
          <w:sz w:val="18"/>
          <w:szCs w:val="18"/>
          <w:color w:val="auto"/>
        </w:rPr>
      </w:pPr>
    </w:p>
    <w:p>
      <w:pPr>
        <w:ind w:left="660" w:right="180" w:hanging="328"/>
        <w:spacing w:after="0" w:line="268"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increased 6%, and gross margin decreased to 38% from 39%. Aged general merchandise increased to 5.0% to $2.0 million of total general merchandise inventory. Excluding luxury handbags in our three Max Pawn stores in Las Vegas, aged general merchandise remains under 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inventory increased 6%, as expected with the growth in PLO. Inventory turnover remained flat at 2.6x.</w:t>
      </w:r>
    </w:p>
    <w:p>
      <w:pPr>
        <w:sectPr>
          <w:pgSz w:w="11900" w:h="16838" w:orient="portrait"/>
          <w:cols w:equalWidth="0" w:num="1">
            <w:col w:w="11240"/>
          </w:cols>
          <w:pgMar w:left="320" w:top="1093" w:right="339" w:bottom="1440" w:gutter="0" w:footer="0" w:header="0"/>
        </w:sectPr>
      </w:pPr>
    </w:p>
    <w:bookmarkStart w:id="4" w:name="page5"/>
    <w:bookmarkEnd w:id="4"/>
    <w:p>
      <w:pPr>
        <w:ind w:left="660" w:right="42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expenses increased 8% and 6% on a same-store basis, primarily due to increased labor in-line with store activity and to a lesser extent, expenses related to our loyalty program.</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increased 12% to $36.1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quarter, store count increased by six, due to the acquisition of five stores and opening of one de novo store.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24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PLO improved to $62.4 million, up 24% (30% on constant currency basis). On a same-store basis, PLO increased 20% (26% on a constant currency basis) due to improved operational performance and increased loan demand.</w:t>
      </w:r>
    </w:p>
    <w:p>
      <w:pPr>
        <w:spacing w:after="0" w:line="98" w:lineRule="exact"/>
        <w:rPr>
          <w:rFonts w:ascii="Arial" w:cs="Arial" w:eastAsia="Arial" w:hAnsi="Arial"/>
          <w:sz w:val="18"/>
          <w:szCs w:val="18"/>
          <w:color w:val="auto"/>
        </w:rPr>
      </w:pPr>
    </w:p>
    <w:p>
      <w:pPr>
        <w:ind w:left="660" w:right="6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revenues were up 15% (13% on constant currency basis), and gross profit increased 21% (19% on a constant currency basis), reflecting increased PSC, higher merchandise sales and improved merchandise sales gross profit.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PSC increased 22% (19% on a constant currency basis) as a result of higher average PLO.</w:t>
      </w:r>
    </w:p>
    <w:p>
      <w:pPr>
        <w:spacing w:after="0" w:line="171" w:lineRule="exact"/>
        <w:rPr>
          <w:rFonts w:ascii="Arial" w:cs="Arial" w:eastAsia="Arial" w:hAnsi="Arial"/>
          <w:sz w:val="18"/>
          <w:szCs w:val="18"/>
          <w:color w:val="auto"/>
        </w:rPr>
      </w:pPr>
    </w:p>
    <w:p>
      <w:pPr>
        <w:ind w:left="660" w:right="34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gross margin increased to 32% from 30%. Aged general merchandise was less than 1% of total merchandise inventory.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inventory increased 25% (32% on a constant currency basis). Inventory turnover decreased to 3.0x, from 3.4x.</w:t>
      </w:r>
    </w:p>
    <w:p>
      <w:pPr>
        <w:spacing w:after="0" w:line="171" w:lineRule="exact"/>
        <w:rPr>
          <w:rFonts w:ascii="Arial" w:cs="Arial" w:eastAsia="Arial" w:hAnsi="Arial"/>
          <w:sz w:val="18"/>
          <w:szCs w:val="18"/>
          <w:color w:val="auto"/>
        </w:rPr>
      </w:pPr>
    </w:p>
    <w:p>
      <w:pPr>
        <w:ind w:left="660" w:right="22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Store expenses increased 18% (15% on a constant currency basis) and 14% (12% on a constant currency basis) on a same-store basis, primarily due to increased labor, in line with store activity and to a lesser extent, rent.</w:t>
      </w:r>
    </w:p>
    <w:p>
      <w:pPr>
        <w:spacing w:after="0" w:line="98" w:lineRule="exact"/>
        <w:rPr>
          <w:rFonts w:ascii="Arial" w:cs="Arial" w:eastAsia="Arial" w:hAnsi="Arial"/>
          <w:sz w:val="18"/>
          <w:szCs w:val="18"/>
          <w:color w:val="auto"/>
        </w:rPr>
      </w:pPr>
    </w:p>
    <w:p>
      <w:pPr>
        <w:ind w:left="660" w:right="160" w:hanging="328"/>
        <w:spacing w:after="0" w:line="268"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contribution increased 6% (5% on a constant currency basis). On an adjusted basis, segment contribution was up 43% to $10.2 million, with the primary adjustment being the prior year reversal of contingent consideration liability in connection with a previously completed acquisition.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quarter, store count increased by six de novo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EZCORP’s Quarterly Report on Form 10-Q for the quarter ended June 30, 2024 has been filed with the Securities and Exchange Commission. The report is available in the Investor Relations section of the Company’s website at http://investors.ezcorp.com.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EZCORP will host a conference call on Thursday, August 1, 2024, at 8:00 am Central Time to discuss Third Quarter Fiscal 2024 results. Analysts and institutional investors may participate on the conference call by registering online at https://register.vevent.com/register/BId4b5469876114f61a4e1f86df672523c. Once registered you will receive the dial-in details with a unique PIN to join the call. The conference call will be webcast simultaneously to the public through this link: http://investors.ezcorp.com. A replay of the conference call will be available online at http://investors.ezcorp.com shortly after the end of the call.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LinkedIn https://www.linkedin.com/company/ezcorp/</w:t>
      </w:r>
    </w:p>
    <w:p>
      <w:pPr>
        <w:sectPr>
          <w:pgSz w:w="11900" w:h="16838" w:orient="portrait"/>
          <w:cols w:equalWidth="0" w:num="1">
            <w:col w:w="11220"/>
          </w:cols>
          <w:pgMar w:left="320" w:top="1093"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Percentages are calculated from the underlying numbers in thousands and, as a result, may not agree to the percentages calculated from numbers in millions.</w:t>
      </w:r>
    </w:p>
    <w:p>
      <w:pPr>
        <w:spacing w:after="0" w:line="1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4"/>
          <w:szCs w:val="14"/>
          <w:i w:val="1"/>
          <w:iCs w:val="1"/>
          <w:color w:val="auto"/>
        </w:rPr>
        <w:t>“Adjusted” basis, which is a non-GAAP measure, excludes certain items. “Constant currency” basis, which is a non-GAAP measure, excludes the impact of foreign currency exchange rate</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fluctuations. For additional information about these calculations, as well as a reconciliation to the most comparable GAAP financial measures, see “Non-GAAP Financial Information” at the end of this release.</w:t>
      </w: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“Same Store” basis, which is a financial measure, includes stores open the entirety of the comparable periods.</w:t>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195"/>
        </w:trPr>
        <w:tc>
          <w:tcPr>
            <w:tcW w:w="5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5"/>
        </w:trPr>
        <w:tc>
          <w:tcPr>
            <w:tcW w:w="522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158,140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147,980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502,230</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464,274</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34,640</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107,830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93,819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321,442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279,442</w:t>
            </w:r>
          </w:p>
        </w:tc>
      </w:tr>
      <w:tr>
        <w:trPr>
          <w:trHeight w:val="217"/>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09"/>
        </w:trPr>
        <w:tc>
          <w:tcPr>
            <w:tcW w:w="52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281,421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255,812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867,051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778,562</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101,211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322,680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297,285</w:t>
            </w:r>
          </w:p>
        </w:tc>
      </w:tr>
      <w:tr>
        <w:trPr>
          <w:trHeight w:val="21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30,813</w:t>
            </w:r>
          </w:p>
        </w:tc>
      </w:tr>
      <w:tr>
        <w:trPr>
          <w:trHeight w:val="209"/>
        </w:trPr>
        <w:tc>
          <w:tcPr>
            <w:tcW w:w="52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166,727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148,785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506,892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450,464</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116,335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104,932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341,472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307,004</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48,961</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23,977</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Loss (gain) on sale or disposal of assets and other</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(5,097)</w:t>
            </w:r>
          </w:p>
        </w:tc>
      </w:tr>
      <w:tr>
        <w:trPr>
          <w:trHeight w:val="210"/>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144,573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128,173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420,369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374,873</w:t>
            </w:r>
          </w:p>
        </w:tc>
      </w:tr>
      <w:tr>
        <w:trPr>
          <w:trHeight w:val="209"/>
        </w:trPr>
        <w:tc>
          <w:tcPr>
            <w:tcW w:w="5220" w:type="dxa"/>
            <w:vAlign w:val="bottom"/>
          </w:tcPr>
          <w:p>
            <w:pPr>
              <w:ind w:left="58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86,523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75,591</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12,994</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(5,146)</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29,394</w:t>
            </w:r>
          </w:p>
        </w:tc>
      </w:tr>
      <w:tr>
        <w:trPr>
          <w:trHeight w:val="21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09"/>
        </w:trPr>
        <w:tc>
          <w:tcPr>
            <w:tcW w:w="5220" w:type="dxa"/>
            <w:vAlign w:val="bottom"/>
          </w:tcPr>
          <w:p>
            <w:pPr>
              <w:ind w:left="8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89,356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38,508</w:t>
            </w:r>
          </w:p>
        </w:tc>
      </w:tr>
      <w:tr>
        <w:trPr>
          <w:trHeight w:val="21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5,050</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10,298</w:t>
            </w:r>
          </w:p>
        </w:tc>
      </w:tr>
      <w:tr>
        <w:trPr>
          <w:trHeight w:val="21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17,950</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67,899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28,210</w:t>
            </w:r>
          </w:p>
        </w:tc>
      </w:tr>
      <w:tr>
        <w:trPr>
          <w:trHeight w:val="411"/>
        </w:trPr>
        <w:tc>
          <w:tcPr>
            <w:tcW w:w="522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4"/>
                <w:szCs w:val="24"/>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0.51</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0.38</w:t>
            </w:r>
          </w:p>
        </w:tc>
      </w:tr>
      <w:tr>
        <w:trPr>
          <w:trHeight w:val="432"/>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54,898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55,367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55,776</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83,008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84,309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79,559</w:t>
            </w:r>
          </w:p>
        </w:tc>
      </w:tr>
    </w:tbl>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8"/>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218,038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237,974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220,595</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8,373</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261,720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229,379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245,766</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171,937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154,944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40,391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741,928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710,730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719,719</w:t>
            </w: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10,987</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Other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36,220</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68,096</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Right-of-use assets,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235,030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234,388</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308,847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302,372</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60,164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58,216</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25,702</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12,011</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1,510,163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1,457,678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r>
        <w:trPr>
          <w:trHeight w:val="308"/>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137,326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69,742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74,458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81,605</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18,920</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58,905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57,182</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286,040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149,972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191,972</w:t>
            </w: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359,686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325,847</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liability,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193,187</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10,502</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708,708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718,636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721,943</w:t>
            </w:r>
          </w:p>
        </w:tc>
        <w:tc>
          <w:tcPr>
            <w:tcW w:w="0" w:type="dxa"/>
            <w:vAlign w:val="bottom"/>
          </w:tcPr>
          <w:p>
            <w:pPr>
              <w:spacing w:after="0"/>
              <w:rPr>
                <w:sz w:val="1"/>
                <w:szCs w:val="1"/>
                <w:color w:val="auto"/>
              </w:rPr>
            </w:pPr>
          </w:p>
        </w:tc>
      </w:tr>
      <w:tr>
        <w:trPr>
          <w:trHeight w:val="215"/>
        </w:trPr>
        <w:tc>
          <w:tcPr>
            <w:tcW w:w="6700" w:type="dxa"/>
            <w:vAlign w:val="bottom"/>
          </w:tcPr>
          <w:p>
            <w:pPr>
              <w:ind w:left="240"/>
              <w:spacing w:after="0"/>
              <w:rPr>
                <w:sz w:val="20"/>
                <w:szCs w:val="20"/>
                <w:color w:val="auto"/>
              </w:rPr>
            </w:pPr>
            <w:r>
              <w:rPr>
                <w:rFonts w:ascii="Arial" w:cs="Arial" w:eastAsia="Arial" w:hAnsi="Arial"/>
                <w:sz w:val="16"/>
                <w:szCs w:val="16"/>
                <w:color w:val="auto"/>
              </w:rPr>
              <w:t>Commitments and contingencies (Note 9)</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700" w:type="dxa"/>
            <w:vAlign w:val="bottom"/>
          </w:tcPr>
          <w:p>
            <w:pPr>
              <w:ind w:left="480"/>
              <w:spacing w:after="0" w:line="164"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 51,771,917 as of June 30, 2024; 52,214,761 as</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of June 30, 2023; and 51,869,569 as of September 30, 2023</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00" w:type="dxa"/>
            <w:vAlign w:val="bottom"/>
          </w:tcPr>
          <w:p>
            <w:pPr>
              <w:ind w:left="480"/>
              <w:spacing w:after="0" w:line="164"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347,082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344,857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346,181</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493,830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422,549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431,140</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(28,916)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(32,102)</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801,455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739,042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745,768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1,510,163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1,457,678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8"/>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67,899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28,210</w:t>
            </w:r>
          </w:p>
        </w:tc>
      </w:tr>
      <w:tr>
        <w:trPr>
          <w:trHeight w:val="216"/>
        </w:trPr>
        <w:tc>
          <w:tcPr>
            <w:tcW w:w="824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24,942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23,977</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1,212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1,135</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43,999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41,752</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(7,489)</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(4,894)</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7,945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6,876</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Equity in net (income) loss from 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(4,135)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29,394</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Net loss on extinguishment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3,545</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Pawn service charges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(2,775)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(5,501)</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(3,625)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(2,750)</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(65,396)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(53,018)</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16"/>
        </w:trPr>
        <w:tc>
          <w:tcPr>
            <w:tcW w:w="824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8,923</w:t>
            </w:r>
          </w:p>
        </w:tc>
      </w:tr>
      <w:tr>
        <w:trPr>
          <w:trHeight w:val="217"/>
        </w:trPr>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3,589</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70,264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74,309</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(683,121)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(592,689)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391,297</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343,886</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272,781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251,608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(16,870)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(27,751)</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(11,963)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(12,968)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(issuance of) notes receivable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(15,500)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(15,000)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3,535</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(59,234)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(70,547)</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(1,149)</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issuance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Debt issuance cost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(7,458)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Cash paid on extinguishment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(1,951)</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(178,488)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(9,009)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(13,982)</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Payments of finance leases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(12,648)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26,972</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32,154</w:t>
            </w:r>
          </w:p>
        </w:tc>
      </w:tr>
      <w:tr>
        <w:trPr>
          <w:trHeight w:val="21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228,968</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214,369</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227,242</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246,523</w:t>
            </w:r>
          </w:p>
        </w:tc>
      </w:tr>
    </w:tbl>
    <w:p>
      <w:pPr>
        <w:sectPr>
          <w:pgSz w:w="11900" w:h="16838" w:orient="portrait"/>
          <w:cols w:equalWidth="0" w:num="1">
            <w:col w:w="11240"/>
          </w:cols>
          <w:pgMar w:left="320" w:top="125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 30, 2024</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107,849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50,291</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158,140</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158,140</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15,395</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107,830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107,830</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9"/>
        </w:trPr>
        <w:tc>
          <w:tcPr>
            <w:tcW w:w="29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281,421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281,421</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101,211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101,211</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13,483</w:t>
            </w:r>
          </w:p>
        </w:tc>
        <w:tc>
          <w:tcPr>
            <w:tcW w:w="0" w:type="dxa"/>
            <w:vAlign w:val="bottom"/>
          </w:tcPr>
          <w:p>
            <w:pPr>
              <w:spacing w:after="0"/>
              <w:rPr>
                <w:sz w:val="1"/>
                <w:szCs w:val="1"/>
                <w:color w:val="auto"/>
              </w:rPr>
            </w:pPr>
          </w:p>
        </w:tc>
      </w:tr>
      <w:tr>
        <w:trPr>
          <w:trHeight w:val="209"/>
        </w:trPr>
        <w:tc>
          <w:tcPr>
            <w:tcW w:w="29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166,727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166,727</w:t>
            </w:r>
          </w:p>
        </w:tc>
        <w:tc>
          <w:tcPr>
            <w:tcW w:w="0" w:type="dxa"/>
            <w:vAlign w:val="bottom"/>
          </w:tcPr>
          <w:p>
            <w:pPr>
              <w:spacing w:after="0"/>
              <w:rPr>
                <w:sz w:val="1"/>
                <w:szCs w:val="1"/>
                <w:color w:val="auto"/>
              </w:rPr>
            </w:pPr>
          </w:p>
        </w:tc>
      </w:tr>
      <w:tr>
        <w:trPr>
          <w:trHeight w:val="163"/>
        </w:trPr>
        <w:tc>
          <w:tcPr>
            <w:tcW w:w="290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34,894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116,335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116,335</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20,060</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8,158</w:t>
            </w:r>
          </w:p>
        </w:tc>
        <w:tc>
          <w:tcPr>
            <w:tcW w:w="0" w:type="dxa"/>
            <w:vAlign w:val="bottom"/>
          </w:tcPr>
          <w:p>
            <w:pPr>
              <w:spacing w:after="0"/>
              <w:rPr>
                <w:sz w:val="1"/>
                <w:szCs w:val="1"/>
                <w:color w:val="auto"/>
              </w:rPr>
            </w:pPr>
          </w:p>
        </w:tc>
      </w:tr>
      <w:tr>
        <w:trPr>
          <w:trHeight w:val="164"/>
        </w:trPr>
        <w:tc>
          <w:tcPr>
            <w:tcW w:w="2900" w:type="dxa"/>
            <w:vAlign w:val="bottom"/>
          </w:tcPr>
          <w:p>
            <w:pPr>
              <w:ind w:left="220"/>
              <w:spacing w:after="0" w:line="164" w:lineRule="exact"/>
              <w:rPr>
                <w:sz w:val="20"/>
                <w:szCs w:val="20"/>
                <w:color w:val="auto"/>
              </w:rPr>
            </w:pPr>
            <w:r>
              <w:rPr>
                <w:rFonts w:ascii="Arial" w:cs="Arial" w:eastAsia="Arial" w:hAnsi="Arial"/>
                <w:sz w:val="16"/>
                <w:szCs w:val="16"/>
                <w:color w:val="auto"/>
              </w:rPr>
              <w:t>(Gain) loss on sale or disposal of</w:t>
            </w: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3,539</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(2,931)</w:t>
            </w:r>
          </w:p>
        </w:tc>
        <w:tc>
          <w:tcPr>
            <w:tcW w:w="0" w:type="dxa"/>
            <w:vAlign w:val="bottom"/>
          </w:tcPr>
          <w:p>
            <w:pPr>
              <w:spacing w:after="0"/>
              <w:rPr>
                <w:sz w:val="1"/>
                <w:szCs w:val="1"/>
                <w:color w:val="auto"/>
              </w:rPr>
            </w:pPr>
          </w:p>
        </w:tc>
      </w:tr>
      <w:tr>
        <w:trPr>
          <w:trHeight w:val="164"/>
        </w:trPr>
        <w:tc>
          <w:tcPr>
            <w:tcW w:w="290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loss of</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 30, 2023</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(Unaudited)</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102,177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45,803</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147,980</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147,980</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13,931</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93,819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93,819</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9"/>
        </w:trPr>
        <w:tc>
          <w:tcPr>
            <w:tcW w:w="29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255,812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255,812</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95,069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95,069</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11,958</w:t>
            </w:r>
          </w:p>
        </w:tc>
        <w:tc>
          <w:tcPr>
            <w:tcW w:w="0" w:type="dxa"/>
            <w:vAlign w:val="bottom"/>
          </w:tcPr>
          <w:p>
            <w:pPr>
              <w:spacing w:after="0"/>
              <w:rPr>
                <w:sz w:val="1"/>
                <w:szCs w:val="1"/>
                <w:color w:val="auto"/>
              </w:rPr>
            </w:pPr>
          </w:p>
        </w:tc>
      </w:tr>
      <w:tr>
        <w:trPr>
          <w:trHeight w:val="209"/>
        </w:trPr>
        <w:tc>
          <w:tcPr>
            <w:tcW w:w="29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148,785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148,785</w:t>
            </w:r>
          </w:p>
        </w:tc>
        <w:tc>
          <w:tcPr>
            <w:tcW w:w="0" w:type="dxa"/>
            <w:vAlign w:val="bottom"/>
          </w:tcPr>
          <w:p>
            <w:pPr>
              <w:spacing w:after="0"/>
              <w:rPr>
                <w:sz w:val="1"/>
                <w:szCs w:val="1"/>
                <w:color w:val="auto"/>
              </w:rPr>
            </w:pPr>
          </w:p>
        </w:tc>
      </w:tr>
      <w:tr>
        <w:trPr>
          <w:trHeight w:val="163"/>
        </w:trPr>
        <w:tc>
          <w:tcPr>
            <w:tcW w:w="290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75,389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104,932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104,932</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17,876</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8,026</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Gain on sale or disposal of assets</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3,414</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164"/>
        </w:trPr>
        <w:tc>
          <w:tcPr>
            <w:tcW w:w="290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(1,523)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5"/>
        </w:trPr>
        <w:tc>
          <w:tcPr>
            <w:tcW w:w="290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43,541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43,541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rPr>
              <w:t>Nine Months Ended June 30, 2024</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(Unaudited)</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3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348,211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154,019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502,230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502,230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43,191</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236,499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321,442</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624,062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242,954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867,051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867,051</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218,736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103,944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322,680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322,680</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37,479</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371,361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135,496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506,892</w:t>
            </w:r>
          </w:p>
        </w:tc>
        <w:tc>
          <w:tcPr>
            <w:tcW w:w="0" w:type="dxa"/>
            <w:vAlign w:val="bottom"/>
          </w:tcPr>
          <w:p>
            <w:pPr>
              <w:spacing w:after="0"/>
              <w:rPr>
                <w:sz w:val="1"/>
                <w:szCs w:val="1"/>
                <w:color w:val="auto"/>
              </w:rPr>
            </w:pPr>
          </w:p>
        </w:tc>
      </w:tr>
      <w:tr>
        <w:trPr>
          <w:trHeight w:val="163"/>
        </w:trPr>
        <w:tc>
          <w:tcPr>
            <w:tcW w:w="28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239,536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101,936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341,472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341,472</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54,869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54,869</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24,942</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(Gain) loss on sale or disposal of</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10,381</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(8,452)</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loss of</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6D6D6D"/>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6D6D6D"/>
            </w:tcBorders>
          </w:tcPr>
          <w:p>
            <w:pPr>
              <w:spacing w:after="0"/>
              <w:rPr>
                <w:sz w:val="18"/>
                <w:szCs w:val="18"/>
                <w:color w:val="auto"/>
              </w:rPr>
            </w:pPr>
          </w:p>
        </w:tc>
        <w:tc>
          <w:tcPr>
            <w:tcW w:w="1180" w:type="dxa"/>
            <w:vAlign w:val="bottom"/>
            <w:tcBorders>
              <w:bottom w:val="single" w:sz="8" w:color="6D6D6D"/>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6D6D6D"/>
            </w:tcBorders>
          </w:tcPr>
          <w:p>
            <w:pPr>
              <w:spacing w:after="0"/>
              <w:rPr>
                <w:sz w:val="18"/>
                <w:szCs w:val="18"/>
                <w:color w:val="auto"/>
              </w:rPr>
            </w:pPr>
          </w:p>
        </w:tc>
        <w:tc>
          <w:tcPr>
            <w:tcW w:w="10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6D6D6D"/>
            </w:tcBorders>
          </w:tcPr>
          <w:p>
            <w:pPr>
              <w:spacing w:after="0"/>
              <w:rPr>
                <w:sz w:val="18"/>
                <w:szCs w:val="18"/>
                <w:color w:val="auto"/>
              </w:rPr>
            </w:pPr>
          </w:p>
        </w:tc>
        <w:tc>
          <w:tcPr>
            <w:tcW w:w="140" w:type="dxa"/>
            <w:vAlign w:val="bottom"/>
            <w:tcBorders>
              <w:bottom w:val="single" w:sz="8" w:color="6D6D6D"/>
            </w:tcBorders>
          </w:tcPr>
          <w:p>
            <w:pPr>
              <w:spacing w:after="0"/>
              <w:rPr>
                <w:sz w:val="18"/>
                <w:szCs w:val="18"/>
                <w:color w:val="auto"/>
              </w:rPr>
            </w:pPr>
          </w:p>
        </w:tc>
        <w:tc>
          <w:tcPr>
            <w:tcW w:w="11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6D6D6D"/>
            </w:tcBorders>
          </w:tcPr>
          <w:p>
            <w:pPr>
              <w:spacing w:after="0"/>
              <w:rPr>
                <w:sz w:val="18"/>
                <w:szCs w:val="18"/>
                <w:color w:val="auto"/>
              </w:rPr>
            </w:pPr>
          </w:p>
        </w:tc>
        <w:tc>
          <w:tcPr>
            <w:tcW w:w="520" w:type="dxa"/>
            <w:vAlign w:val="bottom"/>
            <w:tcBorders>
              <w:bottom w:val="single" w:sz="8" w:color="6D6D6D"/>
            </w:tcBorders>
          </w:tcPr>
          <w:p>
            <w:pPr>
              <w:spacing w:after="0"/>
              <w:rPr>
                <w:sz w:val="18"/>
                <w:szCs w:val="18"/>
                <w:color w:val="auto"/>
              </w:rPr>
            </w:pPr>
          </w:p>
        </w:tc>
        <w:tc>
          <w:tcPr>
            <w:tcW w:w="7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6D6D6D"/>
            </w:tcBorders>
          </w:tcPr>
          <w:p>
            <w:pPr>
              <w:spacing w:after="0"/>
              <w:rPr>
                <w:sz w:val="18"/>
                <w:szCs w:val="18"/>
                <w:color w:val="auto"/>
              </w:rPr>
            </w:pPr>
          </w:p>
        </w:tc>
        <w:tc>
          <w:tcPr>
            <w:tcW w:w="180" w:type="dxa"/>
            <w:vAlign w:val="bottom"/>
            <w:tcBorders>
              <w:bottom w:val="single" w:sz="8" w:color="6D6D6D"/>
            </w:tcBorders>
          </w:tcPr>
          <w:p>
            <w:pPr>
              <w:spacing w:after="0"/>
              <w:rPr>
                <w:sz w:val="18"/>
                <w:szCs w:val="18"/>
                <w:color w:val="auto"/>
              </w:rPr>
            </w:pPr>
          </w:p>
        </w:tc>
        <w:tc>
          <w:tcPr>
            <w:tcW w:w="108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6D6D6D"/>
            </w:tcBorders>
          </w:tcPr>
          <w:p>
            <w:pPr>
              <w:spacing w:after="0"/>
              <w:rPr>
                <w:sz w:val="18"/>
                <w:szCs w:val="18"/>
                <w:color w:val="auto"/>
              </w:rPr>
            </w:pPr>
          </w:p>
        </w:tc>
        <w:tc>
          <w:tcPr>
            <w:tcW w:w="120" w:type="dxa"/>
            <w:vAlign w:val="bottom"/>
            <w:tcBorders>
              <w:bottom w:val="single" w:sz="8" w:color="6D6D6D"/>
            </w:tcBorders>
          </w:tcPr>
          <w:p>
            <w:pPr>
              <w:spacing w:after="0"/>
              <w:rPr>
                <w:sz w:val="18"/>
                <w:szCs w:val="18"/>
                <w:color w:val="auto"/>
              </w:rPr>
            </w:pPr>
          </w:p>
        </w:tc>
        <w:tc>
          <w:tcPr>
            <w:tcW w:w="118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6D6D6D"/>
            </w:tcBorders>
          </w:tcPr>
          <w:p>
            <w:pPr>
              <w:ind w:left="1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6D6D6D"/>
            </w:tcBorders>
          </w:tcPr>
          <w:p>
            <w:pPr>
              <w:spacing w:after="0"/>
              <w:rPr>
                <w:sz w:val="18"/>
                <w:szCs w:val="18"/>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124,283</w:t>
            </w:r>
          </w:p>
        </w:tc>
        <w:tc>
          <w:tcPr>
            <w:tcW w:w="80" w:type="dxa"/>
            <w:vAlign w:val="bottom"/>
            <w:tcBorders>
              <w:bottom w:val="single" w:sz="8" w:color="6D6D6D"/>
            </w:tcBorders>
          </w:tcPr>
          <w:p>
            <w:pPr>
              <w:spacing w:after="0"/>
              <w:rPr>
                <w:sz w:val="18"/>
                <w:szCs w:val="18"/>
                <w:color w:val="auto"/>
              </w:rPr>
            </w:pPr>
          </w:p>
        </w:tc>
        <w:tc>
          <w:tcPr>
            <w:tcW w:w="260" w:type="dxa"/>
            <w:vAlign w:val="bottom"/>
            <w:tcBorders>
              <w:bottom w:val="single" w:sz="8" w:color="6D6D6D"/>
            </w:tcBorders>
          </w:tcPr>
          <w:p>
            <w:pPr>
              <w:spacing w:after="0"/>
              <w:rPr>
                <w:sz w:val="18"/>
                <w:szCs w:val="18"/>
                <w:color w:val="auto"/>
              </w:rPr>
            </w:pPr>
          </w:p>
        </w:tc>
        <w:tc>
          <w:tcPr>
            <w:tcW w:w="10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28,608</w:t>
            </w:r>
          </w:p>
        </w:tc>
        <w:tc>
          <w:tcPr>
            <w:tcW w:w="100" w:type="dxa"/>
            <w:vAlign w:val="bottom"/>
            <w:tcBorders>
              <w:bottom w:val="single" w:sz="8" w:color="6D6D6D"/>
            </w:tcBorders>
          </w:tcPr>
          <w:p>
            <w:pPr>
              <w:spacing w:after="0"/>
              <w:rPr>
                <w:sz w:val="18"/>
                <w:szCs w:val="18"/>
                <w:color w:val="auto"/>
              </w:rPr>
            </w:pPr>
          </w:p>
        </w:tc>
        <w:tc>
          <w:tcPr>
            <w:tcW w:w="1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6,097</w:t>
            </w:r>
          </w:p>
        </w:tc>
        <w:tc>
          <w:tcPr>
            <w:tcW w:w="100" w:type="dxa"/>
            <w:vAlign w:val="bottom"/>
            <w:tcBorders>
              <w:bottom w:val="single" w:sz="8" w:color="6D6D6D"/>
            </w:tcBorders>
          </w:tcPr>
          <w:p>
            <w:pPr>
              <w:spacing w:after="0"/>
              <w:rPr>
                <w:sz w:val="18"/>
                <w:szCs w:val="18"/>
                <w:color w:val="auto"/>
              </w:rPr>
            </w:pPr>
          </w:p>
        </w:tc>
        <w:tc>
          <w:tcPr>
            <w:tcW w:w="520" w:type="dxa"/>
            <w:vAlign w:val="bottom"/>
            <w:tcBorders>
              <w:bottom w:val="single" w:sz="8" w:color="6D6D6D"/>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158,988</w:t>
            </w:r>
          </w:p>
        </w:tc>
        <w:tc>
          <w:tcPr>
            <w:tcW w:w="100" w:type="dxa"/>
            <w:vAlign w:val="bottom"/>
            <w:tcBorders>
              <w:bottom w:val="single" w:sz="8" w:color="6D6D6D"/>
            </w:tcBorders>
          </w:tcPr>
          <w:p>
            <w:pPr>
              <w:spacing w:after="0"/>
              <w:rPr>
                <w:sz w:val="18"/>
                <w:szCs w:val="18"/>
                <w:color w:val="auto"/>
              </w:rPr>
            </w:pPr>
          </w:p>
        </w:tc>
        <w:tc>
          <w:tcPr>
            <w:tcW w:w="180" w:type="dxa"/>
            <w:vAlign w:val="bottom"/>
            <w:tcBorders>
              <w:bottom w:val="single" w:sz="8" w:color="6D6D6D"/>
            </w:tcBorders>
          </w:tcPr>
          <w:p>
            <w:pPr>
              <w:spacing w:after="0"/>
              <w:rPr>
                <w:sz w:val="18"/>
                <w:szCs w:val="18"/>
                <w:color w:val="auto"/>
              </w:rPr>
            </w:pPr>
          </w:p>
        </w:tc>
        <w:tc>
          <w:tcPr>
            <w:tcW w:w="1080" w:type="dxa"/>
            <w:vAlign w:val="bottom"/>
            <w:tcBorders>
              <w:bottom w:val="single" w:sz="8" w:color="6D6D6D"/>
            </w:tcBorders>
          </w:tcPr>
          <w:p>
            <w:pPr>
              <w:spacing w:after="0"/>
              <w:rPr>
                <w:sz w:val="18"/>
                <w:szCs w:val="18"/>
                <w:color w:val="auto"/>
              </w:rPr>
            </w:pPr>
          </w:p>
        </w:tc>
        <w:tc>
          <w:tcPr>
            <w:tcW w:w="100" w:type="dxa"/>
            <w:vAlign w:val="bottom"/>
            <w:tcBorders>
              <w:bottom w:val="single" w:sz="8" w:color="6D6D6D"/>
            </w:tcBorders>
          </w:tcPr>
          <w:p>
            <w:pPr>
              <w:spacing w:after="0"/>
              <w:rPr>
                <w:sz w:val="18"/>
                <w:szCs w:val="18"/>
                <w:color w:val="auto"/>
              </w:rPr>
            </w:pPr>
          </w:p>
        </w:tc>
        <w:tc>
          <w:tcPr>
            <w:tcW w:w="120" w:type="dxa"/>
            <w:vAlign w:val="bottom"/>
            <w:tcBorders>
              <w:bottom w:val="single" w:sz="8" w:color="6D6D6D"/>
            </w:tcBorders>
          </w:tcPr>
          <w:p>
            <w:pPr>
              <w:spacing w:after="0"/>
              <w:rPr>
                <w:sz w:val="18"/>
                <w:szCs w:val="18"/>
                <w:color w:val="auto"/>
              </w:rPr>
            </w:pPr>
          </w:p>
        </w:tc>
        <w:tc>
          <w:tcPr>
            <w:tcW w:w="1180" w:type="dxa"/>
            <w:vAlign w:val="bottom"/>
            <w:tcBorders>
              <w:bottom w:val="single" w:sz="8" w:color="6D6D6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158,988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(69,632)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89,356</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11" w:right="6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gridSpan w:val="6"/>
          </w:tcPr>
          <w:p>
            <w:pPr>
              <w:ind w:left="40"/>
              <w:spacing w:after="0"/>
              <w:rPr>
                <w:sz w:val="20"/>
                <w:szCs w:val="20"/>
                <w:color w:val="auto"/>
              </w:rPr>
            </w:pPr>
            <w:r>
              <w:rPr>
                <w:rFonts w:ascii="Arial" w:cs="Arial" w:eastAsia="Arial" w:hAnsi="Arial"/>
                <w:sz w:val="16"/>
                <w:szCs w:val="16"/>
                <w:b w:val="1"/>
                <w:bCs w:val="1"/>
                <w:color w:val="auto"/>
              </w:rPr>
              <w:t>Nine Months Ended June 30, 2023</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(Unaudited)</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36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8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329,231</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135,043</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464,274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464,274</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34,640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34,640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208,045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71,397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279,442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279,442</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567,448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211,067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778,562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778,562</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203,698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93,587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297,285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297,285</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25,867</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30,813</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337,883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112,534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450,464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450,464</w:t>
            </w:r>
          </w:p>
        </w:tc>
        <w:tc>
          <w:tcPr>
            <w:tcW w:w="0" w:type="dxa"/>
            <w:vAlign w:val="bottom"/>
          </w:tcPr>
          <w:p>
            <w:pPr>
              <w:spacing w:after="0"/>
              <w:rPr>
                <w:sz w:val="1"/>
                <w:szCs w:val="1"/>
                <w:color w:val="auto"/>
              </w:rPr>
            </w:pPr>
          </w:p>
        </w:tc>
      </w:tr>
      <w:tr>
        <w:trPr>
          <w:trHeight w:val="163"/>
        </w:trPr>
        <w:tc>
          <w:tcPr>
            <w:tcW w:w="28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220,639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86,365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307,004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307,004</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48,961</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23,977</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Loss (gain) on sale or disposal of</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12,994</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(5,146)</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loss of unconsolidated</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29,394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29,394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29,394</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109,342</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25,239</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(29,367)</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38,508</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11" w:right="6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78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98"/>
              </w:rPr>
              <w:t>EZCORP, Inc.</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78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STORE COUNT ACTIVITY</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78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8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Three Months Ended June 30, 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Consolidated</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As of March 31, 2024</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535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acquired</w:t>
            </w:r>
          </w:p>
        </w:tc>
        <w:tc>
          <w:tcPr>
            <w:tcW w:w="4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2024</w:t>
            </w:r>
          </w:p>
        </w:tc>
        <w:tc>
          <w:tcPr>
            <w:tcW w:w="4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5"/>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tcBorders>
              <w:bottom w:val="single" w:sz="8" w:color="auto"/>
            </w:tcBorders>
            <w:gridSpan w:val="10"/>
          </w:tcPr>
          <w:p>
            <w:pPr>
              <w:jc w:val="center"/>
              <w:spacing w:after="0"/>
              <w:rPr>
                <w:sz w:val="20"/>
                <w:szCs w:val="20"/>
                <w:color w:val="auto"/>
              </w:rPr>
            </w:pPr>
            <w:r>
              <w:rPr>
                <w:rFonts w:ascii="Arial" w:cs="Arial" w:eastAsia="Arial" w:hAnsi="Arial"/>
                <w:sz w:val="16"/>
                <w:szCs w:val="16"/>
                <w:b w:val="1"/>
                <w:bCs w:val="1"/>
                <w:color w:val="auto"/>
              </w:rPr>
              <w:t>Three Months Ended June 30, 2023</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540" w:type="dxa"/>
            <w:vAlign w:val="bottom"/>
            <w:gridSpan w:val="4"/>
          </w:tcPr>
          <w:p>
            <w:pPr>
              <w:jc w:val="center"/>
              <w:ind w:right="140"/>
              <w:spacing w:after="0" w:line="155" w:lineRule="exact"/>
              <w:rPr>
                <w:sz w:val="20"/>
                <w:szCs w:val="20"/>
                <w:color w:val="auto"/>
              </w:rPr>
            </w:pPr>
            <w:r>
              <w:rPr>
                <w:rFonts w:ascii="Arial" w:cs="Arial" w:eastAsia="Arial" w:hAnsi="Arial"/>
                <w:sz w:val="16"/>
                <w:szCs w:val="16"/>
                <w:b w:val="1"/>
                <w:bCs w:val="1"/>
                <w:color w:val="auto"/>
              </w:rPr>
              <w:t>Latin America</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As of March 31, 2023</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527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New locations opened</w:t>
            </w:r>
          </w:p>
        </w:tc>
        <w:tc>
          <w:tcPr>
            <w:tcW w:w="4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June 30, 2023</w:t>
            </w:r>
          </w:p>
        </w:tc>
        <w:tc>
          <w:tcPr>
            <w:tcW w:w="4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tcBorders>
              <w:bottom w:val="single" w:sz="8" w:color="auto"/>
            </w:tcBorders>
            <w:gridSpan w:val="10"/>
          </w:tcPr>
          <w:p>
            <w:pPr>
              <w:jc w:val="center"/>
              <w:spacing w:after="0"/>
              <w:rPr>
                <w:sz w:val="20"/>
                <w:szCs w:val="20"/>
                <w:color w:val="auto"/>
              </w:rPr>
            </w:pPr>
            <w:r>
              <w:rPr>
                <w:rFonts w:ascii="Arial" w:cs="Arial" w:eastAsia="Arial" w:hAnsi="Arial"/>
                <w:sz w:val="16"/>
                <w:szCs w:val="16"/>
                <w:b w:val="1"/>
                <w:bCs w:val="1"/>
                <w:color w:val="auto"/>
              </w:rPr>
              <w:t>Nine Months Ended June 30, 2024</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540" w:type="dxa"/>
            <w:vAlign w:val="bottom"/>
            <w:gridSpan w:val="4"/>
          </w:tcPr>
          <w:p>
            <w:pPr>
              <w:jc w:val="center"/>
              <w:ind w:right="140"/>
              <w:spacing w:after="0" w:line="155" w:lineRule="exact"/>
              <w:rPr>
                <w:sz w:val="20"/>
                <w:szCs w:val="20"/>
                <w:color w:val="auto"/>
              </w:rPr>
            </w:pPr>
            <w:r>
              <w:rPr>
                <w:rFonts w:ascii="Arial" w:cs="Arial" w:eastAsia="Arial" w:hAnsi="Arial"/>
                <w:sz w:val="16"/>
                <w:szCs w:val="16"/>
                <w:b w:val="1"/>
                <w:bCs w:val="1"/>
                <w:color w:val="auto"/>
              </w:rPr>
              <w:t>Latin America</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As of September 30, 2023</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529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New locations opened</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Locations acquired</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Locations combined or closed</w:t>
            </w:r>
          </w:p>
        </w:tc>
        <w:tc>
          <w:tcPr>
            <w:tcW w:w="4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June 30, 2024</w:t>
            </w:r>
          </w:p>
        </w:tc>
        <w:tc>
          <w:tcPr>
            <w:tcW w:w="4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tcBorders>
              <w:bottom w:val="single" w:sz="8" w:color="auto"/>
            </w:tcBorders>
            <w:gridSpan w:val="10"/>
          </w:tcPr>
          <w:p>
            <w:pPr>
              <w:jc w:val="center"/>
              <w:spacing w:after="0"/>
              <w:rPr>
                <w:sz w:val="20"/>
                <w:szCs w:val="20"/>
                <w:color w:val="auto"/>
              </w:rPr>
            </w:pPr>
            <w:r>
              <w:rPr>
                <w:rFonts w:ascii="Arial" w:cs="Arial" w:eastAsia="Arial" w:hAnsi="Arial"/>
                <w:sz w:val="16"/>
                <w:szCs w:val="16"/>
                <w:b w:val="1"/>
                <w:bCs w:val="1"/>
                <w:color w:val="auto"/>
              </w:rPr>
              <w:t>Nine Months Ended June 30, 2023</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540" w:type="dxa"/>
            <w:vAlign w:val="bottom"/>
            <w:gridSpan w:val="4"/>
          </w:tcPr>
          <w:p>
            <w:pPr>
              <w:jc w:val="center"/>
              <w:ind w:right="140"/>
              <w:spacing w:after="0" w:line="155" w:lineRule="exact"/>
              <w:rPr>
                <w:sz w:val="20"/>
                <w:szCs w:val="20"/>
                <w:color w:val="auto"/>
              </w:rPr>
            </w:pPr>
            <w:r>
              <w:rPr>
                <w:rFonts w:ascii="Arial" w:cs="Arial" w:eastAsia="Arial" w:hAnsi="Arial"/>
                <w:sz w:val="16"/>
                <w:szCs w:val="16"/>
                <w:b w:val="1"/>
                <w:bCs w:val="1"/>
                <w:color w:val="auto"/>
              </w:rPr>
              <w:t>Latin America</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As of September 30, 2022</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515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New locations opened</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Locations acquired</w:t>
            </w:r>
          </w:p>
        </w:tc>
        <w:tc>
          <w:tcPr>
            <w:tcW w:w="46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Locations combined or closed</w:t>
            </w:r>
          </w:p>
        </w:tc>
        <w:tc>
          <w:tcPr>
            <w:tcW w:w="3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As of June 30, 2023</w:t>
            </w:r>
          </w:p>
        </w:tc>
        <w:tc>
          <w:tcPr>
            <w:tcW w:w="4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nine months ended June 30, 2024 and 2023 were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520" w:type="dxa"/>
            <w:vAlign w:val="bottom"/>
            <w:gridSpan w:val="3"/>
            <w:vMerge w:val="restart"/>
          </w:tcPr>
          <w:p>
            <w:pPr>
              <w:ind w:left="82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3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8"/>
        </w:trPr>
        <w:tc>
          <w:tcPr>
            <w:tcW w:w="412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Australian dollar</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48"/>
        </w:trPr>
        <w:tc>
          <w:tcPr>
            <w:tcW w:w="8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20"/>
              <w:spacing w:after="0"/>
              <w:rPr>
                <w:sz w:val="20"/>
                <w:szCs w:val="20"/>
                <w:color w:val="auto"/>
              </w:rPr>
            </w:pPr>
            <w:r>
              <w:rPr>
                <w:rFonts w:ascii="Arial" w:cs="Arial" w:eastAsia="Arial" w:hAnsi="Arial"/>
                <w:sz w:val="16"/>
                <w:szCs w:val="16"/>
                <w:color w:val="auto"/>
              </w:rPr>
              <w:t>2024 Q3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Impact of dilutive instruments*</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Constant Currency and other impact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2024 Q3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9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80" w:type="dxa"/>
            <w:vAlign w:val="bottom"/>
          </w:tcPr>
          <w:p>
            <w:pPr>
              <w:spacing w:after="0"/>
              <w:rPr>
                <w:sz w:val="16"/>
                <w:szCs w:val="16"/>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60" w:type="dxa"/>
            <w:vAlign w:val="bottom"/>
          </w:tcPr>
          <w:p>
            <w:pPr>
              <w:ind w:left="20"/>
              <w:spacing w:after="0"/>
              <w:rPr>
                <w:sz w:val="20"/>
                <w:szCs w:val="20"/>
                <w:color w:val="auto"/>
              </w:rPr>
            </w:pPr>
            <w:r>
              <w:rPr>
                <w:rFonts w:ascii="Arial" w:cs="Arial" w:eastAsia="Arial" w:hAnsi="Arial"/>
                <w:sz w:val="16"/>
                <w:szCs w:val="16"/>
                <w:color w:val="auto"/>
              </w:rPr>
              <w:t>2023 Q3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255.8</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148.8</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center"/>
              <w:ind w:left="43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center"/>
              <w:ind w:left="13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64"/>
        </w:trPr>
        <w:tc>
          <w:tcPr>
            <w:tcW w:w="3060" w:type="dxa"/>
            <w:vAlign w:val="bottom"/>
          </w:tcPr>
          <w:p>
            <w:pPr>
              <w:ind w:left="20"/>
              <w:spacing w:after="0" w:line="164" w:lineRule="exact"/>
              <w:rPr>
                <w:sz w:val="20"/>
                <w:szCs w:val="20"/>
                <w:color w:val="auto"/>
              </w:rPr>
            </w:pPr>
            <w:r>
              <w:rPr>
                <w:rFonts w:ascii="Arial" w:cs="Arial" w:eastAsia="Arial" w:hAnsi="Arial"/>
                <w:sz w:val="16"/>
                <w:szCs w:val="16"/>
                <w:color w:val="auto"/>
              </w:rPr>
              <w:t>Contingent consideration acquisition</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ind w:left="4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center"/>
              <w:ind w:left="11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Impact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w w:val="98"/>
              </w:rPr>
              <w:t>1.2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2023 Q3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color w:val="auto"/>
                <w:w w:val="98"/>
              </w:rPr>
              <w:t>3.8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155"/>
        </w:trPr>
        <w:tc>
          <w:tcPr>
            <w:tcW w:w="5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U.S. Dollar</w:t>
            </w:r>
          </w:p>
        </w:tc>
        <w:tc>
          <w:tcPr>
            <w:tcW w:w="1100" w:type="dxa"/>
            <w:vAlign w:val="bottom"/>
          </w:tcPr>
          <w:p>
            <w:pPr>
              <w:jc w:val="center"/>
              <w:ind w:left="99"/>
              <w:spacing w:after="0" w:line="155" w:lineRule="exact"/>
              <w:rPr>
                <w:sz w:val="20"/>
                <w:szCs w:val="20"/>
                <w:color w:val="auto"/>
              </w:rPr>
            </w:pPr>
            <w:r>
              <w:rPr>
                <w:rFonts w:ascii="Arial" w:cs="Arial" w:eastAsia="Arial" w:hAnsi="Arial"/>
                <w:sz w:val="16"/>
                <w:szCs w:val="16"/>
                <w:b w:val="1"/>
                <w:bCs w:val="1"/>
                <w:color w:val="auto"/>
              </w:rPr>
              <w:t>Percentage</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5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6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Change YOY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8"/>
        </w:trPr>
        <w:tc>
          <w:tcPr>
            <w:tcW w:w="5900" w:type="dxa"/>
            <w:vAlign w:val="bottom"/>
          </w:tcPr>
          <w:p>
            <w:pPr>
              <w:ind w:left="20"/>
              <w:spacing w:after="0"/>
              <w:rPr>
                <w:sz w:val="20"/>
                <w:szCs w:val="20"/>
                <w:color w:val="auto"/>
              </w:rPr>
            </w:pPr>
            <w:r>
              <w:rPr>
                <w:rFonts w:ascii="Arial" w:cs="Arial" w:eastAsia="Arial" w:hAnsi="Arial"/>
                <w:sz w:val="16"/>
                <w:szCs w:val="16"/>
                <w:color w:val="auto"/>
              </w:rPr>
              <w:t>Consolidated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867.1</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49"/>
        </w:trPr>
        <w:tc>
          <w:tcPr>
            <w:tcW w:w="5900" w:type="dxa"/>
            <w:vAlign w:val="bottom"/>
          </w:tcPr>
          <w:p>
            <w:pPr>
              <w:ind w:left="20"/>
              <w:spacing w:after="0"/>
              <w:rPr>
                <w:sz w:val="20"/>
                <w:szCs w:val="20"/>
                <w:color w:val="auto"/>
              </w:rPr>
            </w:pPr>
            <w:r>
              <w:rPr>
                <w:rFonts w:ascii="Arial" w:cs="Arial" w:eastAsia="Arial" w:hAnsi="Arial"/>
                <w:sz w:val="16"/>
                <w:szCs w:val="16"/>
                <w:color w:val="auto"/>
              </w:rPr>
              <w:t>Consolidated 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506.9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49"/>
        </w:trPr>
        <w:tc>
          <w:tcPr>
            <w:tcW w:w="590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304"/>
        </w:trPr>
        <w:tc>
          <w:tcPr>
            <w:tcW w:w="5900" w:type="dxa"/>
            <w:vAlign w:val="bottom"/>
          </w:tcPr>
          <w:p>
            <w:pPr>
              <w:ind w:left="20"/>
              <w:spacing w:after="0"/>
              <w:rPr>
                <w:sz w:val="20"/>
                <w:szCs w:val="20"/>
                <w:color w:val="auto"/>
              </w:rPr>
            </w:pPr>
            <w:r>
              <w:rPr>
                <w:rFonts w:ascii="Arial" w:cs="Arial" w:eastAsia="Arial" w:hAnsi="Arial"/>
                <w:sz w:val="16"/>
                <w:szCs w:val="16"/>
                <w:color w:val="auto"/>
              </w:rPr>
              <w:t>Latin America Pawn 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135.5</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49"/>
        </w:trPr>
        <w:tc>
          <w:tcPr>
            <w:tcW w:w="590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49"/>
        </w:trPr>
        <w:tc>
          <w:tcPr>
            <w:tcW w:w="590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49"/>
        </w:trPr>
        <w:tc>
          <w:tcPr>
            <w:tcW w:w="590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49"/>
        </w:trPr>
        <w:tc>
          <w:tcPr>
            <w:tcW w:w="590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2024-07-31T15:44:00Z</dcterms:created>
  <dcterms:modified xsi:type="dcterms:W3CDTF">2024-07-31T15:44:00Z</dcterms:modified>
</cp:coreProperties>
</file>