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40306e8vk.txt"/>
      <w:bookmarkStart w:id="1" w:name="ksd40306e8vk"/>
      <w:bookmarkStart w:id="2" w:name="d40306e8vk.txt"/>
      <w:bookmarkStart w:id="3" w:name="ksd40306e8vk"/>
      <w:bookmarkEnd w:id="2"/>
      <w:bookmarkEnd w:id="3"/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PURSUANT TO SECTION 13 OR 15(D)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DATE OF REPORT (DATE OF EARLIEST EVENT REPORTED): OCTOBER 12,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</w:t>
      </w:r>
      <w:r>
        <w:rPr/>
        <w:t>DELAWARE                                0-19424                            74-2540145</w:t>
      </w:r>
    </w:p>
    <w:p>
      <w:pPr>
        <w:pStyle w:val="PreformattedText"/>
        <w:rPr/>
      </w:pPr>
      <w:r>
        <w:rPr/>
        <w:t xml:space="preserve">  </w:t>
      </w:r>
      <w:r>
        <w:rPr/>
        <w:t>(State or other jurisdiction of           (Commission File Number)                 (I.R.S. Employer</w:t>
      </w:r>
    </w:p>
    <w:p>
      <w:pPr>
        <w:pStyle w:val="PreformattedText"/>
        <w:rPr/>
      </w:pPr>
      <w:r>
        <w:rPr/>
        <w:t xml:space="preserve">          </w:t>
      </w:r>
      <w:r>
        <w:rPr/>
        <w:t>incorporation)                           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  </w:t>
      </w:r>
      <w:r>
        <w:rPr/>
        <w:t>AUSTIN, TEXAS                                                  78746</w:t>
      </w:r>
    </w:p>
    <w:p>
      <w:pPr>
        <w:pStyle w:val="PreformattedText"/>
        <w:rPr/>
      </w:pPr>
      <w:r>
        <w:rPr/>
        <w:t xml:space="preserve">      </w:t>
      </w:r>
      <w:r>
        <w:rPr/>
        <w:t>(Address of principal executive offices)          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telephone number, including area code: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Written communications pursuant to Rule 425 under the Securities Act (17</w:t>
      </w:r>
    </w:p>
    <w:p>
      <w:pPr>
        <w:pStyle w:val="PreformattedText"/>
        <w:rPr/>
      </w:pPr>
      <w:r>
        <w:rPr/>
        <w:t xml:space="preserve">    </w:t>
      </w:r>
      <w:r>
        <w:rPr/>
        <w:t>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Soliciting material pursuant to Rule 14a-12 under the Exchange Act (17</w:t>
      </w:r>
    </w:p>
    <w:p>
      <w:pPr>
        <w:pStyle w:val="PreformattedText"/>
        <w:rPr/>
      </w:pPr>
      <w:r>
        <w:rPr/>
        <w:t xml:space="preserve">    </w:t>
      </w:r>
      <w:r>
        <w:rPr/>
        <w:t>CFR 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Pre-commencement communications pursuant to Rule 14d-2(b) under the</w:t>
      </w:r>
    </w:p>
    <w:p>
      <w:pPr>
        <w:pStyle w:val="PreformattedText"/>
        <w:rPr/>
      </w:pPr>
      <w:r>
        <w:rPr/>
        <w:t xml:space="preserve">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Pre-commencement communications pursuant to Rule 13e-4(c) under the</w:t>
      </w:r>
    </w:p>
    <w:p>
      <w:pPr>
        <w:pStyle w:val="PreformattedText"/>
        <w:rPr/>
      </w:pPr>
      <w:r>
        <w:rPr/>
        <w:t xml:space="preserve">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2.02. RESULTS OF OPERATIONS AND FINANCIAL CONDITION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information set forth under "Item 2.02. Results Of Operations And Financial</w:t>
      </w:r>
    </w:p>
    <w:p>
      <w:pPr>
        <w:pStyle w:val="PreformattedText"/>
        <w:rPr/>
      </w:pPr>
      <w:r>
        <w:rPr/>
        <w:t>Condition," including the Exhibit attached hereto, shall not be deemed "filed"</w:t>
      </w:r>
    </w:p>
    <w:p>
      <w:pPr>
        <w:pStyle w:val="PreformattedText"/>
        <w:rPr/>
      </w:pPr>
      <w:r>
        <w:rPr/>
        <w:t>for purposes of Section 18 of the Securities and Exchange Act of 1934 (the</w:t>
      </w:r>
    </w:p>
    <w:p>
      <w:pPr>
        <w:pStyle w:val="PreformattedText"/>
        <w:rPr/>
      </w:pPr>
      <w:r>
        <w:rPr/>
        <w:t>"Exchange Act") or otherwise subject to the liabilities of that section, nor</w:t>
      </w:r>
    </w:p>
    <w:p>
      <w:pPr>
        <w:pStyle w:val="PreformattedText"/>
        <w:rPr/>
      </w:pPr>
      <w:r>
        <w:rPr/>
        <w:t>shall it be deemed incorporated by reference in any filing under the Securities</w:t>
      </w:r>
    </w:p>
    <w:p>
      <w:pPr>
        <w:pStyle w:val="PreformattedText"/>
        <w:rPr/>
      </w:pPr>
      <w:r>
        <w:rPr/>
        <w:t>Act of 1933 or the Exchange Act, regardless of any general incorporation</w:t>
      </w:r>
    </w:p>
    <w:p>
      <w:pPr>
        <w:pStyle w:val="PreformattedText"/>
        <w:rPr/>
      </w:pPr>
      <w:r>
        <w:rPr/>
        <w:t>language in such filing.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October 12, 2006, EZCORP, Inc. issued a press release announcing an increase</w:t>
      </w:r>
    </w:p>
    <w:p>
      <w:pPr>
        <w:pStyle w:val="PreformattedText"/>
        <w:rPr/>
      </w:pPr>
      <w:r>
        <w:rPr/>
        <w:t>in its expected earnings for the fourth fiscal quarter and its fiscal year ended</w:t>
      </w:r>
    </w:p>
    <w:p>
      <w:pPr>
        <w:pStyle w:val="PreformattedText"/>
        <w:rPr/>
      </w:pPr>
      <w:r>
        <w:rPr/>
        <w:t>September 30, 2006, and expected earnings for its fiscal year ending September</w:t>
      </w:r>
    </w:p>
    <w:p>
      <w:pPr>
        <w:pStyle w:val="PreformattedText"/>
        <w:rPr/>
      </w:pPr>
      <w:r>
        <w:rPr/>
        <w:t>30, 2007. A copy of the press release is attached hereto as Exhibit 99.1.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9.01.  FINANCIAL STATEMENTS AND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>99.1    Press release dated October 12, 2006, issued by 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October 12, 2006             By:   /s/ Daniel N. Tonissen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Senior Vice President, Chief Financial Officer,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</w:p>
    <w:p>
      <w:pPr>
        <w:pStyle w:val="PreformattedText"/>
        <w:rPr/>
      </w:pPr>
      <w:r>
        <w:rPr/>
        <w:t>99.1       Press release dated October 12, 2006, issued by EZCORP, Inc.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" w:name="d40306exv99w1.txt"/>
      <w:bookmarkStart w:id="5" w:name="ksd40306exv99w1"/>
      <w:bookmarkStart w:id="6" w:name="d40306exv99w1.txt"/>
      <w:bookmarkStart w:id="7" w:name="ksd40306exv99w1"/>
      <w:bookmarkEnd w:id="6"/>
      <w:bookmarkEnd w:id="7"/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99.1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EZCORP RAISES EARNINGS GUIDANCE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FOR FISCAL FOURTH QUARTER AND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AUSTIN, TEXAS (OCTOBER 12, 2006) -- EZCORP, Inc. (NASDAQ : EZPW) announced today</w:t>
      </w:r>
    </w:p>
    <w:p>
      <w:pPr>
        <w:pStyle w:val="PreformattedText"/>
        <w:rPr/>
      </w:pPr>
      <w:r>
        <w:rPr/>
        <w:t>that it expects earnings for its quarter ended September 30, 2006 to be in the</w:t>
      </w:r>
    </w:p>
    <w:p>
      <w:pPr>
        <w:pStyle w:val="PreformattedText"/>
        <w:rPr/>
      </w:pPr>
      <w:r>
        <w:rPr/>
        <w:t>range of $0.61 to $0.64 per share, significantly higher than its previously</w:t>
      </w:r>
    </w:p>
    <w:p>
      <w:pPr>
        <w:pStyle w:val="PreformattedText"/>
        <w:rPr/>
      </w:pPr>
      <w:r>
        <w:rPr/>
        <w:t>announced guidance of $0.43 to $0.46. During the quarter, the Company realized a</w:t>
      </w:r>
    </w:p>
    <w:p>
      <w:pPr>
        <w:pStyle w:val="PreformattedText"/>
        <w:rPr/>
      </w:pPr>
      <w:r>
        <w:rPr/>
        <w:t>stronger than expected signature loan contribution (primarily due to lower</w:t>
      </w:r>
    </w:p>
    <w:p>
      <w:pPr>
        <w:pStyle w:val="PreformattedText"/>
        <w:rPr/>
      </w:pPr>
      <w:r>
        <w:rPr/>
        <w:t>levels of bad debt), a net benefit of approximately $0.04 per share from several</w:t>
      </w:r>
    </w:p>
    <w:p>
      <w:pPr>
        <w:pStyle w:val="PreformattedText"/>
        <w:rPr/>
      </w:pPr>
      <w:r>
        <w:rPr/>
        <w:t>non-recurring items, and a lower than expected earnings drag from new store</w:t>
      </w:r>
    </w:p>
    <w:p>
      <w:pPr>
        <w:pStyle w:val="PreformattedText"/>
        <w:rPr/>
      </w:pPr>
      <w:r>
        <w:rPr/>
        <w:t>openings. The Company opened 46 stores during the quarter, with most of these</w:t>
      </w:r>
    </w:p>
    <w:p>
      <w:pPr>
        <w:pStyle w:val="PreformattedText"/>
        <w:rPr/>
      </w:pPr>
      <w:r>
        <w:rPr/>
        <w:t>opening late in the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fiscal year ending September 30, 2006, the Company is raising earnings</w:t>
      </w:r>
    </w:p>
    <w:p>
      <w:pPr>
        <w:pStyle w:val="PreformattedText"/>
        <w:rPr/>
      </w:pPr>
      <w:r>
        <w:rPr/>
        <w:t>guidance to a range of $2.05 to $2.08 per share compared to $1.09 per share for</w:t>
      </w:r>
    </w:p>
    <w:p>
      <w:pPr>
        <w:pStyle w:val="PreformattedText"/>
        <w:rPr/>
      </w:pPr>
      <w:r>
        <w:rPr/>
        <w:t>the twelve month period ended September 30, 2005. For the year, the Company</w:t>
      </w:r>
    </w:p>
    <w:p>
      <w:pPr>
        <w:pStyle w:val="PreformattedText"/>
        <w:rPr/>
      </w:pPr>
      <w:r>
        <w:rPr/>
        <w:t>opened 101 EZMONEY stores and closed one, for a net increase of 100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fiscal 2007, the Company expects earnings to be in the range of $2.40 to</w:t>
      </w:r>
    </w:p>
    <w:p>
      <w:pPr>
        <w:pStyle w:val="PreformattedText"/>
        <w:rPr/>
      </w:pPr>
      <w:r>
        <w:rPr/>
        <w:t>$2.45 per share. The Company also expects to open approximately 100 stores in</w:t>
      </w:r>
    </w:p>
    <w:p>
      <w:pPr>
        <w:pStyle w:val="PreformattedText"/>
        <w:rPr/>
      </w:pPr>
      <w:r>
        <w:rPr/>
        <w:t>fiscal 2007.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will release earnings for its fiscal fourth quarter and year on</w:t>
      </w:r>
    </w:p>
    <w:p>
      <w:pPr>
        <w:pStyle w:val="PreformattedText"/>
        <w:rPr/>
      </w:pPr>
      <w:r>
        <w:rPr/>
        <w:t>Thursday, November 9, 2006 following the close of market. Management will</w:t>
      </w:r>
    </w:p>
    <w:p>
      <w:pPr>
        <w:pStyle w:val="PreformattedText"/>
        <w:rPr/>
      </w:pPr>
      <w:r>
        <w:rPr/>
        <w:t>discuss the fiscal year and fourth quarter results and outlook for fiscal 2007</w:t>
      </w:r>
    </w:p>
    <w:p>
      <w:pPr>
        <w:pStyle w:val="PreformattedText"/>
        <w:rPr/>
      </w:pPr>
      <w:r>
        <w:rPr/>
        <w:t>in a conference call scheduled for 3:30 pm Central Time on the 9th.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 is a lender and provider of credit services to individuals who do not</w:t>
      </w:r>
    </w:p>
    <w:p>
      <w:pPr>
        <w:pStyle w:val="PreformattedText"/>
        <w:rPr/>
      </w:pPr>
      <w:r>
        <w:rPr/>
        <w:t>have cash resources or access to credit to meet their short-term cash needs. In</w:t>
      </w:r>
    </w:p>
    <w:p>
      <w:pPr>
        <w:pStyle w:val="PreformattedText"/>
        <w:rPr/>
      </w:pPr>
      <w:r>
        <w:rPr/>
        <w:t>280 EZPAWN locations open on September 30, 2006, the Company offers non-recourse</w:t>
      </w:r>
    </w:p>
    <w:p>
      <w:pPr>
        <w:pStyle w:val="PreformattedText"/>
        <w:rPr/>
      </w:pPr>
      <w:r>
        <w:rPr/>
        <w:t>loans collateralized by tangible personal property, commonly known as pawn</w:t>
      </w:r>
    </w:p>
    <w:p>
      <w:pPr>
        <w:pStyle w:val="PreformattedText"/>
        <w:rPr/>
      </w:pPr>
      <w:r>
        <w:rPr/>
        <w:t>loans. At these locations, the Company also sells merchandise, primarily</w:t>
      </w:r>
    </w:p>
    <w:p>
      <w:pPr>
        <w:pStyle w:val="PreformattedText"/>
        <w:rPr/>
      </w:pPr>
      <w:r>
        <w:rPr/>
        <w:t>collateral forfeited from its pawn lending operations, to consumers looking for</w:t>
      </w:r>
    </w:p>
    <w:p>
      <w:pPr>
        <w:pStyle w:val="PreformattedText"/>
        <w:rPr/>
      </w:pPr>
      <w:r>
        <w:rPr/>
        <w:t>good value. In 334 EZMONEY locations and 82 EZPAWN locations open on September</w:t>
      </w:r>
    </w:p>
    <w:p>
      <w:pPr>
        <w:pStyle w:val="PreformattedText"/>
        <w:rPr/>
      </w:pPr>
      <w:r>
        <w:rPr/>
        <w:t>30, 2006, the Company offers short-term non-collateralized loans, often referred</w:t>
      </w:r>
    </w:p>
    <w:p>
      <w:pPr>
        <w:pStyle w:val="PreformattedText"/>
        <w:rPr/>
      </w:pPr>
      <w:r>
        <w:rPr/>
        <w:t>to as payday loans, or fee based credit services to customers seeking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announcement contains certain forward-looking statements regarding the</w:t>
      </w:r>
    </w:p>
    <w:p>
      <w:pPr>
        <w:pStyle w:val="PreformattedText"/>
        <w:rPr/>
      </w:pPr>
      <w:r>
        <w:rPr/>
        <w:t>Company's expected performance for future periods including, but not limited to,</w:t>
      </w:r>
    </w:p>
    <w:p>
      <w:pPr>
        <w:pStyle w:val="PreformattedText"/>
        <w:rPr/>
      </w:pPr>
      <w:r>
        <w:rPr/>
        <w:t>expected future earnings and new store expansion. Actual results for these</w:t>
      </w:r>
    </w:p>
    <w:p>
      <w:pPr>
        <w:pStyle w:val="PreformattedText"/>
        <w:rPr/>
      </w:pPr>
      <w:r>
        <w:rPr/>
        <w:t>periods may materially differ from these statements. Such forward-looking</w:t>
      </w:r>
    </w:p>
    <w:p>
      <w:pPr>
        <w:pStyle w:val="PreformattedText"/>
        <w:rPr/>
      </w:pPr>
      <w:r>
        <w:rPr/>
        <w:t>statements involve risks and uncertainties such as changing market conditions in</w:t>
      </w:r>
    </w:p>
    <w:p>
      <w:pPr>
        <w:pStyle w:val="PreformattedText"/>
        <w:rPr/>
      </w:pPr>
      <w:r>
        <w:rPr/>
        <w:t>the overall economy and the industry, consumer demand for the Company's services</w:t>
      </w:r>
    </w:p>
    <w:p>
      <w:pPr>
        <w:pStyle w:val="PreformattedText"/>
        <w:rPr/>
      </w:pPr>
      <w:r>
        <w:rPr/>
        <w:t>and merchandise, changes in regulatory environment, and other factors</w:t>
      </w:r>
    </w:p>
    <w:p>
      <w:pPr>
        <w:pStyle w:val="PreformattedText"/>
        <w:rPr/>
      </w:pPr>
      <w:r>
        <w:rPr/>
        <w:t>periodically discussed in the Company's annual, quarterly and other reports</w:t>
      </w:r>
    </w:p>
    <w:p>
      <w:pPr>
        <w:pStyle w:val="PreformattedText"/>
        <w:rPr/>
      </w:pPr>
      <w:r>
        <w:rPr/>
        <w:t>filed 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>For additional information, contact Dan Tonissen at (512) 314-2289.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853</Words>
  <CharactersWithSpaces>6671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