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August 2, 2023</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 </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EZCORP,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2500 Bee Cave Road, Bldg One, Suite 200, Rollingwood, Texas 78746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(512) 314-3400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2023, EZCORP, Inc. ("EZCORP") issued a press release announcing its results of operations and financial condition for the full year and quarter ended June 30, 2023. A copy of that press release is attached as Exhibit 99.1.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the presentation materials that management will review during the Company’s earnings conference call (to be held on August 3, 2023) will be posted in the Investor Relations section of the company’s website at www.ezcorp.com.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48"/>
        <w:gridCol w:w="2839"/>
        <w:gridCol w:w="403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3pressreleaseex991.htm">
              <w:r>
                <w:rPr>
                  <w:rStyle w:val="InternetLink"/>
                  <w:rFonts w:ascii="Times New Roman;sans-serif" w:hAnsi="Times New Roman;sans-serif"/>
                  <w:b w:val="false"/>
                  <w:color w:val="0000FF"/>
                  <w:sz w:val="20"/>
                  <w:u w:val="single"/>
                </w:rPr>
                <w:t>Press Release, dated August 2, 2023, announcing EZCORP, Inc.’s results of operations and financial condition for the quarter ended June 30, 2023.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82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Third Quarter Fiscal 2023 Results</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Record Pawn Loans Outstanding and Third Quarter Merchandise Sales Drive Strong Revenue and Earnings Growth</w:t>
      </w:r>
    </w:p>
    <w:p>
      <w:pPr>
        <w:pStyle w:val="TextBody"/>
        <w:bidi w:val="0"/>
        <w:spacing w:lineRule="auto" w:line="288" w:before="240" w:after="283"/>
        <w:jc w:val="left"/>
        <w:rPr/>
      </w:pPr>
      <w:r>
        <w:rPr>
          <w:rFonts w:ascii="Arial Narrow;sans-serif" w:hAnsi="Arial Narrow;sans-serif"/>
          <w:b/>
          <w:color w:val="000000"/>
          <w:sz w:val="20"/>
        </w:rPr>
        <w:t xml:space="preserve">Austin, Texas (August 2, 2023) — </w:t>
      </w:r>
      <w:r>
        <w:rPr>
          <w:rFonts w:ascii="Arial Narrow;sans-serif" w:hAnsi="Arial Narrow;sans-serif"/>
          <w:b w:val="false"/>
          <w:color w:val="000000"/>
          <w:sz w:val="20"/>
        </w:rPr>
        <w:t>EZCORP, Inc. (NASDAQ: EZPW), a leading provider of pawn transactions in the United States and Latin America, today announced results for its third quarter ended June 30, 2023.</w:t>
      </w:r>
    </w:p>
    <w:p>
      <w:pPr>
        <w:pStyle w:val="TextBody"/>
        <w:bidi w:val="0"/>
        <w:spacing w:lineRule="auto" w:line="288" w:before="180" w:after="283"/>
        <w:jc w:val="left"/>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THIRD QUARTER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Pawn loans outstanding (PLO) up 12% to $229.4 million.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 increased 19%, and gross profit increased 15%.</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Merchandise sales gross margin remains within our targeted range at 36%.</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 xml:space="preserve">Net </w:t>
      </w:r>
      <w:r>
        <w:rPr>
          <w:rFonts w:ascii="Arial Narrow;sans-serif" w:hAnsi="Arial Narrow;sans-serif"/>
          <w:b w:val="false"/>
          <w:color w:val="000000"/>
          <w:sz w:val="20"/>
        </w:rPr>
        <w:t>income increased $6.0 million to $18.2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of $0.24, up from $0.17. On an adjusted basis</w:t>
      </w:r>
      <w:r>
        <w:rPr>
          <w:rFonts w:ascii="Arial Narrow;sans-serif" w:hAnsi="Arial Narrow;sans-serif"/>
          <w:b w:val="false"/>
          <w:color w:val="000000"/>
          <w:sz w:val="13"/>
        </w:rPr>
        <w:t>1</w:t>
      </w:r>
      <w:r>
        <w:rPr>
          <w:rFonts w:ascii="Arial Narrow;sans-serif" w:hAnsi="Arial Narrow;sans-serif"/>
          <w:b w:val="false"/>
          <w:color w:val="000000"/>
          <w:sz w:val="20"/>
        </w:rPr>
        <w:t xml:space="preserve">, diluted earnings per share of $0.20, compared to $0.16.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 on earning assets (ROEA) remains strong at 161%.</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CEO COMMENTARY AND OUTLOOK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Lachie Given, Chief Executive Officer, stated, "As a result of our team's persistent pursuit of operational excellence, we achieved record PLO and third quarter revenue and merchandise sales, driving another quarter of robust operating results for our stakeholders.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"We grew our store footprint, opening 13 de novo stores during the quarter. Twelve of the new stores are in Latin America, with five in Mexico, taking our store count there to 540, and seven in Guatemala, expanding our market leadership there to 110 stores. In Las Vegas, we opened an additional Max Pawn luxury store, giving us three luxury pawn stores in that market.</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"Our EZ+ Rewards loyalty program has grown to 3.3 million members, an 18% increase over the previous quarter. We continue to implement strategies to win and retain customers and drive customer engagement, enhancing their experience through targeted EZ+ marketing, moving payments online, and improving our retail showrooms. In the local communities we serve, we continue to provide a unique and essential service to our customers, focusing on meeting our customers' immediate cash needs with pawn loans and purchases, while providing outstanding value-for-money, offering a broad array of second-hand goods and a more sustainable way to shop.</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"We delivered another strong quarter of operating and financial results through our commitment to People, Pawn, and Passion. Team recruitment, retention, rewards and recognition remain focal points, as we employ the most passionate, productive, and tenured team in the industry. Investing in our people and technology to grow our customer base and improve the customer experience continues to be a successful formula for us in driving excellent financial and operating results for our shareholders," Given concluded.</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CONSOLIDATED RESULTS</w:t>
      </w:r>
    </w:p>
    <w:tbl>
      <w:tblPr>
        <w:tblW w:w="6629" w:type="dxa"/>
        <w:jc w:val="left"/>
        <w:tblInd w:w="0" w:type="dxa"/>
        <w:tblLayout w:type="fixed"/>
        <w:tblCellMar>
          <w:top w:w="28" w:type="dxa"/>
          <w:left w:w="28" w:type="dxa"/>
          <w:bottom w:w="28" w:type="dxa"/>
          <w:right w:w="28" w:type="dxa"/>
        </w:tblCellMar>
      </w:tblPr>
      <w:tblGrid>
        <w:gridCol w:w="888"/>
        <w:gridCol w:w="783"/>
        <w:gridCol w:w="788"/>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June 30</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pPr>
      <w:r>
        <w:rPr>
          <w:color w:val="000000"/>
        </w:rPr>
        <w:t>•</w:t>
      </w:r>
      <w:r>
        <w:rPr>
          <w:rFonts w:ascii="Arial Narrow;sans-serif" w:hAnsi="Arial Narrow;sans-serif"/>
          <w:b w:val="false"/>
          <w:color w:val="000000"/>
          <w:sz w:val="20"/>
        </w:rPr>
        <w:t>Diluted earnings per share of $0.24, up from $0.17. On an adjusted basis, diluted earnings per share of $0.20, up from $0.16.</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Income before taxes was $21.3 million, up from $13.1 million, and adjusted EBITDA increased 8% to $27.0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increased 12% to $229.4 million, up $25.2 million. On a same-store basis</w:t>
      </w:r>
      <w:r>
        <w:rPr>
          <w:rFonts w:ascii="Arial Narrow;sans-serif" w:hAnsi="Arial Narrow;sans-serif"/>
          <w:b w:val="false"/>
          <w:color w:val="000000"/>
          <w:sz w:val="13"/>
        </w:rPr>
        <w:t>2</w:t>
      </w:r>
      <w:r>
        <w:rPr>
          <w:rFonts w:ascii="Arial Narrow;sans-serif" w:hAnsi="Arial Narrow;sans-serif"/>
          <w:b w:val="false"/>
          <w:color w:val="000000"/>
          <w:sz w:val="20"/>
        </w:rPr>
        <w:t xml:space="preserve">, PLO increased 9% due to improved operational performance and continued strong loan demand.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Total revenues increased 19% and gross profit increased 15%, reflecting improved pawn service charge (PSC) revenue, merchandise sales and merchandise sales gross profit.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17% as a result of higher average PLO and yields.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remains within our targeted range at 36%. Aged general merchandise was 1.6% of total general merchandise inventory. This is a 60 bps improvement over the second quarter.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17%, as expected with the growth in PLO. Inventory turnover remained strong at 2.8x.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Store expenses increased 17%, primarily due to increased labor in-line with store activity, higher store count and, to a lesser extent, expenses related to our loyalty program and rent. On a same-store basis, store expenses increased 12%. General and administrative expenses decreased 4%, primarily due to the litigation accrual charge of $2.0 million recorded in prior period partially offset by an increase in costs related to our Workday implementation.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Cash and cash equivalents at the end of the quarter was $238.0 million, up 7% year-over-year. The increase was primarily due to cash inflows provided by operating activities and the net cash proceeds associated with the convertible debt refinancing offset by the increase in PLO and inventory, the acquisition of new stores, and strategic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ended the quarter at $178.9 million, up 12% or 9% on a same store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 was up 16% and gross profit increased 12%, reflecting increased PSC and higher merchandise sales.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16%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decreased to 39% from 41%, within our target range</w:t>
      </w:r>
      <w:r>
        <w:rPr>
          <w:rFonts w:ascii="Arial Narrow;sans-serif" w:hAnsi="Arial Narrow;sans-serif"/>
          <w:b w:val="false"/>
          <w:color w:val="000000"/>
          <w:sz w:val="20"/>
          <w:shd w:fill="FFFFFF" w:val="clear"/>
        </w:rPr>
        <w:t xml:space="preserve">. Aged general merchandise was 1.0% of total general merchandise inventory. This is </w:t>
      </w:r>
      <w:r>
        <w:rPr>
          <w:rFonts w:ascii="Arial Narrow;sans-serif" w:hAnsi="Arial Narrow;sans-serif"/>
          <w:b w:val="false"/>
          <w:color w:val="000000"/>
          <w:sz w:val="20"/>
        </w:rPr>
        <w:t>a 40 bps improvement over the second quarter.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Net inventory increased 13%, as expected with the growth in PLO. Inventory turnover increased to 2.6x from 2.5x.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14%, primarily due to increased labor in-line with store activity, higher store count and, to a lesser extent, expenses related to our loyalty program.</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rPr>
        <w:t xml:space="preserve">Segment contribution increased 9% to $32.3 million.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1 de novo store during the quarter.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improved to $50.5 million, up 14% (1% on constant currency basis). On a same store basis, PLO increased 11% (decreased 2% on a constant currency basis). PLO balance was lower than expected with a greater pay down during the quarter driven by a change in Mexican law, which significantly increased profit share required to be paid by companies to employees by May 30.</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Total revenue was up 26% (15% on constant currency basis) and gross profit increased 24% (14% on a constant currency basis), reflecting increased PSC, higher merchandise sales and improved merchandise sales gross profit.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19% (10% on a constant currency basis) as a result of higher average PLO and yield.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increased from 29% to 30%. Aged general merchandise increased to 2.4% from 1.3% of total merchandise inventory. This is a 80 bps improvement over the second quarter.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30% (13% on a constant currency basis), as expected with the growth in PLO. Inventory turnover remained strong at 3.4x, down from 3.7x.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Store expenses increased 26% (14% on a constant currency basis), primarily due to rent linked to inflation, higher store count and, to a lesser extent, expenses related to our loyalty program. Same-store expenses increased 21% (9% on a constant currency basis). </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rPr>
        <w:t xml:space="preserve">Segment contribution increased 59% (48% on a constant currency basis) to $9.7 million. On an adjusted basis, segment contribution was up 12% to $6.7 million, with the primary adjustment being the reversal of contingent consideration liability in connection with a previously completed acquisition.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12 de novo stores during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FORM 10-Q</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EZCORP’s Quarterly Report on Form 10-Q for the quarter ended June 30, 2023 has been filed with the Securities and Exchange Commission. The report is available in the Investor Relations section of the Company’s website at http://investors.ezcorp.com.</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CONFERENCE CALL</w:t>
      </w:r>
    </w:p>
    <w:p>
      <w:pPr>
        <w:pStyle w:val="TextBody"/>
        <w:bidi w:val="0"/>
        <w:spacing w:lineRule="auto" w:line="288" w:before="180" w:after="283"/>
        <w:jc w:val="left"/>
        <w:rPr/>
      </w:pPr>
      <w:r>
        <w:rPr>
          <w:rFonts w:ascii="Arial Narrow;sans-serif" w:hAnsi="Arial Narrow;sans-serif"/>
          <w:b w:val="false"/>
          <w:color w:val="000000"/>
          <w:sz w:val="20"/>
        </w:rPr>
        <w:t>EZCORP will host a conference call on Thursday, August 3, 2023, at 8:00 am Central Time to discuss Third Quarter Fiscal 2023 results. Analysts and institutional investors may participate on the conference call by dialing (833) 470-1428, Conference ID: 870985, or internationally by dialing (404) 975-4839. The conference call will be webcast simultaneously to the public through this link: </w:t>
      </w:r>
      <w:r>
        <w:rPr>
          <w:rFonts w:ascii="Arial Narrow;sans-serif" w:hAnsi="Arial Narrow;sans-serif"/>
          <w:b w:val="false"/>
          <w:color w:val="000000"/>
          <w:sz w:val="20"/>
          <w:u w:val="single"/>
        </w:rPr>
        <w:t>http://investors.ezcorp.com/</w:t>
      </w:r>
      <w:r>
        <w:rPr>
          <w:rFonts w:ascii="Arial Narrow;sans-serif" w:hAnsi="Arial Narrow;sans-serif"/>
          <w:b w:val="false"/>
          <w:color w:val="000000"/>
          <w:sz w:val="20"/>
        </w:rPr>
        <w:t>. A replay of the conference call will be available online at </w:t>
      </w:r>
      <w:r>
        <w:rPr>
          <w:rFonts w:ascii="Arial Narrow;sans-serif" w:hAnsi="Arial Narrow;sans-serif"/>
          <w:b w:val="false"/>
          <w:color w:val="000000"/>
          <w:sz w:val="20"/>
          <w:u w:val="single"/>
        </w:rPr>
        <w:t>http://investors.ezcorp.com/</w:t>
      </w:r>
      <w:r>
        <w:rPr>
          <w:color w:val="000000"/>
        </w:rPr>
        <w:t> </w:t>
      </w:r>
      <w:r>
        <w:rPr>
          <w:rFonts w:ascii="Arial Narrow;sans-serif" w:hAnsi="Arial Narrow;sans-serif"/>
          <w:b w:val="false"/>
          <w:color w:val="000000"/>
          <w:sz w:val="20"/>
        </w:rPr>
        <w:t>shortly after the end of the call.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ABOUT EZCORP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Follow us on social media:</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Linked In https://www.linkedin.com/company/ezcorp/</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Phone: (512) 314-2220</w:t>
      </w:r>
    </w:p>
    <w:p>
      <w:pPr>
        <w:pStyle w:val="TextBody"/>
        <w:bidi w:val="0"/>
        <w:spacing w:before="0" w:after="0"/>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lineRule="auto" w:line="288" w:before="180" w:after="283"/>
        <w:jc w:val="left"/>
        <w:rPr/>
      </w:pPr>
      <w:r>
        <w:rPr>
          <w:rFonts w:ascii="Times New Roman;sans-serif" w:hAnsi="Times New Roman;sans-serif"/>
          <w:b w:val="false"/>
          <w:i/>
          <w:color w:val="000000"/>
          <w:sz w:val="16"/>
        </w:rPr>
        <w:t>Note: Percentages are calculated from the underlying numbers in thousands and, as a result, may not agree to the percentages calculated from numbers in millions.</w:t>
        <w:br/>
      </w:r>
      <w:r>
        <w:rPr>
          <w:rFonts w:ascii="Times New Roman;sans-serif" w:hAnsi="Times New Roman;sans-serif"/>
          <w:b w:val="false"/>
          <w:i/>
          <w:color w:val="000000"/>
          <w:sz w:val="10"/>
        </w:rPr>
        <w:t>1</w:t>
      </w:r>
      <w:r>
        <w:rPr>
          <w:color w:val="000000"/>
        </w:rPr>
        <w:t>“</w:t>
      </w:r>
      <w:r>
        <w:rPr>
          <w:rFonts w:ascii="Times New Roman;sans-serif" w:hAnsi="Times New Roman;sans-serif"/>
          <w:b w:val="false"/>
          <w:i/>
          <w:color w:val="000000"/>
          <w:sz w:val="16"/>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ans-serif" w:hAnsi="Times New Roman;sans-serif"/>
          <w:b w:val="false"/>
          <w:i/>
          <w:color w:val="000000"/>
          <w:sz w:val="10"/>
        </w:rPr>
        <w:t>2</w:t>
      </w:r>
      <w:r>
        <w:rPr>
          <w:color w:val="000000"/>
        </w:rPr>
        <w:t>“</w:t>
      </w:r>
      <w:r>
        <w:rPr>
          <w:rFonts w:ascii="Times New Roman;sans-serif" w:hAnsi="Times New Roman;sans-serif"/>
          <w:b w:val="false"/>
          <w:i/>
          <w:color w:val="000000"/>
          <w:sz w:val="16"/>
        </w:rPr>
        <w:t>Same Store” basis, which is a financial measure, includes stores open the entirety of the comparable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8716" w:type="dxa"/>
        <w:jc w:val="left"/>
        <w:tblInd w:w="0" w:type="dxa"/>
        <w:tblLayout w:type="fixed"/>
        <w:tblCellMar>
          <w:top w:w="28" w:type="dxa"/>
          <w:left w:w="28" w:type="dxa"/>
          <w:bottom w:w="28" w:type="dxa"/>
          <w:right w:w="28" w:type="dxa"/>
        </w:tblCellMar>
      </w:tblPr>
      <w:tblGrid>
        <w:gridCol w:w="1273"/>
        <w:gridCol w:w="1116"/>
        <w:gridCol w:w="1121"/>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255,812 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215,842 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778,562 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652,818 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148,785 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129,508 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450,464 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390,547 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261,944 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128,173 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115,891 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374,873 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330,509 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20,612 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13,617 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75,591 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60,038 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(income) expense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Income before income taxes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21,310 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38,508 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42,823 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91"/>
        <w:gridCol w:w="1961"/>
        <w:gridCol w:w="1969"/>
        <w:gridCol w:w="181"/>
        <w:gridCol w:w="766"/>
        <w:gridCol w:w="109"/>
        <w:gridCol w:w="109"/>
        <w:gridCol w:w="109"/>
        <w:gridCol w:w="109"/>
        <w:gridCol w:w="181"/>
        <w:gridCol w:w="766"/>
        <w:gridCol w:w="109"/>
        <w:gridCol w:w="109"/>
        <w:gridCol w:w="109"/>
        <w:gridCol w:w="109"/>
        <w:gridCol w:w="183"/>
        <w:gridCol w:w="776"/>
        <w:gridCol w:w="159"/>
      </w:tblGrid>
      <w:tr>
        <w:trPr/>
        <w:tc>
          <w:tcPr>
            <w:tcW w:w="239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br/>
              <w:t>2022</w:t>
            </w:r>
          </w:p>
        </w:tc>
      </w:tr>
      <w:tr>
        <w:trPr/>
        <w:tc>
          <w:tcPr>
            <w:tcW w:w="6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445" w:type="dxa"/>
            <w:gridSpan w:val="6"/>
            <w:tcBorders/>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206,028 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210,009 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710,730 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629,646 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644,163 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221,405 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56,819 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6,625 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1,457,678 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1,330,827 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84,509 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149,972 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144,851 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152,866 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180,756 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718,636 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645,073 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655,647 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$0.01per share; shares authorized: 100 million; issued and outstanding: 52,214,761 as of June 30, 2023; 53,685,333 as of June 30, 2022; and 53,454,885 as of September 30, 2022</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345,330 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402,006 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(55,669)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739,042 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685,754 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692,231 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1,457,678 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1,330,827 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786" w:type="dxa"/>
        <w:jc w:val="left"/>
        <w:tblInd w:w="0" w:type="dxa"/>
        <w:tblLayout w:type="fixed"/>
        <w:tblCellMar>
          <w:top w:w="28" w:type="dxa"/>
          <w:left w:w="28" w:type="dxa"/>
          <w:bottom w:w="28" w:type="dxa"/>
          <w:right w:w="28" w:type="dxa"/>
        </w:tblCellMar>
      </w:tblPr>
      <w:tblGrid>
        <w:gridCol w:w="1926"/>
        <w:gridCol w:w="1697"/>
        <w:gridCol w:w="1701"/>
        <w:gridCol w:w="181"/>
        <w:gridCol w:w="646"/>
        <w:gridCol w:w="109"/>
        <w:gridCol w:w="109"/>
        <w:gridCol w:w="109"/>
        <w:gridCol w:w="109"/>
        <w:gridCol w:w="181"/>
        <w:gridCol w:w="646"/>
        <w:gridCol w:w="109"/>
        <w:gridCol w:w="109"/>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74,309 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48,494 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(592,689)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(524,965)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(70,547)</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(81,589)</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Repurchase of common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cash equivalents and restricted cash</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32,154 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(32,668)</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at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at end of period</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246,523 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230,956 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3"/>
        <w:gridCol w:w="660"/>
        <w:gridCol w:w="632"/>
        <w:gridCol w:w="181"/>
        <w:gridCol w:w="646"/>
        <w:gridCol w:w="109"/>
        <w:gridCol w:w="109"/>
        <w:gridCol w:w="109"/>
        <w:gridCol w:w="109"/>
        <w:gridCol w:w="250"/>
        <w:gridCol w:w="789"/>
        <w:gridCol w:w="150"/>
        <w:gridCol w:w="109"/>
        <w:gridCol w:w="109"/>
        <w:gridCol w:w="109"/>
        <w:gridCol w:w="264"/>
        <w:gridCol w:w="728"/>
        <w:gridCol w:w="160"/>
        <w:gridCol w:w="109"/>
        <w:gridCol w:w="109"/>
        <w:gridCol w:w="109"/>
        <w:gridCol w:w="205"/>
        <w:gridCol w:w="734"/>
        <w:gridCol w:w="123"/>
        <w:gridCol w:w="109"/>
        <w:gridCol w:w="109"/>
        <w:gridCol w:w="109"/>
        <w:gridCol w:w="212"/>
        <w:gridCol w:w="702"/>
        <w:gridCol w:w="128"/>
        <w:gridCol w:w="109"/>
        <w:gridCol w:w="109"/>
        <w:gridCol w:w="109"/>
        <w:gridCol w:w="196"/>
        <w:gridCol w:w="701"/>
        <w:gridCol w:w="177"/>
      </w:tblGrid>
      <w:tr>
        <w:trPr/>
        <w:tc>
          <w:tcPr>
            <w:tcW w:w="82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45,803 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147,980 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147,980 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25,029 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93,819 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93,819 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184,092 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71,705 </w:t>
            </w:r>
          </w:p>
        </w:tc>
        <w:tc>
          <w:tcPr>
            <w:tcW w:w="15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255,812 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255,812 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32,270 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95,069 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95,069 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110,192 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38,578 </w:t>
            </w:r>
          </w:p>
        </w:tc>
        <w:tc>
          <w:tcPr>
            <w:tcW w:w="15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148,785 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148,785 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29,543 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104,932 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104,932 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32,299 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9,714 </w:t>
            </w:r>
          </w:p>
        </w:tc>
        <w:tc>
          <w:tcPr>
            <w:tcW w:w="15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43,541 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43,541 </w:t>
            </w:r>
          </w:p>
        </w:tc>
        <w:tc>
          <w:tcPr>
            <w:tcW w:w="12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(22,231)</w:t>
            </w:r>
          </w:p>
        </w:tc>
        <w:tc>
          <w:tcPr>
            <w:tcW w:w="12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21,310 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36"/>
        <w:gridCol w:w="674"/>
        <w:gridCol w:w="647"/>
        <w:gridCol w:w="181"/>
        <w:gridCol w:w="571"/>
        <w:gridCol w:w="109"/>
        <w:gridCol w:w="109"/>
        <w:gridCol w:w="109"/>
        <w:gridCol w:w="109"/>
        <w:gridCol w:w="252"/>
        <w:gridCol w:w="797"/>
        <w:gridCol w:w="152"/>
        <w:gridCol w:w="109"/>
        <w:gridCol w:w="109"/>
        <w:gridCol w:w="109"/>
        <w:gridCol w:w="266"/>
        <w:gridCol w:w="733"/>
        <w:gridCol w:w="162"/>
        <w:gridCol w:w="109"/>
        <w:gridCol w:w="109"/>
        <w:gridCol w:w="109"/>
        <w:gridCol w:w="206"/>
        <w:gridCol w:w="738"/>
        <w:gridCol w:w="124"/>
        <w:gridCol w:w="109"/>
        <w:gridCol w:w="109"/>
        <w:gridCol w:w="109"/>
        <w:gridCol w:w="213"/>
        <w:gridCol w:w="707"/>
        <w:gridCol w:w="128"/>
        <w:gridCol w:w="109"/>
        <w:gridCol w:w="109"/>
        <w:gridCol w:w="109"/>
        <w:gridCol w:w="196"/>
        <w:gridCol w:w="701"/>
        <w:gridCol w:w="177"/>
      </w:tblGrid>
      <w:tr>
        <w:trPr/>
        <w:tc>
          <w:tcPr>
            <w:tcW w:w="83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2022</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34,329 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128,334 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128,334 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80,291 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80,291 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7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158,752 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57,069 </w:t>
            </w:r>
          </w:p>
        </w:tc>
        <w:tc>
          <w:tcPr>
            <w:tcW w:w="1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215,842 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215,842 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24,282 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80,167 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80,167 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98,361 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31,126 </w:t>
            </w:r>
          </w:p>
        </w:tc>
        <w:tc>
          <w:tcPr>
            <w:tcW w:w="1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129,508 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129,508 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23,394 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89,430 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89,430 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18,715 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18,715 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29,754 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6,097 </w:t>
            </w:r>
          </w:p>
        </w:tc>
        <w:tc>
          <w:tcPr>
            <w:tcW w:w="1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1,760 </w:t>
            </w:r>
          </w:p>
        </w:tc>
        <w:tc>
          <w:tcPr>
            <w:tcW w:w="1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37,611 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37,611 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(24,529)</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13,082 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28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97"/>
        <w:gridCol w:w="639"/>
        <w:gridCol w:w="613"/>
        <w:gridCol w:w="181"/>
        <w:gridCol w:w="646"/>
        <w:gridCol w:w="109"/>
        <w:gridCol w:w="109"/>
        <w:gridCol w:w="109"/>
        <w:gridCol w:w="109"/>
        <w:gridCol w:w="239"/>
        <w:gridCol w:w="853"/>
        <w:gridCol w:w="143"/>
        <w:gridCol w:w="109"/>
        <w:gridCol w:w="109"/>
        <w:gridCol w:w="109"/>
        <w:gridCol w:w="243"/>
        <w:gridCol w:w="770"/>
        <w:gridCol w:w="148"/>
        <w:gridCol w:w="109"/>
        <w:gridCol w:w="109"/>
        <w:gridCol w:w="109"/>
        <w:gridCol w:w="206"/>
        <w:gridCol w:w="737"/>
        <w:gridCol w:w="124"/>
        <w:gridCol w:w="109"/>
        <w:gridCol w:w="109"/>
        <w:gridCol w:w="109"/>
        <w:gridCol w:w="213"/>
        <w:gridCol w:w="707"/>
        <w:gridCol w:w="128"/>
        <w:gridCol w:w="109"/>
        <w:gridCol w:w="109"/>
        <w:gridCol w:w="109"/>
        <w:gridCol w:w="196"/>
        <w:gridCol w:w="701"/>
        <w:gridCol w:w="177"/>
      </w:tblGrid>
      <w:tr>
        <w:trPr/>
        <w:tc>
          <w:tcPr>
            <w:tcW w:w="79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135,043 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464,274 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464,274 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34,640 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34,640 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71,397 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279,442 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279,442 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567,448 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211,067 </w:t>
            </w:r>
          </w:p>
        </w:tc>
        <w:tc>
          <w:tcPr>
            <w:tcW w:w="14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778,562 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778,562 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93,587 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297,285 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297,285 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30,813 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30,813 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337,883 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112,534 </w:t>
            </w:r>
          </w:p>
        </w:tc>
        <w:tc>
          <w:tcPr>
            <w:tcW w:w="14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450,464 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450,464 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86,365 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307,004 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307,004 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48,964 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48,961 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(723)</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(5,146)</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109,342 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25,239 </w:t>
            </w:r>
          </w:p>
        </w:tc>
        <w:tc>
          <w:tcPr>
            <w:tcW w:w="143"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0"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(29,367)</w:t>
            </w:r>
          </w:p>
        </w:tc>
        <w:tc>
          <w:tcPr>
            <w:tcW w:w="148"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7"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105,214 </w:t>
            </w:r>
          </w:p>
        </w:tc>
        <w:tc>
          <w:tcPr>
            <w:tcW w:w="12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105,214 </w:t>
            </w:r>
          </w:p>
        </w:tc>
        <w:tc>
          <w:tcPr>
            <w:tcW w:w="12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(66,706)</w:t>
            </w:r>
          </w:p>
        </w:tc>
        <w:tc>
          <w:tcPr>
            <w:tcW w:w="12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38,508 </w:t>
            </w:r>
          </w:p>
        </w:tc>
        <w:tc>
          <w:tcPr>
            <w:tcW w:w="17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16"/>
        <w:gridCol w:w="653"/>
        <w:gridCol w:w="625"/>
        <w:gridCol w:w="181"/>
        <w:gridCol w:w="646"/>
        <w:gridCol w:w="109"/>
        <w:gridCol w:w="109"/>
        <w:gridCol w:w="109"/>
        <w:gridCol w:w="109"/>
        <w:gridCol w:w="236"/>
        <w:gridCol w:w="842"/>
        <w:gridCol w:w="141"/>
        <w:gridCol w:w="109"/>
        <w:gridCol w:w="109"/>
        <w:gridCol w:w="109"/>
        <w:gridCol w:w="264"/>
        <w:gridCol w:w="725"/>
        <w:gridCol w:w="160"/>
        <w:gridCol w:w="109"/>
        <w:gridCol w:w="109"/>
        <w:gridCol w:w="109"/>
        <w:gridCol w:w="205"/>
        <w:gridCol w:w="732"/>
        <w:gridCol w:w="123"/>
        <w:gridCol w:w="109"/>
        <w:gridCol w:w="109"/>
        <w:gridCol w:w="109"/>
        <w:gridCol w:w="211"/>
        <w:gridCol w:w="699"/>
        <w:gridCol w:w="127"/>
        <w:gridCol w:w="109"/>
        <w:gridCol w:w="109"/>
        <w:gridCol w:w="109"/>
        <w:gridCol w:w="196"/>
        <w:gridCol w:w="701"/>
        <w:gridCol w:w="178"/>
      </w:tblGrid>
      <w:tr>
        <w:trPr/>
        <w:tc>
          <w:tcPr>
            <w:tcW w:w="8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2022</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103,463 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399,610 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399,610 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232,999 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232,999 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484,729 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167,996 </w:t>
            </w:r>
          </w:p>
        </w:tc>
        <w:tc>
          <w:tcPr>
            <w:tcW w:w="1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652,818 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652,818 </w:t>
            </w:r>
          </w:p>
        </w:tc>
        <w:tc>
          <w:tcPr>
            <w:tcW w:w="1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245,524 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245,524 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16,747 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301,120 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89,334 </w:t>
            </w:r>
          </w:p>
        </w:tc>
        <w:tc>
          <w:tcPr>
            <w:tcW w:w="1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390,547 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390,547 </w:t>
            </w:r>
          </w:p>
        </w:tc>
        <w:tc>
          <w:tcPr>
            <w:tcW w:w="1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66,727 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261,944 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261,944 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46,487 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46,487 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9,045 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22,770 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98,037 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17,342 </w:t>
            </w:r>
          </w:p>
        </w:tc>
        <w:tc>
          <w:tcPr>
            <w:tcW w:w="1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1,535 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116,914 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116,914 </w:t>
            </w:r>
          </w:p>
        </w:tc>
        <w:tc>
          <w:tcPr>
            <w:tcW w:w="12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(62,362)</w:t>
            </w:r>
          </w:p>
        </w:tc>
        <w:tc>
          <w:tcPr>
            <w:tcW w:w="12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54,552 </w:t>
            </w:r>
          </w:p>
        </w:tc>
        <w:tc>
          <w:tcPr>
            <w:tcW w:w="17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6125" w:type="dxa"/>
        <w:jc w:val="center"/>
        <w:tblInd w:w="0" w:type="dxa"/>
        <w:tblLayout w:type="fixed"/>
        <w:tblCellMar>
          <w:top w:w="28" w:type="dxa"/>
          <w:left w:w="28" w:type="dxa"/>
          <w:bottom w:w="28" w:type="dxa"/>
          <w:right w:w="28" w:type="dxa"/>
        </w:tblCellMar>
      </w:tblPr>
      <w:tblGrid>
        <w:gridCol w:w="544"/>
        <w:gridCol w:w="477"/>
        <w:gridCol w:w="479"/>
        <w:gridCol w:w="280"/>
        <w:gridCol w:w="280"/>
        <w:gridCol w:w="280"/>
        <w:gridCol w:w="167"/>
        <w:gridCol w:w="167"/>
        <w:gridCol w:w="167"/>
        <w:gridCol w:w="499"/>
        <w:gridCol w:w="499"/>
        <w:gridCol w:w="501"/>
        <w:gridCol w:w="167"/>
        <w:gridCol w:w="167"/>
        <w:gridCol w:w="167"/>
        <w:gridCol w:w="340"/>
        <w:gridCol w:w="340"/>
        <w:gridCol w:w="341"/>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2023</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1,212 </w:t>
            </w:r>
          </w:p>
        </w:tc>
        <w:tc>
          <w:tcPr>
            <w:tcW w:w="34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894" w:type="dxa"/>
        <w:jc w:val="left"/>
        <w:tblInd w:w="0" w:type="dxa"/>
        <w:tblLayout w:type="fixed"/>
        <w:tblCellMar>
          <w:top w:w="28" w:type="dxa"/>
          <w:left w:w="28" w:type="dxa"/>
          <w:bottom w:w="28" w:type="dxa"/>
          <w:right w:w="28" w:type="dxa"/>
        </w:tblCellMar>
      </w:tblPr>
      <w:tblGrid>
        <w:gridCol w:w="544"/>
        <w:gridCol w:w="477"/>
        <w:gridCol w:w="479"/>
        <w:gridCol w:w="279"/>
        <w:gridCol w:w="279"/>
        <w:gridCol w:w="281"/>
        <w:gridCol w:w="165"/>
        <w:gridCol w:w="165"/>
        <w:gridCol w:w="165"/>
        <w:gridCol w:w="499"/>
        <w:gridCol w:w="499"/>
        <w:gridCol w:w="501"/>
        <w:gridCol w:w="165"/>
        <w:gridCol w:w="165"/>
        <w:gridCol w:w="165"/>
        <w:gridCol w:w="312"/>
        <w:gridCol w:w="312"/>
        <w:gridCol w:w="442"/>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2022</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2022</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1,152 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2022</w:t>
            </w:r>
          </w:p>
        </w:tc>
        <w:tc>
          <w:tcPr>
            <w:tcW w:w="55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519 </w:t>
            </w:r>
          </w:p>
        </w:tc>
        <w:tc>
          <w:tcPr>
            <w:tcW w:w="2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48" w:type="dxa"/>
        <w:jc w:val="center"/>
        <w:tblInd w:w="0" w:type="dxa"/>
        <w:tblLayout w:type="fixed"/>
        <w:tblCellMar>
          <w:top w:w="28" w:type="dxa"/>
          <w:left w:w="28" w:type="dxa"/>
          <w:bottom w:w="28" w:type="dxa"/>
          <w:right w:w="28" w:type="dxa"/>
        </w:tblCellMar>
      </w:tblPr>
      <w:tblGrid>
        <w:gridCol w:w="843"/>
        <w:gridCol w:w="740"/>
        <w:gridCol w:w="74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2023</w:t>
            </w:r>
          </w:p>
        </w:tc>
        <w:tc>
          <w:tcPr>
            <w:tcW w:w="1175" w:type="dxa"/>
            <w:gridSpan w:val="4"/>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sold,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June 30, 2023</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49" w:type="dxa"/>
        <w:jc w:val="center"/>
        <w:tblInd w:w="0" w:type="dxa"/>
        <w:tblLayout w:type="fixed"/>
        <w:tblCellMar>
          <w:top w:w="28" w:type="dxa"/>
          <w:left w:w="28" w:type="dxa"/>
          <w:bottom w:w="28" w:type="dxa"/>
          <w:right w:w="28" w:type="dxa"/>
        </w:tblCellMar>
      </w:tblPr>
      <w:tblGrid>
        <w:gridCol w:w="647"/>
        <w:gridCol w:w="568"/>
        <w:gridCol w:w="570"/>
        <w:gridCol w:w="279"/>
        <w:gridCol w:w="279"/>
        <w:gridCol w:w="281"/>
        <w:gridCol w:w="160"/>
        <w:gridCol w:w="160"/>
        <w:gridCol w:w="160"/>
        <w:gridCol w:w="499"/>
        <w:gridCol w:w="499"/>
        <w:gridCol w:w="501"/>
        <w:gridCol w:w="160"/>
        <w:gridCol w:w="160"/>
        <w:gridCol w:w="160"/>
        <w:gridCol w:w="312"/>
        <w:gridCol w:w="312"/>
        <w:gridCol w:w="442"/>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2022</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2021</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June 30, 2022</w:t>
            </w:r>
          </w:p>
        </w:tc>
        <w:tc>
          <w:tcPr>
            <w:tcW w:w="55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519 </w:t>
            </w:r>
          </w:p>
        </w:tc>
        <w:tc>
          <w:tcPr>
            <w:tcW w:w="2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nine months ended June 30, 2023 and 2022 were as follows:</w:t>
      </w:r>
    </w:p>
    <w:tbl>
      <w:tblPr>
        <w:tblW w:w="7211"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28"/>
        <w:gridCol w:w="193"/>
        <w:gridCol w:w="161"/>
        <w:gridCol w:w="161"/>
        <w:gridCol w:w="161"/>
        <w:gridCol w:w="161"/>
        <w:gridCol w:w="228"/>
        <w:gridCol w:w="193"/>
        <w:gridCol w:w="22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4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4210" w:type="dxa"/>
        <w:jc w:val="left"/>
        <w:tblInd w:w="0" w:type="dxa"/>
        <w:tblLayout w:type="fixed"/>
        <w:tblCellMar>
          <w:top w:w="28" w:type="dxa"/>
          <w:left w:w="28" w:type="dxa"/>
          <w:bottom w:w="28" w:type="dxa"/>
          <w:right w:w="28" w:type="dxa"/>
        </w:tblCellMar>
      </w:tblPr>
      <w:tblGrid>
        <w:gridCol w:w="717"/>
        <w:gridCol w:w="630"/>
        <w:gridCol w:w="633"/>
        <w:gridCol w:w="181"/>
        <w:gridCol w:w="421"/>
        <w:gridCol w:w="109"/>
        <w:gridCol w:w="109"/>
        <w:gridCol w:w="109"/>
        <w:gridCol w:w="109"/>
        <w:gridCol w:w="181"/>
        <w:gridCol w:w="421"/>
        <w:gridCol w:w="109"/>
        <w:gridCol w:w="109"/>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9"/>
        <w:gridCol w:w="201"/>
        <w:gridCol w:w="201"/>
        <w:gridCol w:w="201"/>
        <w:gridCol w:w="201"/>
        <w:gridCol w:w="201"/>
        <w:gridCol w:w="201"/>
        <w:gridCol w:w="201"/>
        <w:gridCol w:w="201"/>
        <w:gridCol w:w="242"/>
        <w:gridCol w:w="663"/>
        <w:gridCol w:w="145"/>
        <w:gridCol w:w="109"/>
        <w:gridCol w:w="109"/>
        <w:gridCol w:w="109"/>
        <w:gridCol w:w="209"/>
        <w:gridCol w:w="575"/>
        <w:gridCol w:w="126"/>
        <w:gridCol w:w="109"/>
        <w:gridCol w:w="109"/>
        <w:gridCol w:w="109"/>
        <w:gridCol w:w="306"/>
        <w:gridCol w:w="712"/>
        <w:gridCol w:w="184"/>
        <w:gridCol w:w="109"/>
        <w:gridCol w:w="109"/>
        <w:gridCol w:w="109"/>
        <w:gridCol w:w="210"/>
        <w:gridCol w:w="402"/>
        <w:gridCol w:w="126"/>
        <w:gridCol w:w="109"/>
        <w:gridCol w:w="109"/>
        <w:gridCol w:w="109"/>
        <w:gridCol w:w="212"/>
        <w:gridCol w:w="495"/>
        <w:gridCol w:w="127"/>
        <w:gridCol w:w="109"/>
        <w:gridCol w:w="109"/>
        <w:gridCol w:w="109"/>
        <w:gridCol w:w="226"/>
        <w:gridCol w:w="527"/>
        <w:gridCol w:w="136"/>
        <w:gridCol w:w="109"/>
        <w:gridCol w:w="109"/>
        <w:gridCol w:w="109"/>
        <w:gridCol w:w="183"/>
        <w:gridCol w:w="426"/>
        <w:gridCol w:w="174"/>
      </w:tblGrid>
      <w:tr>
        <w:trPr/>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8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2023 Q3 Reported</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110" w:type="dxa"/>
            <w:gridSpan w:val="6"/>
            <w:tcBorders/>
          </w:tcPr>
          <w:p>
            <w:pPr>
              <w:pStyle w:val="TableContents"/>
              <w:bidi w:val="0"/>
              <w:spacing w:before="0" w:after="283"/>
              <w:jc w:val="left"/>
              <w:rPr>
                <w:sz w:val="4"/>
                <w:szCs w:val="4"/>
              </w:rPr>
            </w:pPr>
            <w:r>
              <w:rPr>
                <w:sz w:val="4"/>
                <w:szCs w:val="4"/>
              </w:rPr>
            </w:r>
          </w:p>
        </w:tc>
      </w:tr>
      <w:tr>
        <w:trPr/>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Contingent consideration liability </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Impact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110" w:type="dxa"/>
            <w:gridSpan w:val="6"/>
            <w:tcBorders/>
          </w:tcPr>
          <w:p>
            <w:pPr>
              <w:pStyle w:val="TableContents"/>
              <w:bidi w:val="0"/>
              <w:spacing w:before="0" w:after="283"/>
              <w:jc w:val="left"/>
              <w:rPr>
                <w:sz w:val="4"/>
                <w:szCs w:val="4"/>
              </w:rPr>
            </w:pPr>
            <w:r>
              <w:rPr>
                <w:sz w:val="4"/>
                <w:szCs w:val="4"/>
              </w:rPr>
            </w:r>
          </w:p>
        </w:tc>
      </w:tr>
      <w:tr>
        <w:trPr/>
        <w:tc>
          <w:tcPr>
            <w:tcW w:w="1837"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impact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2023 Q3 Adjusted</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249.5 </w:t>
            </w:r>
          </w:p>
        </w:tc>
        <w:tc>
          <w:tcPr>
            <w:tcW w:w="14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145.5 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0.20 </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27.0 </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6"/>
        <w:gridCol w:w="190"/>
        <w:gridCol w:w="190"/>
        <w:gridCol w:w="190"/>
        <w:gridCol w:w="190"/>
        <w:gridCol w:w="190"/>
        <w:gridCol w:w="190"/>
        <w:gridCol w:w="190"/>
        <w:gridCol w:w="190"/>
        <w:gridCol w:w="254"/>
        <w:gridCol w:w="698"/>
        <w:gridCol w:w="153"/>
        <w:gridCol w:w="109"/>
        <w:gridCol w:w="109"/>
        <w:gridCol w:w="109"/>
        <w:gridCol w:w="215"/>
        <w:gridCol w:w="591"/>
        <w:gridCol w:w="129"/>
        <w:gridCol w:w="109"/>
        <w:gridCol w:w="109"/>
        <w:gridCol w:w="109"/>
        <w:gridCol w:w="331"/>
        <w:gridCol w:w="772"/>
        <w:gridCol w:w="200"/>
        <w:gridCol w:w="109"/>
        <w:gridCol w:w="109"/>
        <w:gridCol w:w="109"/>
        <w:gridCol w:w="216"/>
        <w:gridCol w:w="413"/>
        <w:gridCol w:w="129"/>
        <w:gridCol w:w="109"/>
        <w:gridCol w:w="109"/>
        <w:gridCol w:w="109"/>
        <w:gridCol w:w="181"/>
        <w:gridCol w:w="421"/>
        <w:gridCol w:w="109"/>
        <w:gridCol w:w="109"/>
        <w:gridCol w:w="109"/>
        <w:gridCol w:w="109"/>
        <w:gridCol w:w="235"/>
        <w:gridCol w:w="549"/>
        <w:gridCol w:w="141"/>
        <w:gridCol w:w="109"/>
        <w:gridCol w:w="109"/>
        <w:gridCol w:w="109"/>
        <w:gridCol w:w="181"/>
        <w:gridCol w:w="421"/>
        <w:gridCol w:w="168"/>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EBITDA</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2022 Q3 Reported</w:t>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Litigation accrual</w:t>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FIN 48 reserves</w:t>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7" w:type="dxa"/>
            <w:gridSpan w:val="6"/>
            <w:tcBorders/>
          </w:tcPr>
          <w:p>
            <w:pPr>
              <w:pStyle w:val="TableContents"/>
              <w:bidi w:val="0"/>
              <w:spacing w:before="0" w:after="283"/>
              <w:jc w:val="left"/>
              <w:rPr>
                <w:sz w:val="4"/>
                <w:szCs w:val="4"/>
              </w:rPr>
            </w:pPr>
            <w:r>
              <w:rPr>
                <w:sz w:val="4"/>
                <w:szCs w:val="4"/>
              </w:rPr>
            </w:r>
          </w:p>
        </w:tc>
      </w:tr>
      <w:tr>
        <w:trPr/>
        <w:tc>
          <w:tcPr>
            <w:tcW w:w="59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7" w:type="dxa"/>
            <w:gridSpan w:val="6"/>
            <w:tcBorders/>
          </w:tcPr>
          <w:p>
            <w:pPr>
              <w:pStyle w:val="TableContents"/>
              <w:bidi w:val="0"/>
              <w:spacing w:before="0" w:after="283"/>
              <w:jc w:val="left"/>
              <w:rPr>
                <w:sz w:val="4"/>
                <w:szCs w:val="4"/>
              </w:rPr>
            </w:pPr>
            <w:r>
              <w:rPr>
                <w:sz w:val="4"/>
                <w:szCs w:val="4"/>
              </w:rPr>
            </w:r>
          </w:p>
        </w:tc>
      </w:tr>
      <w:tr>
        <w:trPr/>
        <w:tc>
          <w:tcPr>
            <w:tcW w:w="1736"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2022 Q3 Adjusted</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129.5 </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20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1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0.16 </w:t>
            </w:r>
          </w:p>
        </w:tc>
        <w:tc>
          <w:tcPr>
            <w:tcW w:w="1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25.1 </w:t>
            </w:r>
          </w:p>
        </w:tc>
        <w:tc>
          <w:tcPr>
            <w:tcW w:w="16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30"/>
        <w:gridCol w:w="1079"/>
        <w:gridCol w:w="1097"/>
        <w:gridCol w:w="300"/>
        <w:gridCol w:w="821"/>
        <w:gridCol w:w="179"/>
        <w:gridCol w:w="109"/>
        <w:gridCol w:w="109"/>
        <w:gridCol w:w="109"/>
        <w:gridCol w:w="374"/>
        <w:gridCol w:w="374"/>
        <w:gridCol w:w="833"/>
        <w:gridCol w:w="109"/>
        <w:gridCol w:w="109"/>
        <w:gridCol w:w="109"/>
        <w:gridCol w:w="299"/>
        <w:gridCol w:w="821"/>
        <w:gridCol w:w="179"/>
        <w:gridCol w:w="109"/>
        <w:gridCol w:w="109"/>
        <w:gridCol w:w="109"/>
        <w:gridCol w:w="351"/>
        <w:gridCol w:w="351"/>
        <w:gridCol w:w="936"/>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Three Months Ended </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 2023</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3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30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83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93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00" w:after="283"/>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5159</Words>
  <Characters>28880</Characters>
  <CharactersWithSpaces>33398</CharactersWithSpaces>
  <Paragraphs>1707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