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Robertson Keith John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RD., BLD 1 STE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Non-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35,402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7.57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35,402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Voting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143,326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in whole or in part on September 30, 2024, subject to the attainment of specified performance goals.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Closing market value on September 30, 2021. However, no consideration was paid for the award other than services rendered and to be rendered by the Reporting Person.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Carrie Putnam,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315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-20320</wp:posOffset>
            </wp:positionV>
            <wp:extent cx="183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57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9547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2021-10-14T10:43:47Z</dcterms:created>
  <dcterms:modified xsi:type="dcterms:W3CDTF">2021-10-14T10:43:47Z</dcterms:modified>
</cp:coreProperties>
</file>