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8, 2018 (May 8,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1125"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On May 8, 2018, EZCORP, Inc. (the “Company”) issued a press release announcing its intention to offer $100,000,000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due 2025 in a private offering (the “Notes Offering”) that is exempt from the registration requirements of the Securities Act of 1933,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(the “Securities Act”). The convertible senior notes are to be offered and sold only to qualified institutional buyers pursuant to Rule 144A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Securities Act. The Company also expects to grant the initial purchasers of the convertible senior notes an option to purchase up to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$15,000,000 aggregate principal amount of the notes. A copy of the press release is attached as Exhibit 99.1 to this Report and incorporated by reference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Exhibits</w:t>
      </w:r>
    </w:p>
    <w:p>
      <w:pPr>
        <w:spacing w:after="0" w:line="171" w:lineRule="exact"/>
        <w:rPr>
          <w:sz w:val="20"/>
          <w:szCs w:val="20"/>
          <w:color w:val="auto"/>
        </w:rPr>
      </w:pPr>
    </w:p>
    <w:p>
      <w:pPr>
        <w:ind w:left="580" w:hanging="545"/>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240"/>
        <w:spacing w:after="0"/>
        <w:tabs>
          <w:tab w:leader="none" w:pos="80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FF"/>
          </w:rPr>
          <w:t>Press release dated May 8, 2018, announcing the offering of convertible senior notes due 2025</w:t>
        </w:r>
      </w:hyperlink>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320"/>
          </w:cols>
          <w:pgMar w:left="24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08610"/>
                    </a:xfrm>
                    <a:prstGeom prst="rect">
                      <a:avLst/>
                    </a:prstGeom>
                    <a:noFill/>
                  </pic:spPr>
                </pic:pic>
              </a:graphicData>
            </a:graphic>
          </wp:anchor>
        </w:drawing>
        <w:t>EZCORP Announces Private Offering of $100 Million of Convertible Senior Notes Due 2025</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Austin, Texas (May 8, 2018) </w:t>
      </w:r>
      <w:r>
        <w:rPr>
          <w:rFonts w:ascii="Arial" w:cs="Arial" w:eastAsia="Arial" w:hAnsi="Arial"/>
          <w:sz w:val="16"/>
          <w:szCs w:val="16"/>
          <w:color w:val="auto"/>
        </w:rPr>
        <w:t>- EZCORP, Inc. (NASDAQ: EZPW) (the “Company”), a leading provider of pawn loans in the United States and Latin</w:t>
      </w:r>
      <w:r>
        <w:rPr>
          <w:rFonts w:ascii="Arial" w:cs="Arial" w:eastAsia="Arial" w:hAnsi="Arial"/>
          <w:sz w:val="16"/>
          <w:szCs w:val="16"/>
          <w:b w:val="1"/>
          <w:bCs w:val="1"/>
          <w:color w:val="auto"/>
        </w:rPr>
        <w:t xml:space="preserve"> </w:t>
      </w:r>
      <w:r>
        <w:rPr>
          <w:rFonts w:ascii="Arial" w:cs="Arial" w:eastAsia="Arial" w:hAnsi="Arial"/>
          <w:sz w:val="16"/>
          <w:szCs w:val="16"/>
          <w:color w:val="auto"/>
        </w:rPr>
        <w:t>America, announced today that it intends to offer, subject to market conditions and other factors, $100 million aggregate principal amount of convertible senior notes due 2025 (the “Convertible Notes”) in a private offering to qualified institutional buyers pursuant to Rule 144A under the Securities Act of 1933 (the “Securities Act”). The Company expects to grant an option to the initial purchasers for up to an additional $15 million aggregate principal amount of Convertible Notes. The Convertible Notes are expected to pay interest semiannually and will be convertible into cash, shares of the Company’s Class A common stock or a combination thereof, at the Company’s election, based on a conversion rate to be determined. The Convertible Notes will mature on May 1, 2025, unless earlier converted, redeemed or repurchased in accordance with their terms prior to such date. Prior to the close of business on the business day immediately preceding November 1, 2024, the Convertible Notes will be convertible at the option of the holder only upon the occurrence of certain events and during certain periods, and thereafter, at any time prior to the close of business on the business day immediately preceding the maturity date.</w:t>
      </w:r>
    </w:p>
    <w:p>
      <w:pPr>
        <w:spacing w:after="0" w:line="1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intends to use the net proceeds from this offering for general corporate purposes and potentially to fund acquisitions. The Company is in various levels of discussion regarding a number of acquisition opportunities in the U.S., Canada, and Latin America, and have entered into non-binding letters of intent to acquire pawnshops in Latin America. At this time, there can be no assurance that the Company will complete any of those potential acquisitions.</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press release is neither an offer to sell nor a solicitation of an offer to buy the Convertible Notes or any shares of the Company’s Class A common stock issuable upon conversion of the Convertible Notes, nor will there be any sale of these securities in any state or jurisdiction in which such an offer, solicitation or sale would be unlawful prior to the registration or qualification under the securities laws of any such state or jurisdiction.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and any shares of the Company’s Class A common stock issuable upon conversion of the Convertible Notes have not been registered under the Securities Act, or the securities laws of any other jurisdiction, and may not be offered or sold in the United States absent registration or an applicable exemption from registration requirements. The offering is being made to qualified institutional buyers pursuant to Rule 144A under the Securities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proposed offering of the Convertible Notes, that address activities or results that the Company plans, expects, believes, projects, estimates or anticipates will, should or may occur in the future, including future capital expenditures and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Formed in 1989, EZCORP is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the NASDAQ stock market under the symbol EZPW and is a member of the Russell 2000 Index, S&amp;P SmallCap 600 Index, S&amp;P 1000 Index and NASDAQ Composite 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sectPr>
      <w:pgSz w:w="11900" w:h="16838" w:orient="portrait"/>
      <w:cols w:equalWidth="0" w:num="1">
        <w:col w:w="11420"/>
      </w:cols>
      <w:pgMar w:left="240" w:top="13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2020-01-15T09:00:11Z</dcterms:created>
  <dcterms:modified xsi:type="dcterms:W3CDTF">2020-01-15T09:00:11Z</dcterms:modified>
</cp:coreProperties>
</file>