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ESPINOSA PABLO LAGOS</w:t>
              </w:r>
            </w:hyperlink>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tcBorders>
              <w:bottom w:val="single" w:sz="8" w:color="0000EE"/>
            </w:tcBorders>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2500 BEE CAVE ROAD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Arial" w:cs="Arial" w:eastAsia="Arial" w:hAnsi="Arial"/>
                <w:sz w:val="17"/>
                <w:szCs w:val="17"/>
                <w:color w:val="0000FF"/>
              </w:rPr>
              <w:t>03/07/2022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BLDG. 1, SUITE 200</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ROLLINGWOOD TX</w:t>
            </w:r>
          </w:p>
        </w:tc>
        <w:tc>
          <w:tcPr>
            <w:tcW w:w="1340" w:type="dxa"/>
            <w:vAlign w:val="bottom"/>
            <w:gridSpan w:val="2"/>
          </w:tcPr>
          <w:p>
            <w:pPr>
              <w:jc w:val="right"/>
              <w:ind w:right="634"/>
              <w:spacing w:after="0"/>
              <w:rPr>
                <w:sz w:val="20"/>
                <w:szCs w:val="20"/>
                <w:color w:val="auto"/>
              </w:rPr>
            </w:pPr>
            <w:r>
              <w:rPr>
                <w:rFonts w:ascii="Arial" w:cs="Arial" w:eastAsia="Arial" w:hAnsi="Arial"/>
                <w:sz w:val="17"/>
                <w:szCs w:val="17"/>
                <w:color w:val="0000FF"/>
              </w:rPr>
              <w:t>78746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58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4"/>
              </w:rPr>
              <w:t>Class A Non-Voting Common Stock</w:t>
            </w:r>
          </w:p>
        </w:tc>
        <w:tc>
          <w:tcPr>
            <w:tcW w:w="1580" w:type="dxa"/>
            <w:vAlign w:val="bottom"/>
            <w:tcBorders>
              <w:bottom w:val="single" w:sz="8" w:color="2C2C2C"/>
            </w:tcBorders>
            <w:gridSpan w:val="5"/>
          </w:tcPr>
          <w:p>
            <w:pPr>
              <w:ind w:left="62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26,490</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6.04</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215,102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00" w:type="dxa"/>
            <w:vAlign w:val="bottom"/>
            <w:gridSpan w:val="15"/>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vest on the day immediately preceding the date of the Company's 2023 Annual Meeting of Stockholders (but no later than March 31, 2023).</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market value on March 2, 2022 (the day before the Company's 2022 Annual Stockholders Meeting). No consideration was paid for the award other than services rendered and to be rendered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Carrie Putnam,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22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2022-03-08T12:28:02Z</dcterms:created>
  <dcterms:modified xsi:type="dcterms:W3CDTF">2022-03-08T12:28:02Z</dcterms:modified>
</cp:coreProperties>
</file>