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 </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 </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February 4, 2026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 </w:t>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EZCORP,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80" w:after="283"/>
        <w:jc w:val="center"/>
        <w:rPr>
          <w:color w:val="000000"/>
        </w:rPr>
      </w:pPr>
      <w:r>
        <w:rPr>
          <w:color w:val="000000"/>
        </w:rPr>
        <w:t> </w:t>
      </w:r>
      <w:r>
        <w:rPr>
          <w:rFonts w:ascii="Times New Roman;serif" w:hAnsi="Times New Roman;serif"/>
          <w:b w:val="false"/>
          <w:color w:val="000000"/>
          <w:sz w:val="20"/>
        </w:rPr>
        <w:t>_______________________________________________________ </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0-19424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74-2540145</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2500 Bee Cave Road, Bldg One, Suite 200, Rollingwood, Texas 78746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(512) 314-3400 </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471"/>
        <w:gridCol w:w="1240"/>
        <w:gridCol w:w="1251"/>
        <w:gridCol w:w="109"/>
        <w:gridCol w:w="109"/>
        <w:gridCol w:w="109"/>
        <w:gridCol w:w="516"/>
        <w:gridCol w:w="516"/>
        <w:gridCol w:w="518"/>
        <w:gridCol w:w="109"/>
        <w:gridCol w:w="109"/>
        <w:gridCol w:w="109"/>
        <w:gridCol w:w="596"/>
        <w:gridCol w:w="540"/>
        <w:gridCol w:w="540"/>
        <w:gridCol w:w="733"/>
        <w:gridCol w:w="663"/>
        <w:gridCol w:w="967"/>
      </w:tblGrid>
      <w:tr>
        <w:trPr/>
        <w:tc>
          <w:tcPr>
            <w:tcW w:w="147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 A Non-voting 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EZPW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NASDAQ Stock Market</w:t>
            </w:r>
          </w:p>
        </w:tc>
        <w:tc>
          <w:tcPr>
            <w:tcW w:w="2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(NASDAQ Global Select Market)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35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2.02 — Results of Operations and Financial Condition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February 4, 2026, EZCORP, Inc. (“EZCORP”) issued a press release announcing its results of operations and financial condition for the quarter ended December 31, 2025. A copy of that press release is attached as Exhibit 99.1.</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financial information prepared in conformity with U.S. generally accepted accounting principles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7.01 — Regulation FD Disclosure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copy of the presentation materials that management will review during the Company’s earnings conference call (to be held on February 5, 2026) will be posted in the Investor Relations section of the company’s website at www.ezcorp.com.</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 Financial Statements and Exhibits</w:t>
      </w:r>
    </w:p>
    <w:tbl>
      <w:tblPr>
        <w:tblW w:w="1231" w:type="dxa"/>
        <w:jc w:val="left"/>
        <w:tblInd w:w="0" w:type="dxa"/>
        <w:tblLayout w:type="fixed"/>
        <w:tblCellMar>
          <w:top w:w="28" w:type="dxa"/>
          <w:left w:w="28" w:type="dxa"/>
          <w:bottom w:w="28" w:type="dxa"/>
          <w:right w:w="28" w:type="dxa"/>
        </w:tblCellMar>
      </w:tblPr>
      <w:tblGrid>
        <w:gridCol w:w="125"/>
        <w:gridCol w:w="110"/>
        <w:gridCol w:w="110"/>
        <w:gridCol w:w="259"/>
        <w:gridCol w:w="259"/>
        <w:gridCol w:w="368"/>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174"/>
        <w:gridCol w:w="153"/>
        <w:gridCol w:w="154"/>
        <w:gridCol w:w="2849"/>
        <w:gridCol w:w="2838"/>
        <w:gridCol w:w="403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403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1pressreleaseex991.htm">
              <w:r>
                <w:rPr>
                  <w:rStyle w:val="InternetLink"/>
                  <w:rFonts w:ascii="Times New Roman;serif" w:hAnsi="Times New Roman;serif"/>
                  <w:b w:val="false"/>
                  <w:color w:val="000080"/>
                  <w:sz w:val="20"/>
                  <w:u w:val="single"/>
                </w:rPr>
                <w:t xml:space="preserve">Press Release, dated </w:t>
              </w:r>
            </w:hyperlink>
            <w:hyperlink w:anchor="a2026-q1pressreleaseex991.htm">
              <w:r>
                <w:rPr>
                  <w:rStyle w:val="InternetLink"/>
                  <w:rFonts w:ascii="Times New Roman;serif" w:hAnsi="Times New Roman;serif"/>
                  <w:b w:val="false"/>
                  <w:color w:val="000080"/>
                  <w:sz w:val="20"/>
                  <w:u w:val="single"/>
                </w:rPr>
                <w:t>Feb</w:t>
              </w:r>
            </w:hyperlink>
            <w:hyperlink w:anchor="a2026-q1pressreleaseex991.htm">
              <w:r>
                <w:rPr>
                  <w:rStyle w:val="InternetLink"/>
                  <w:rFonts w:ascii="Times New Roman;serif" w:hAnsi="Times New Roman;serif"/>
                  <w:b w:val="false"/>
                  <w:color w:val="000080"/>
                  <w:sz w:val="20"/>
                  <w:u w:val="single"/>
                </w:rPr>
                <w:t>ruary</w:t>
              </w:r>
            </w:hyperlink>
            <w:hyperlink w:anchor="a2026-q1pressreleaseex991.htm">
              <w:r>
                <w:rPr>
                  <w:rStyle w:val="InternetLink"/>
                  <w:rFonts w:ascii="Times New Roman;serif" w:hAnsi="Times New Roman;serif"/>
                  <w:b w:val="false"/>
                  <w:color w:val="000080"/>
                  <w:sz w:val="20"/>
                  <w:u w:val="single"/>
                </w:rPr>
                <w:t xml:space="preserve"> </w:t>
              </w:r>
            </w:hyperlink>
            <w:hyperlink w:anchor="a2026-q1pressreleaseex991.htm">
              <w:r>
                <w:rPr>
                  <w:rStyle w:val="InternetLink"/>
                  <w:rFonts w:ascii="Times New Roman;serif" w:hAnsi="Times New Roman;serif"/>
                  <w:b w:val="false"/>
                  <w:color w:val="000080"/>
                  <w:sz w:val="20"/>
                  <w:u w:val="single"/>
                </w:rPr>
                <w:t>4</w:t>
              </w:r>
            </w:hyperlink>
            <w:hyperlink w:anchor="a2026-q1pressreleaseex991.htm">
              <w:r>
                <w:rPr>
                  <w:rStyle w:val="InternetLink"/>
                  <w:rFonts w:ascii="Times New Roman;serif" w:hAnsi="Times New Roman;serif"/>
                  <w:b w:val="false"/>
                  <w:color w:val="000080"/>
                  <w:sz w:val="20"/>
                  <w:u w:val="single"/>
                </w:rPr>
                <w:t>, 202</w:t>
              </w:r>
            </w:hyperlink>
            <w:hyperlink w:anchor="a2026-q1pressreleaseex991.htm">
              <w:r>
                <w:rPr>
                  <w:rStyle w:val="InternetLink"/>
                  <w:rFonts w:ascii="Times New Roman;serif" w:hAnsi="Times New Roman;serif"/>
                  <w:b w:val="false"/>
                  <w:color w:val="000080"/>
                  <w:sz w:val="20"/>
                  <w:u w:val="single"/>
                </w:rPr>
                <w:t>6</w:t>
              </w:r>
            </w:hyperlink>
            <w:hyperlink w:anchor="a2026-q1pressreleaseex991.htm">
              <w:r>
                <w:rPr>
                  <w:rStyle w:val="InternetLink"/>
                  <w:rFonts w:ascii="Times New Roman;serif" w:hAnsi="Times New Roman;serif"/>
                  <w:b w:val="false"/>
                  <w:color w:val="000080"/>
                  <w:sz w:val="20"/>
                  <w:u w:val="single"/>
                </w:rPr>
                <w:t xml:space="preserve">, announcing EZCORP, Inc.’s results of operations and financial condition for the period ended </w:t>
              </w:r>
            </w:hyperlink>
            <w:hyperlink w:anchor="a2026-q1pressreleaseex991.htm">
              <w:r>
                <w:rPr>
                  <w:rStyle w:val="InternetLink"/>
                  <w:rFonts w:ascii="Times New Roman;serif" w:hAnsi="Times New Roman;serif"/>
                  <w:b w:val="false"/>
                  <w:color w:val="000080"/>
                  <w:sz w:val="20"/>
                  <w:u w:val="single"/>
                </w:rPr>
                <w:t>Dec</w:t>
              </w:r>
            </w:hyperlink>
            <w:hyperlink w:anchor="a2026-q1pressreleaseex991.htm">
              <w:r>
                <w:rPr>
                  <w:rStyle w:val="InternetLink"/>
                  <w:rFonts w:ascii="Times New Roman;serif" w:hAnsi="Times New Roman;serif"/>
                  <w:b w:val="false"/>
                  <w:color w:val="000080"/>
                  <w:sz w:val="20"/>
                  <w:u w:val="single"/>
                </w:rPr>
                <w:t>ember 3</w:t>
              </w:r>
            </w:hyperlink>
            <w:hyperlink w:anchor="a2026-q1pressreleaseex991.htm">
              <w:r>
                <w:rPr>
                  <w:rStyle w:val="InternetLink"/>
                  <w:rFonts w:ascii="Times New Roman;serif" w:hAnsi="Times New Roman;serif"/>
                  <w:b w:val="false"/>
                  <w:color w:val="000080"/>
                  <w:sz w:val="20"/>
                  <w:u w:val="single"/>
                </w:rPr>
                <w:t>1</w:t>
              </w:r>
            </w:hyperlink>
            <w:hyperlink w:anchor="a2026-q1pressreleaseex991.htm">
              <w:r>
                <w:rPr>
                  <w:rStyle w:val="InternetLink"/>
                  <w:rFonts w:ascii="Times New Roman;serif" w:hAnsi="Times New Roman;serif"/>
                  <w:b w:val="false"/>
                  <w:color w:val="000080"/>
                  <w:sz w:val="20"/>
                  <w:u w:val="single"/>
                </w:rPr>
                <w:t>, 2025.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959" w:type="dxa"/>
        <w:jc w:val="left"/>
        <w:tblInd w:w="0" w:type="dxa"/>
        <w:tblLayout w:type="fixed"/>
        <w:tblCellMar>
          <w:top w:w="28" w:type="dxa"/>
          <w:left w:w="28" w:type="dxa"/>
          <w:bottom w:w="28" w:type="dxa"/>
          <w:right w:w="28" w:type="dxa"/>
        </w:tblCellMar>
      </w:tblPr>
      <w:tblGrid>
        <w:gridCol w:w="200"/>
        <w:gridCol w:w="177"/>
        <w:gridCol w:w="178"/>
        <w:gridCol w:w="494"/>
        <w:gridCol w:w="494"/>
        <w:gridCol w:w="496"/>
        <w:gridCol w:w="109"/>
        <w:gridCol w:w="109"/>
        <w:gridCol w:w="109"/>
        <w:gridCol w:w="109"/>
        <w:gridCol w:w="109"/>
        <w:gridCol w:w="109"/>
        <w:gridCol w:w="109"/>
        <w:gridCol w:w="109"/>
        <w:gridCol w:w="109"/>
        <w:gridCol w:w="145"/>
        <w:gridCol w:w="145"/>
        <w:gridCol w:w="145"/>
        <w:gridCol w:w="145"/>
        <w:gridCol w:w="145"/>
        <w:gridCol w:w="145"/>
        <w:gridCol w:w="604"/>
        <w:gridCol w:w="604"/>
        <w:gridCol w:w="8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EZCORP,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K. Jugmans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K. Jugmans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jc w:val="center"/>
        <w:rPr/>
      </w:pPr>
      <w:r>
        <w:rPr/>
        <w:drawing>
          <wp:inline distT="0" distB="0" distL="0" distR="0">
            <wp:extent cx="2228850" cy="3905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bidi w:val="0"/>
        <w:spacing w:lineRule="auto" w:line="288" w:before="180" w:after="283"/>
        <w:jc w:val="center"/>
        <w:rPr>
          <w:rFonts w:ascii="Arial Narrow;sans-serif" w:hAnsi="Arial Narrow;sans-serif"/>
          <w:b/>
          <w:color w:val="000000"/>
          <w:sz w:val="28"/>
        </w:rPr>
      </w:pPr>
      <w:r>
        <w:rPr>
          <w:rFonts w:ascii="Arial Narrow;sans-serif" w:hAnsi="Arial Narrow;sans-serif"/>
          <w:b/>
          <w:color w:val="000000"/>
          <w:sz w:val="28"/>
        </w:rPr>
        <w:t>EZCORP Reports First Quarter Fiscal 2026 Results</w:t>
      </w:r>
    </w:p>
    <w:p>
      <w:pPr>
        <w:pStyle w:val="TextBody"/>
        <w:bidi w:val="0"/>
        <w:spacing w:lineRule="auto" w:line="276" w:before="0" w:after="0"/>
        <w:jc w:val="center"/>
        <w:rPr>
          <w:rFonts w:ascii="Arial Narrow;sans-serif" w:hAnsi="Arial Narrow;sans-serif"/>
          <w:b/>
          <w:color w:val="000000"/>
          <w:sz w:val="20"/>
        </w:rPr>
      </w:pPr>
      <w:r>
        <w:rPr>
          <w:rFonts w:ascii="Arial Narrow;sans-serif" w:hAnsi="Arial Narrow;sans-serif"/>
          <w:b/>
          <w:color w:val="000000"/>
          <w:sz w:val="20"/>
        </w:rPr>
        <w:t>Exceptional Operating Performance Drives Outstanding Earnings Growth</w:t>
      </w:r>
    </w:p>
    <w:p>
      <w:pPr>
        <w:pStyle w:val="TextBody"/>
        <w:bidi w:val="0"/>
        <w:spacing w:lineRule="auto" w:line="288" w:before="240" w:after="283"/>
        <w:jc w:val="left"/>
        <w:rPr/>
      </w:pPr>
      <w:r>
        <w:rPr>
          <w:rFonts w:ascii="Arial Narrow;sans-serif" w:hAnsi="Arial Narrow;sans-serif"/>
          <w:b/>
          <w:color w:val="000000"/>
          <w:sz w:val="20"/>
        </w:rPr>
        <w:t xml:space="preserve">Austin, Texas (February 4, 2026) — </w:t>
      </w:r>
      <w:r>
        <w:rPr>
          <w:rFonts w:ascii="Arial Narrow;sans-serif" w:hAnsi="Arial Narrow;sans-serif"/>
          <w:b w:val="false"/>
          <w:color w:val="000000"/>
          <w:sz w:val="20"/>
        </w:rPr>
        <w:t>EZCORP, Inc. (NASDAQ: EZPW), a leading provider of pawn transactions in the United States and Latin America, today announced results for its first quarter ended December 31, 2025.</w:t>
      </w:r>
    </w:p>
    <w:p>
      <w:pPr>
        <w:pStyle w:val="TextBody"/>
        <w:bidi w:val="0"/>
        <w:spacing w:lineRule="auto" w:line="288" w:before="180" w:after="283"/>
        <w:jc w:val="left"/>
        <w:rPr>
          <w:rFonts w:ascii="Arial Narrow;sans-serif" w:hAnsi="Arial Narrow;sans-serif"/>
          <w:b w:val="false"/>
          <w:i/>
          <w:color w:val="000000"/>
          <w:sz w:val="18"/>
        </w:rPr>
      </w:pPr>
      <w:r>
        <w:rPr>
          <w:rFonts w:ascii="Arial Narrow;sans-serif" w:hAnsi="Arial Narrow;sans-serif"/>
          <w:b w:val="false"/>
          <w:i/>
          <w:color w:val="000000"/>
          <w:sz w:val="18"/>
        </w:rPr>
        <w:t>Unless otherwise noted, all amounts in this release are in conformity with U.S. generally accepted accounting principles (“GAAP”) and comparisons shown are to the same period in the prior year.</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FIRST QUARTER HIGHLIGHTS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income increased 43% to $44.3 million. On an adjusted basis</w:t>
      </w:r>
      <w:r>
        <w:rPr>
          <w:rFonts w:ascii="Arial Narrow;sans-serif" w:hAnsi="Arial Narrow;sans-serif"/>
          <w:b w:val="false"/>
          <w:color w:val="000000"/>
          <w:sz w:val="13"/>
        </w:rPr>
        <w:t>1</w:t>
      </w:r>
      <w:r>
        <w:rPr>
          <w:rFonts w:ascii="Arial Narrow;sans-serif" w:hAnsi="Arial Narrow;sans-serif"/>
          <w:b w:val="false"/>
          <w:color w:val="000000"/>
          <w:sz w:val="20"/>
        </w:rPr>
        <w:t>, net income increased 38% to $43.9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Diluted earnings per share (EPS) increased 38% to $0.55. On an adjusted basis</w:t>
      </w:r>
      <w:r>
        <w:rPr>
          <w:rFonts w:ascii="Arial Narrow;sans-serif" w:hAnsi="Arial Narrow;sans-serif"/>
          <w:b w:val="false"/>
          <w:color w:val="000000"/>
          <w:sz w:val="13"/>
        </w:rPr>
        <w:t>1</w:t>
      </w:r>
      <w:r>
        <w:rPr>
          <w:rFonts w:ascii="Arial Narrow;sans-serif" w:hAnsi="Arial Narrow;sans-serif"/>
          <w:b w:val="false"/>
          <w:color w:val="000000"/>
          <w:sz w:val="20"/>
        </w:rPr>
        <w:t>, diluted earnings per share increased 34% to $0.55.</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Adjusted EBITDA increased 36% to $70.3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revenues increased 19% to $382.0 million, while gross profit increased 20% to $223.0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Pawn loans outstanding (PLO) increased 14% to $314.4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Grew our footprint by 23 stores, including 17 acquired stores, 7 de novo stores, and the consolidation of 1 store.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RECENT HIGHLIGHTS</w:t>
      </w:r>
    </w:p>
    <w:p>
      <w:pPr>
        <w:pStyle w:val="TextBody"/>
        <w:bidi w:val="0"/>
        <w:spacing w:lineRule="auto" w:line="288" w:before="120" w:after="60"/>
        <w:ind w:left="0" w:right="0" w:hanging="360"/>
        <w:jc w:val="left"/>
        <w:rPr/>
      </w:pPr>
      <w:r>
        <w:rPr>
          <w:color w:val="000000"/>
          <w:shd w:fill="FFFFFF" w:val="clear"/>
        </w:rPr>
        <w:t>•</w:t>
      </w:r>
      <w:r>
        <w:rPr>
          <w:rFonts w:ascii="Arial Narrow;sans-serif" w:hAnsi="Arial Narrow;sans-serif"/>
          <w:b w:val="false"/>
          <w:color w:val="000000"/>
          <w:sz w:val="20"/>
          <w:shd w:fill="FFFFFF" w:val="clear"/>
        </w:rPr>
        <w:t xml:space="preserve">On January 2, 2026, we acquired an </w:t>
      </w:r>
      <w:r>
        <w:rPr>
          <w:rFonts w:ascii="Arial Narrow;sans-serif" w:hAnsi="Arial Narrow;sans-serif"/>
          <w:b w:val="false"/>
          <w:color w:val="000000"/>
          <w:sz w:val="20"/>
        </w:rPr>
        <w:t>87.7%</w:t>
      </w:r>
      <w:r>
        <w:rPr>
          <w:color w:val="000000"/>
          <w:shd w:fill="FFFFFF" w:val="clear"/>
        </w:rPr>
        <w:t xml:space="preserve"> </w:t>
      </w:r>
      <w:r>
        <w:rPr>
          <w:rFonts w:ascii="Arial Narrow;sans-serif" w:hAnsi="Arial Narrow;sans-serif"/>
          <w:b w:val="false"/>
          <w:color w:val="000000"/>
          <w:sz w:val="20"/>
          <w:shd w:fill="FFFFFF" w:val="clear"/>
        </w:rPr>
        <w:t xml:space="preserve">controlling interest in Founders One, which owns </w:t>
      </w:r>
      <w:r>
        <w:rPr>
          <w:rFonts w:ascii="Arial Narrow;sans-serif" w:hAnsi="Arial Narrow;sans-serif"/>
          <w:b w:val="false"/>
          <w:color w:val="000000"/>
          <w:sz w:val="20"/>
        </w:rPr>
        <w:t>85.1%</w:t>
      </w:r>
      <w:r>
        <w:rPr>
          <w:color w:val="000000"/>
          <w:shd w:fill="FFFFFF" w:val="clear"/>
        </w:rPr>
        <w:t xml:space="preserve"> </w:t>
      </w:r>
      <w:r>
        <w:rPr>
          <w:rFonts w:ascii="Arial Narrow;sans-serif" w:hAnsi="Arial Narrow;sans-serif"/>
          <w:b w:val="false"/>
          <w:color w:val="000000"/>
          <w:sz w:val="20"/>
          <w:shd w:fill="FFFFFF" w:val="clear"/>
        </w:rPr>
        <w:t xml:space="preserve">of Simple Management Group ("SMG"), adding 105 stores across 12 countries including the United States, Costa Rica and Panama. </w:t>
      </w:r>
    </w:p>
    <w:p>
      <w:pPr>
        <w:pStyle w:val="TextBody"/>
        <w:bidi w:val="0"/>
        <w:spacing w:lineRule="auto" w:line="288" w:before="120" w:after="60"/>
        <w:ind w:left="0" w:right="0" w:hanging="360"/>
        <w:jc w:val="left"/>
        <w:rPr/>
      </w:pPr>
      <w:r>
        <w:rPr>
          <w:color w:val="000000"/>
          <w:shd w:fill="FFFFFF" w:val="clear"/>
        </w:rPr>
        <w:t>◦</w:t>
      </w:r>
      <w:r>
        <w:rPr>
          <w:rFonts w:ascii="Arial Narrow;sans-serif" w:hAnsi="Arial Narrow;sans-serif"/>
          <w:b w:val="false"/>
          <w:color w:val="000000"/>
          <w:sz w:val="20"/>
          <w:shd w:fill="FFFFFF" w:val="clear"/>
        </w:rPr>
        <w:t>Immediately accretive transaction adds one of the largest pawn platforms in North America and a proven management team.</w:t>
      </w:r>
    </w:p>
    <w:p>
      <w:pPr>
        <w:pStyle w:val="TextBody"/>
        <w:bidi w:val="0"/>
        <w:spacing w:lineRule="auto" w:line="288" w:before="120" w:after="60"/>
        <w:ind w:left="0" w:right="0" w:hanging="360"/>
        <w:jc w:val="left"/>
        <w:rPr/>
      </w:pPr>
      <w:r>
        <w:rPr>
          <w:color w:val="000000"/>
          <w:shd w:fill="FFFFFF" w:val="clear"/>
        </w:rPr>
        <w:t>◦</w:t>
      </w:r>
      <w:r>
        <w:rPr>
          <w:rFonts w:ascii="Arial Narrow;sans-serif" w:hAnsi="Arial Narrow;sans-serif"/>
          <w:b w:val="false"/>
          <w:color w:val="000000"/>
          <w:sz w:val="20"/>
          <w:shd w:fill="FFFFFF" w:val="clear"/>
        </w:rPr>
        <w:t>SMG generated revenue of $127 million and gross profit of $66 million for the nine months ended September 30, 2025, demonstrating strong operating and financial performance.</w:t>
      </w:r>
    </w:p>
    <w:p>
      <w:pPr>
        <w:pStyle w:val="TextBody"/>
        <w:bidi w:val="0"/>
        <w:spacing w:lineRule="auto" w:line="288" w:before="120" w:after="180"/>
        <w:ind w:left="0" w:right="0" w:hanging="360"/>
        <w:jc w:val="left"/>
        <w:rPr/>
      </w:pPr>
      <w:r>
        <w:rPr>
          <w:color w:val="000000"/>
          <w:shd w:fill="FFFFFF" w:val="clear"/>
        </w:rPr>
        <w:t>•</w:t>
      </w:r>
      <w:r>
        <w:rPr>
          <w:rFonts w:ascii="Arial Narrow;sans-serif" w:hAnsi="Arial Narrow;sans-serif"/>
          <w:b w:val="false"/>
          <w:color w:val="000000"/>
          <w:sz w:val="20"/>
          <w:shd w:fill="FFFFFF" w:val="clear"/>
        </w:rPr>
        <w:t>On January 12, 2026, we completed the previously announced acquisition of 12 pawn stores in Texas for $27.5 million, strengthening EZCORP's presence in one of its largest and most attractive U.S. markets.</w:t>
      </w:r>
    </w:p>
    <w:p>
      <w:pPr>
        <w:pStyle w:val="TextBody"/>
        <w:bidi w:val="0"/>
        <w:spacing w:lineRule="auto" w:line="288" w:before="120" w:after="180"/>
        <w:ind w:left="0" w:right="0" w:hanging="360"/>
        <w:jc w:val="left"/>
        <w:rPr/>
      </w:pPr>
      <w:r>
        <w:rPr>
          <w:color w:val="000000"/>
          <w:shd w:fill="FFFFFF" w:val="clear"/>
        </w:rPr>
        <w:t>•</w:t>
      </w:r>
      <w:r>
        <w:rPr>
          <w:rFonts w:ascii="Arial Narrow;sans-serif" w:hAnsi="Arial Narrow;sans-serif"/>
          <w:b w:val="false"/>
          <w:color w:val="000000"/>
          <w:sz w:val="20"/>
          <w:shd w:fill="FFFFFF" w:val="clear"/>
        </w:rPr>
        <w:t xml:space="preserve">Following the closing of these acquisitions, EZCORP operates </w:t>
      </w:r>
      <w:r>
        <w:rPr>
          <w:rFonts w:ascii="Arial Narrow;sans-serif" w:hAnsi="Arial Narrow;sans-serif"/>
          <w:b w:val="false"/>
          <w:color w:val="000000"/>
          <w:sz w:val="20"/>
        </w:rPr>
        <w:t>1,500</w:t>
      </w:r>
      <w:r>
        <w:rPr>
          <w:color w:val="000000"/>
          <w:shd w:fill="FFFFFF" w:val="clear"/>
        </w:rPr>
        <w:t xml:space="preserve"> </w:t>
      </w:r>
      <w:r>
        <w:rPr>
          <w:rFonts w:ascii="Arial Narrow;sans-serif" w:hAnsi="Arial Narrow;sans-serif"/>
          <w:b w:val="false"/>
          <w:color w:val="000000"/>
          <w:sz w:val="20"/>
          <w:shd w:fill="FFFFFF" w:val="clear"/>
        </w:rPr>
        <w:t>pawn stores across 16 countries.</w:t>
      </w:r>
    </w:p>
    <w:p>
      <w:pPr>
        <w:pStyle w:val="TextBody"/>
        <w:bidi w:val="0"/>
        <w:spacing w:lineRule="auto" w:line="288" w:before="180" w:after="180"/>
        <w:jc w:val="left"/>
        <w:rPr>
          <w:rFonts w:ascii="Arial Narrow;sans-serif" w:hAnsi="Arial Narrow;sans-serif"/>
          <w:b/>
          <w:color w:val="000000"/>
          <w:sz w:val="20"/>
        </w:rPr>
      </w:pPr>
      <w:r>
        <w:rPr>
          <w:rFonts w:ascii="Arial Narrow;sans-serif" w:hAnsi="Arial Narrow;sans-serif"/>
          <w:b/>
          <w:color w:val="000000"/>
          <w:sz w:val="20"/>
        </w:rPr>
        <w:t>CEO COMMENTARY AND OUTLOOK</w:t>
      </w:r>
    </w:p>
    <w:p>
      <w:pPr>
        <w:pStyle w:val="TextBody"/>
        <w:bidi w:val="0"/>
        <w:spacing w:lineRule="auto" w:line="288" w:before="120" w:after="60"/>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Lachie Given, Chief Executive Officer, stated, "We are off to an exceptional start to fiscal 2026, delivering record first quarter revenue and PLO, and outstanding organic earnings growth. Our team drove superior results, with more than 35% growth in net income and adjusted EBITDA, supported by sustained demand for immediate cash solutions and high-quality, affordable secondhand goods. These results reflect the successful execution of our strategic initiatives and the operating leverage inherent in our platform.</w:t>
      </w:r>
    </w:p>
    <w:p>
      <w:pPr>
        <w:pStyle w:val="TextBody"/>
        <w:bidi w:val="0"/>
        <w:spacing w:lineRule="auto" w:line="288" w:before="120" w:after="60"/>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"Subsequent to quarter end, we closed two acquisitions that meaningfully expand our footprint. SMG solidifies a proven long term management partnership, adds immediate earnings accretion, expands our pawn offering into 11 new countries, and provides an exciting platform for future growth. Additionally, El Bufalo Pawn in Laredo was one of the largest remaining independent chains in Texas, further strengthening our position there. We are excited to integrate and scale these platforms, and will continue to pursue additional attractive organic and inorganic growth opportunities in existing and new pawn markets.</w:t>
      </w:r>
    </w:p>
    <w:p>
      <w:pPr>
        <w:pStyle w:val="TextBody"/>
        <w:bidi w:val="0"/>
        <w:spacing w:lineRule="auto" w:line="288" w:before="120" w:after="60"/>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"With a highly liquid balance sheet, we are well positioned to execute on our pawnbroking growth strategy, while remaining disciplined in capital allocation. I thank our team members for their dedication to providing top-tier service to our customers. Guided by our core values of People, Pawn and Passion, we will continue to strengthen the core, scale our operations, and deliver sustainable, long-term value for our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CONSOLIDATED RESULTS</w:t>
      </w:r>
    </w:p>
    <w:tbl>
      <w:tblPr>
        <w:tblW w:w="6704" w:type="dxa"/>
        <w:jc w:val="left"/>
        <w:tblInd w:w="0" w:type="dxa"/>
        <w:tblLayout w:type="fixed"/>
        <w:tblCellMar>
          <w:top w:w="28" w:type="dxa"/>
          <w:left w:w="28" w:type="dxa"/>
          <w:bottom w:w="28" w:type="dxa"/>
          <w:right w:w="28" w:type="dxa"/>
        </w:tblCellMar>
      </w:tblPr>
      <w:tblGrid>
        <w:gridCol w:w="919"/>
        <w:gridCol w:w="806"/>
        <w:gridCol w:w="809"/>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 Narrow;sans-serif" w:hAnsi="Arial Narrow;sans-serif"/>
                <w:b/>
                <w:color w:val="000000"/>
                <w:sz w:val="18"/>
              </w:rPr>
            </w:pPr>
            <w:r>
              <w:rPr>
                <w:rFonts w:ascii="Arial Narrow;sans-serif" w:hAnsi="Arial Narrow;sans-serif"/>
                <w:b/>
                <w:color w:val="000000"/>
                <w:sz w:val="18"/>
              </w:rPr>
              <w:t>Three Months Ended December 31,</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8"/>
              </w:rPr>
              <w:t>Adjusted</w:t>
            </w:r>
            <w:r>
              <w:rPr>
                <w:rFonts w:ascii="Arial Narrow;sans-serif" w:hAnsi="Arial Narrow;sans-serif"/>
                <w:b/>
                <w:color w:val="000000"/>
                <w:sz w:val="12"/>
              </w:rPr>
              <w:t>1</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in millions, except per share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tax</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Diluted earnings per share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 (non-GAAP measure)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PLO increased 14% to $314.4 million (11% on a same-store</w:t>
      </w:r>
      <w:r>
        <w:rPr>
          <w:rFonts w:ascii="Arial Narrow;sans-serif" w:hAnsi="Arial Narrow;sans-serif"/>
          <w:b w:val="false"/>
          <w:color w:val="000000"/>
          <w:sz w:val="13"/>
        </w:rPr>
        <w:t>2</w:t>
      </w:r>
      <w:r>
        <w:rPr>
          <w:color w:val="000000"/>
        </w:rPr>
        <w:t xml:space="preserve"> </w:t>
      </w:r>
      <w:r>
        <w:rPr>
          <w:rFonts w:ascii="Arial Narrow;sans-serif" w:hAnsi="Arial Narrow;sans-serif"/>
          <w:b w:val="false"/>
          <w:color w:val="000000"/>
          <w:sz w:val="20"/>
        </w:rPr>
        <w:t>basis) primarily due to higher average loan size, continued strong pawn demand and improved operational performance.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revenues increased 19% and gross profit increased 20%, reflecting improved Merchandise sales, Jewelry scrap sales, and pawn service charges (PSC).</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13% as a result of higher average PLO.</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Merchandise sales gross margin increased to 37% from 35%, while aged general merchandise increased 123 basis points (bps) to 3.3% of total general merchandise inventory.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Jewelry scrap sales increased 139%, and jewelry scrap sales gross margin increased from 23% to 34% due to increase in gold price and jewelry purchases.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inventory increased 27%, as a result of an increase in PLO, layaways and purchases and a decrease in inventory turnover to 2.5x, from 2.7x.</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Store expenses increased 14% (11% on a same-store basis), primarily due to labor costs, including minimum wage increases in Latin America.</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General and administrative expenses increased 11%, primarily due to labor costs (including higher incentive compensation) and professional fees related to acquisitions.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Income before taxes increased to $59.2 million, up 43% from $41.4 million, and adjusted EBITDA increased 36% to $70.3 million.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Diluted earnings per share increased 38% to $0.55. On an adjusted basis, diluted earnings per share increased 34% to $0.55.</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Cash and cash equivalents increased to $465.9 million from $174.5 million as of December 31, 2024. The increase was due primarily to $300.0 million (less issuance costs) from the issuance of the Senior Notes due 2032 in the second quarter of fiscal 2025 and cash from operating activities partially offset by increased earning assets and acquisitions.</w:t>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SEGMENT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U.S. Pawn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PLO increased 9% to $239.9 million (8% on a same-store basis) due to an increase in average loan size, strong loan demand and improved operational performance.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revenues and gross profit increased 16%, driven by increased jewelry scrap sales, merchandise sales and PSC.</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8% as a result of higher average PLO.</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Merchandise sales increased 8%, and 7% on a same-store basis. Sales gross margin increased by 170 bps to 38%.</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Jewelry scrap sales increased 129%, and jewelry scrap sales gross margin increased from 23% to 34% due to increase in gold price and jewelry purchases.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Net inventory increased 29% due to increase in PLO, layaways and purchases and a decrease in inventory turnover to 2.2x, from 2.5x. Aged general merchandise increased by 56 bps to 3.1%, or $1.7 million of total general merchandise inventory.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Store expenses increased 7% on a total and 6% on a same-store basis primarily due to increased labor, in line with store activity.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contribution increased 30% to $70.7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store count increased by 2 to 547, due to the acquisition of 3 stores and the consolidation of 1 store.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Latin America Pawn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PLO increased 36% to $74.4 million (23% on constant currency basis). On a same-store basis, PLO increased 23% (12% increase on a constant currency basis) due to strong loan demand and improved operational performance.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revenues increased 28% (19% on constant currency basis), and gross profit increased 33% (24% on a constant currency basis), primarily due to increased merchandise sales, PSC and jewelry scrap sales.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to $36.7 million, an increase of 26% (18% on a constant currency basis) as a result of higher average PLO and new stores.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Merchandise sales increased 24% (15% on constant currency basis) and 16% on a same-store basis (8% increase on a constant currency basis). Merchandise sales gross margin increased to 34% from 30%.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Jewelry scrap sales increased 256%, and jewelry scrap sales gross margin increased from 21% to 33% due to increase in gold price and focus on the jewelry category.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inventory increased 23% (10% on a constant currency basis) due to an increase in PLO. Inventory turnover was up to 3.1x from 3.0x. On a same-store basis, net inventory increased by 12% (flat on a constant currency basis). Aged general merchandise increased to 3.6% or $1.2 million of total general merchandise inventory.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Store expenses increased 34% (25% on a constant currency basis) and increased 24% on a same-store basis (16% on a constant currency basis) due to increased labor, in line with store activity and minimum wage increases.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contribution increased 32% to $20.1 million (24% on a constant currency basis to $19.0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store count increased by 21 to 836, due to the acquisition of 14 stores and the addition of 7 de novo stores.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FORM 10-Q</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EZCORP’s Quarterly Report on Form 10-Q for the quarter ended December 31, 2025 has been filed with the Securities and Exchange Commission. The report is available in the Investor Relations section of the Company’s website at http://investors.ezcorp.com. EZCORP shareholders may obtain a paper copy of the report, free of charge, by sending a request to the investor relations contact below.</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238250"/>
                <wp:effectExtent l="0" t="0" r="0" b="0"/>
                <wp:wrapNone/>
                <wp:docPr id="6" name="Frame5"/>
                <a:graphic xmlns:a="http://schemas.openxmlformats.org/drawingml/2006/main">
                  <a:graphicData uri="http://schemas.microsoft.com/office/word/2010/wordprocessingShape">
                    <wps:wsp>
                      <wps:cNvSpPr txBox="1"/>
                      <wps:spPr>
                        <a:xfrm>
                          <a:off x="0" y="0"/>
                          <a:ext cx="6480175" cy="1238250"/>
                        </a:xfrm>
                        <a:prstGeom prst="rect"/>
                        <a:solidFill>
                          <a:srgbClr val="FFFFFF"/>
                        </a:solidFill>
                      </wps:spPr>
                      <wps:txbx>
                        <w:txbxContent>
                          <w:p>
                            <w:pPr>
                              <w:pStyle w:val="TextBody"/>
                              <w:bidi w:val="0"/>
                              <w:spacing w:lineRule="auto" w:line="288" w:before="180" w:after="283"/>
                              <w:jc w:val="left"/>
                              <w:rPr/>
                            </w:pPr>
                            <w:r>
                              <w:rPr>
                                <w:rFonts w:ascii="Times New Roman;serif" w:hAnsi="Times New Roman;serif"/>
                                <w:b w:val="false"/>
                                <w:i/>
                                <w:color w:val="000000"/>
                                <w:sz w:val="16"/>
                              </w:rPr>
                              <w:t>Note: The underlying numbers are in thousands and, as a result, may not agree to the percentages calculated from numbers in millions and tables may not foot.</w:t>
                              <w:br/>
                            </w:r>
                            <w:r>
                              <w:rPr>
                                <w:rFonts w:ascii="Times New Roman;serif" w:hAnsi="Times New Roman;serif"/>
                                <w:b w:val="false"/>
                                <w:i/>
                                <w:color w:val="000000"/>
                                <w:sz w:val="10"/>
                              </w:rPr>
                              <w:t>1</w:t>
                            </w:r>
                            <w:r>
                              <w:rPr>
                                <w:color w:val="000000"/>
                              </w:rPr>
                              <w:t>“</w:t>
                            </w:r>
                            <w:r>
                              <w:rPr>
                                <w:rFonts w:ascii="Times New Roman;serif" w:hAnsi="Times New Roman;serif"/>
                                <w:b w:val="false"/>
                                <w:i/>
                                <w:color w:val="000000"/>
                                <w:sz w:val="16"/>
                              </w:rPr>
                              <w:t>Adjusted” basis, which is a non-GAAP measure, excludes certain items. “Constant currency” basis, which is a non-GAAP measure, excludes the impact of foreign currency exchange rate fluctuations. For additional information about these calculations, as well as a reconciliation to the most comparable GAAP financial measures, see “Non-GAAP Financial Information” at the end of this release.</w:t>
                            </w:r>
                            <w:r>
                              <w:br w:type="page"/>
                            </w:r>
                          </w:p>
                          <w:p>
                            <w:pPr>
                              <w:pStyle w:val="TextBody"/>
                              <w:bidi w:val="0"/>
                              <w:spacing w:lineRule="auto" w:line="276" w:before="0" w:after="0"/>
                              <w:jc w:val="left"/>
                              <w:rPr/>
                            </w:pPr>
                            <w:r>
                              <w:rPr>
                                <w:rFonts w:ascii="Times New Roman;serif" w:hAnsi="Times New Roman;serif"/>
                                <w:b w:val="false"/>
                                <w:i/>
                                <w:color w:val="000000"/>
                                <w:sz w:val="10"/>
                              </w:rPr>
                              <w:t>2</w:t>
                            </w:r>
                            <w:r>
                              <w:rPr>
                                <w:color w:val="000000"/>
                              </w:rPr>
                              <w:t>“</w:t>
                            </w:r>
                            <w:r>
                              <w:rPr>
                                <w:rFonts w:ascii="Times New Roman;serif" w:hAnsi="Times New Roman;serif"/>
                                <w:b w:val="false"/>
                                <w:i/>
                                <w:color w:val="000000"/>
                                <w:sz w:val="16"/>
                              </w:rPr>
                              <w:t>Same Store” basis, which is a financial measure, includes stores open the entirety of the comparable periods.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left"/>
                        <w:rPr/>
                      </w:pPr>
                      <w:r>
                        <w:rPr>
                          <w:rFonts w:ascii="Times New Roman;serif" w:hAnsi="Times New Roman;serif"/>
                          <w:b w:val="false"/>
                          <w:i/>
                          <w:color w:val="000000"/>
                          <w:sz w:val="16"/>
                        </w:rPr>
                        <w:t>Note: The underlying numbers are in thousands and, as a result, may not agree to the percentages calculated from numbers in millions and tables may not foot.</w:t>
                        <w:br/>
                      </w:r>
                      <w:r>
                        <w:rPr>
                          <w:rFonts w:ascii="Times New Roman;serif" w:hAnsi="Times New Roman;serif"/>
                          <w:b w:val="false"/>
                          <w:i/>
                          <w:color w:val="000000"/>
                          <w:sz w:val="10"/>
                        </w:rPr>
                        <w:t>1</w:t>
                      </w:r>
                      <w:r>
                        <w:rPr>
                          <w:color w:val="000000"/>
                        </w:rPr>
                        <w:t>“</w:t>
                      </w:r>
                      <w:r>
                        <w:rPr>
                          <w:rFonts w:ascii="Times New Roman;serif" w:hAnsi="Times New Roman;serif"/>
                          <w:b w:val="false"/>
                          <w:i/>
                          <w:color w:val="000000"/>
                          <w:sz w:val="16"/>
                        </w:rPr>
                        <w:t>Adjusted” basis, which is a non-GAAP measure, excludes certain items. “Constant currency” basis, which is a non-GAAP measure, excludes the impact of foreign currency exchange rate fluctuations. For additional information about these calculations, as well as a reconciliation to the most comparable GAAP financial measures, see “Non-GAAP Financial Information” at the end of this release.</w:t>
                      </w:r>
                    </w:p>
                    <w:p>
                      <w:pPr>
                        <w:pStyle w:val="TextBody"/>
                        <w:bidi w:val="0"/>
                        <w:spacing w:lineRule="auto" w:line="276" w:before="0" w:after="0"/>
                        <w:jc w:val="left"/>
                        <w:rPr/>
                      </w:pPr>
                      <w:r>
                        <w:rPr>
                          <w:rFonts w:ascii="Times New Roman;serif" w:hAnsi="Times New Roman;serif"/>
                          <w:b w:val="false"/>
                          <w:i/>
                          <w:color w:val="000000"/>
                          <w:sz w:val="10"/>
                        </w:rPr>
                        <w:t>2</w:t>
                      </w:r>
                      <w:r>
                        <w:rPr>
                          <w:color w:val="000000"/>
                        </w:rPr>
                        <w:t>“</w:t>
                      </w:r>
                      <w:r>
                        <w:rPr>
                          <w:rFonts w:ascii="Times New Roman;serif" w:hAnsi="Times New Roman;serif"/>
                          <w:b w:val="false"/>
                          <w:i/>
                          <w:color w:val="000000"/>
                          <w:sz w:val="16"/>
                        </w:rPr>
                        <w:t>Same Store” basis, which is a financial measure, includes stores open the entirety of the comparable periods.</w:t>
                      </w:r>
                    </w:p>
                  </w:txbxContent>
                </v:textbox>
                <w10:wrap type="none"/>
              </v:rect>
            </w:pict>
          </mc:Fallback>
        </mc:AlternateContent>
      </w:r>
    </w:p>
    <w:p>
      <w:pPr>
        <w:pStyle w:val="TextBody"/>
        <w:bidi w:val="0"/>
        <w:spacing w:lineRule="auto" w:line="288" w:before="180" w:after="180"/>
        <w:jc w:val="left"/>
        <w:rPr>
          <w:rFonts w:ascii="Arial Narrow;sans-serif" w:hAnsi="Arial Narrow;sans-serif"/>
          <w:b/>
          <w:color w:val="000000"/>
          <w:sz w:val="20"/>
        </w:rPr>
      </w:pPr>
      <w:r>
        <w:rPr>
          <w:rFonts w:ascii="Arial Narrow;sans-serif" w:hAnsi="Arial Narrow;sans-serif"/>
          <w:b/>
          <w:color w:val="000000"/>
          <w:sz w:val="20"/>
        </w:rPr>
        <w:t>CONFERENCE CALL</w:t>
      </w:r>
    </w:p>
    <w:p>
      <w:pPr>
        <w:pStyle w:val="TextBody"/>
        <w:bidi w:val="0"/>
        <w:spacing w:lineRule="auto" w:line="276" w:before="0" w:after="0"/>
        <w:jc w:val="left"/>
        <w:rPr>
          <w:rFonts w:ascii="Arial Narrow;sans-serif" w:hAnsi="Arial Narrow;sans-serif"/>
          <w:b w:val="false"/>
          <w:color w:val="000000"/>
          <w:sz w:val="20"/>
        </w:rPr>
      </w:pPr>
      <w:r>
        <w:rPr>
          <w:rFonts w:ascii="Arial Narrow;sans-serif" w:hAnsi="Arial Narrow;sans-serif"/>
          <w:b w:val="false"/>
          <w:color w:val="000000"/>
          <w:sz w:val="20"/>
        </w:rPr>
        <w:t>EZCORP will host a conference call on Thursday, February 5, 2026, at 8:00 am Central Time to discuss First Quarter Fiscal 2026 results. Analysts and institutional investors may participate on the conference call by registering online at https://register-conf.media-server.com/register/BI2b7d928c457a4820b10900af6d9b6213. Once registered you will receive the dial-in details with a unique PIN to join the call. The conference call will be webcast simultaneously to the public through this link: https://edge.media-server.com/mmc/p/u7iqn9ut/. A replay of the conference call will be available online at http://investors.ezcorp.com shortly after the end of the call.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ABOUT EZCORP</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Formed in 1989, EZCORP is a leading provider of pawn transactions in the United States and Latin America. We also sell pre-owned and recycled merchandise, primarily collateral forfeited from pawn lending operations and merchandise purchased from customers. We are dedicated to satisfying the short-term cash needs of consumers who are both cash and credit constrained, focusing on an industry-leading customer experience. EZCORP is traded on NASDAQ under the symbol EZPW and is a member of the S&amp;P 1000 Index and Nasdaq Composite Index.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Follow us on social media:</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Facebook EZPAWN Official https://www.facebook.com/EZPAWN/</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EZCORP Instagram Official https://www.instagram.com/ezcorp_official/</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EZPAWN Instagram Official https://www.instagram.com/ezpawnofficial/</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EZCORP LinkedIn https://www.linkedin.com/company/ezcorp/</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FORWARD LOOKING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pStyle w:val="TextBody"/>
        <w:bidi w:val="0"/>
        <w:spacing w:lineRule="auto" w:line="288" w:before="120" w:after="283"/>
        <w:jc w:val="left"/>
        <w:rPr>
          <w:rFonts w:ascii="Arial Narrow;sans-serif" w:hAnsi="Arial Narrow;sans-serif"/>
          <w:b/>
          <w:color w:val="000000"/>
          <w:sz w:val="20"/>
        </w:rPr>
      </w:pPr>
      <w:r>
        <w:rPr>
          <w:rFonts w:ascii="Arial Narrow;sans-serif" w:hAnsi="Arial Narrow;sans-serif"/>
          <w:b/>
          <w:color w:val="000000"/>
          <w:sz w:val="20"/>
        </w:rPr>
        <w:t>Contact:</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Email: Investor_Relations@ezcorp.com</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Phone: (512) 314-2220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200150"/>
                <wp:effectExtent l="0" t="0" r="0" b="0"/>
                <wp:wrapNone/>
                <wp:docPr id="7" name="Frame6"/>
                <a:graphic xmlns:a="http://schemas.openxmlformats.org/drawingml/2006/main">
                  <a:graphicData uri="http://schemas.microsoft.com/office/word/2010/wordprocessingShape">
                    <wps:wsp>
                      <wps:cNvSpPr txBox="1"/>
                      <wps:spPr>
                        <a:xfrm>
                          <a:off x="0" y="0"/>
                          <a:ext cx="6480175" cy="1200150"/>
                        </a:xfrm>
                        <a:prstGeom prst="rect"/>
                        <a:solidFill>
                          <a:srgbClr val="FFFFFF"/>
                        </a:solidFill>
                      </wps:spPr>
                      <wps:txbx>
                        <w:txbxContent>
                          <w:p>
                            <w:pPr>
                              <w:pStyle w:val="TextBody"/>
                              <w:bidi w:val="0"/>
                              <w:spacing w:lineRule="auto" w:line="288" w:before="120" w:after="283"/>
                              <w:jc w:val="left"/>
                              <w:rPr/>
                            </w:pPr>
                            <w:r>
                              <w:rPr>
                                <w:rFonts w:ascii="Times New Roman;serif" w:hAnsi="Times New Roman;serif"/>
                                <w:b w:val="false"/>
                                <w:i/>
                                <w:color w:val="000000"/>
                                <w:sz w:val="16"/>
                              </w:rPr>
                              <w:t>Note: Percentages are calculated from the underlying numbers in thousands and, as a result, may not agree to the percentages calculated from numbers in millions. Numbers may not foot or cross foot due to rounding.</w:t>
                              <w:br/>
                            </w:r>
                            <w:r>
                              <w:rPr>
                                <w:rFonts w:ascii="Times New Roman;serif" w:hAnsi="Times New Roman;serif"/>
                                <w:b w:val="false"/>
                                <w:i/>
                                <w:color w:val="000000"/>
                                <w:sz w:val="10"/>
                              </w:rPr>
                              <w:t>1</w:t>
                            </w:r>
                            <w:r>
                              <w:rPr>
                                <w:color w:val="000000"/>
                              </w:rPr>
                              <w:t>“</w:t>
                            </w:r>
                            <w:r>
                              <w:rPr>
                                <w:rFonts w:ascii="Times New Roman;serif" w:hAnsi="Times New Roman;serif"/>
                                <w:b w:val="false"/>
                                <w:i/>
                                <w:color w:val="000000"/>
                                <w:sz w:val="16"/>
                              </w:rPr>
                              <w:t>Adjusted” basis, which is a non-GAAP measure, excludes certain items. “Constant currency” basis, which is a non-GAAP measure, excludes the impact of foreign currency exchange rate fluctuations. For additional information about these calculations, as well as a reconciliation to the most comparable GAAP financial measures, see “Non-GAAP Financial Information” at the end of this release.</w:t>
                            </w:r>
                            <w:r>
                              <w:br w:type="page"/>
                            </w:r>
                          </w:p>
                          <w:p>
                            <w:pPr>
                              <w:pStyle w:val="TextBody"/>
                              <w:bidi w:val="0"/>
                              <w:spacing w:lineRule="auto" w:line="276" w:before="0" w:after="0"/>
                              <w:jc w:val="left"/>
                              <w:rPr/>
                            </w:pPr>
                            <w:r>
                              <w:rPr>
                                <w:rFonts w:ascii="Times New Roman;serif" w:hAnsi="Times New Roman;serif"/>
                                <w:b w:val="false"/>
                                <w:i/>
                                <w:color w:val="000000"/>
                                <w:sz w:val="10"/>
                              </w:rPr>
                              <w:t>2</w:t>
                            </w:r>
                            <w:r>
                              <w:rPr>
                                <w:color w:val="000000"/>
                              </w:rPr>
                              <w:t>“</w:t>
                            </w:r>
                            <w:r>
                              <w:rPr>
                                <w:rFonts w:ascii="Times New Roman;serif" w:hAnsi="Times New Roman;serif"/>
                                <w:b w:val="false"/>
                                <w:i/>
                                <w:color w:val="000000"/>
                                <w:sz w:val="16"/>
                              </w:rPr>
                              <w:t>Same-store” basis, which is a financial measure, includes stores open the entirety of the comparable periods.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left"/>
                        <w:rPr/>
                      </w:pPr>
                      <w:r>
                        <w:rPr>
                          <w:rFonts w:ascii="Times New Roman;serif" w:hAnsi="Times New Roman;serif"/>
                          <w:b w:val="false"/>
                          <w:i/>
                          <w:color w:val="000000"/>
                          <w:sz w:val="16"/>
                        </w:rPr>
                        <w:t>Note: Percentages are calculated from the underlying numbers in thousands and, as a result, may not agree to the percentages calculated from numbers in millions. Numbers may not foot or cross foot due to rounding.</w:t>
                        <w:br/>
                      </w:r>
                      <w:r>
                        <w:rPr>
                          <w:rFonts w:ascii="Times New Roman;serif" w:hAnsi="Times New Roman;serif"/>
                          <w:b w:val="false"/>
                          <w:i/>
                          <w:color w:val="000000"/>
                          <w:sz w:val="10"/>
                        </w:rPr>
                        <w:t>1</w:t>
                      </w:r>
                      <w:r>
                        <w:rPr>
                          <w:color w:val="000000"/>
                        </w:rPr>
                        <w:t>“</w:t>
                      </w:r>
                      <w:r>
                        <w:rPr>
                          <w:rFonts w:ascii="Times New Roman;serif" w:hAnsi="Times New Roman;serif"/>
                          <w:b w:val="false"/>
                          <w:i/>
                          <w:color w:val="000000"/>
                          <w:sz w:val="16"/>
                        </w:rPr>
                        <w:t>Adjusted” basis, which is a non-GAAP measure, excludes certain items. “Constant currency” basis, which is a non-GAAP measure, excludes the impact of foreign currency exchange rate fluctuations. For additional information about these calculations, as well as a reconciliation to the most comparable GAAP financial measures, see “Non-GAAP Financial Information” at the end of this release.</w:t>
                      </w:r>
                    </w:p>
                    <w:p>
                      <w:pPr>
                        <w:pStyle w:val="TextBody"/>
                        <w:bidi w:val="0"/>
                        <w:spacing w:lineRule="auto" w:line="276" w:before="0" w:after="0"/>
                        <w:jc w:val="left"/>
                        <w:rPr/>
                      </w:pPr>
                      <w:r>
                        <w:rPr>
                          <w:rFonts w:ascii="Times New Roman;serif" w:hAnsi="Times New Roman;serif"/>
                          <w:b w:val="false"/>
                          <w:i/>
                          <w:color w:val="000000"/>
                          <w:sz w:val="10"/>
                        </w:rPr>
                        <w:t>2</w:t>
                      </w:r>
                      <w:r>
                        <w:rPr>
                          <w:color w:val="000000"/>
                        </w:rPr>
                        <w:t>“</w:t>
                      </w:r>
                      <w:r>
                        <w:rPr>
                          <w:rFonts w:ascii="Times New Roman;serif" w:hAnsi="Times New Roman;serif"/>
                          <w:b w:val="false"/>
                          <w:i/>
                          <w:color w:val="000000"/>
                          <w:sz w:val="16"/>
                        </w:rPr>
                        <w:t>Same-store” basis, which is a financial measure, includes stores open the entirety of the comparable periods.</w:t>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CONDENSED CONSOLIDATED STATEMENTS OF OPERATIONS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tbl>
      <w:tblPr>
        <w:tblW w:w="6502" w:type="dxa"/>
        <w:jc w:val="left"/>
        <w:tblInd w:w="0" w:type="dxa"/>
        <w:tblLayout w:type="fixed"/>
        <w:tblCellMar>
          <w:top w:w="28" w:type="dxa"/>
          <w:left w:w="28" w:type="dxa"/>
          <w:bottom w:w="28" w:type="dxa"/>
          <w:right w:w="28" w:type="dxa"/>
        </w:tblCellMar>
      </w:tblPr>
      <w:tblGrid>
        <w:gridCol w:w="1131"/>
        <w:gridCol w:w="992"/>
        <w:gridCol w:w="997"/>
        <w:gridCol w:w="109"/>
        <w:gridCol w:w="109"/>
        <w:gridCol w:w="109"/>
        <w:gridCol w:w="109"/>
        <w:gridCol w:w="109"/>
        <w:gridCol w:w="144"/>
        <w:gridCol w:w="144"/>
        <w:gridCol w:w="240"/>
        <w:gridCol w:w="857"/>
        <w:gridCol w:w="144"/>
        <w:gridCol w:w="109"/>
        <w:gridCol w:w="109"/>
        <w:gridCol w:w="109"/>
        <w:gridCol w:w="181"/>
        <w:gridCol w:w="646"/>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w:t>
              <w:br/>
              <w:t>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 except per share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210,147 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186,343 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39,908 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131,917 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117,052 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382,019 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320,170 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132,756 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121,824 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26,297 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222,966 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185,404 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126,772 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110,936 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26,743 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8,756 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162,358 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143,463 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60,608 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41,941 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8,166 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(4,814)</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(1,823)</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59,171 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41,384 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14,867 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44,304 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31,016 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0.55 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basic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61,243 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diluted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83,282 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CONDENSED CONSOLIDATED BALANCE SHEETS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164"/>
        <w:gridCol w:w="1748"/>
        <w:gridCol w:w="1756"/>
        <w:gridCol w:w="109"/>
        <w:gridCol w:w="109"/>
        <w:gridCol w:w="109"/>
        <w:gridCol w:w="199"/>
        <w:gridCol w:w="843"/>
        <w:gridCol w:w="119"/>
        <w:gridCol w:w="109"/>
        <w:gridCol w:w="109"/>
        <w:gridCol w:w="109"/>
        <w:gridCol w:w="199"/>
        <w:gridCol w:w="843"/>
        <w:gridCol w:w="119"/>
        <w:gridCol w:w="109"/>
        <w:gridCol w:w="109"/>
        <w:gridCol w:w="109"/>
        <w:gridCol w:w="201"/>
        <w:gridCol w:w="854"/>
        <w:gridCol w:w="179"/>
      </w:tblGrid>
      <w:tr>
        <w:trPr/>
        <w:tc>
          <w:tcPr>
            <w:tcW w:w="2164"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per share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2025</w:t>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465,911 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174,506 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469,524 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Short-term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5,351 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9,386 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314,353 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274,824 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307,496 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50,108 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45,198 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48,733 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253,446 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199,481 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248,457 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56,210 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36,562 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51,221 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1,145,379 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739,957 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1,125,956 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25,717 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13,555 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18,123 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51,883 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74,871 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63,231 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75,331 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237,637 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227,810 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236,462 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14,859 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14,664 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331,083 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304,722 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324,889 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59,581 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57,093 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58,832 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29,548 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24,990 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29,455 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16,922 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15,872 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15,594 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1,987,480 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1,499,133 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1,951,209 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maturities of long-term debt,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103,205 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95,526 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68,682 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105,443 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33,064 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24,216 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33,901 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61,459 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57,900 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61,228 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190,049 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254,003 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200,572 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518,555 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224,505 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518,076 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185,507 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182,228 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184,736 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20,099 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12,317 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19,769 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916,781 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675,239 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925,724 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 (Note 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Class A Non-Voting Common Stock, par value $0.01 per share; shares authorized: 100,000,000; issued and outstanding: 58,724,555 as of December 31, 2025; 52,050,550 as of December 31, 2024; 57,921,451 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Class B Voting Common Stock, convertible, par value $0.01 per share; shares authorized: 3,000,000; issued and outstanding: 2,970,171 as of December 31, 2025, December 31, 2024 and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447,935 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345,783 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450,892 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656,991 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536,427 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612,687 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(34,844)</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(58,866)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(38,703)</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1,070,699 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823,894 </w:t>
            </w:r>
          </w:p>
        </w:tc>
        <w:tc>
          <w:tcPr>
            <w:tcW w:w="11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1,025,485 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1,987,480 </w:t>
            </w:r>
          </w:p>
        </w:tc>
        <w:tc>
          <w:tcPr>
            <w:tcW w:w="11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1,499,133 </w:t>
            </w:r>
          </w:p>
        </w:tc>
        <w:tc>
          <w:tcPr>
            <w:tcW w:w="11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1,951,209 </w:t>
            </w:r>
          </w:p>
        </w:tc>
        <w:tc>
          <w:tcPr>
            <w:tcW w:w="17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CONDENSED CONSOLIDATED STATEMENTS OF CASH FLOWS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7895" w:type="dxa"/>
        <w:jc w:val="left"/>
        <w:tblInd w:w="0" w:type="dxa"/>
        <w:tblLayout w:type="fixed"/>
        <w:tblCellMar>
          <w:top w:w="28" w:type="dxa"/>
          <w:left w:w="28" w:type="dxa"/>
          <w:bottom w:w="28" w:type="dxa"/>
          <w:right w:w="28" w:type="dxa"/>
        </w:tblCellMar>
      </w:tblPr>
      <w:tblGrid>
        <w:gridCol w:w="1926"/>
        <w:gridCol w:w="1697"/>
        <w:gridCol w:w="1701"/>
        <w:gridCol w:w="109"/>
        <w:gridCol w:w="109"/>
        <w:gridCol w:w="109"/>
        <w:gridCol w:w="181"/>
        <w:gridCol w:w="646"/>
        <w:gridCol w:w="109"/>
        <w:gridCol w:w="109"/>
        <w:gridCol w:w="109"/>
        <w:gridCol w:w="109"/>
        <w:gridCol w:w="181"/>
        <w:gridCol w:w="646"/>
        <w:gridCol w:w="154"/>
      </w:tblGrid>
      <w:tr>
        <w:trPr/>
        <w:tc>
          <w:tcPr>
            <w:tcW w:w="1926"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December 31,</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44,304 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Provision for inventory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from investment in unconsolidated 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business 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other current assets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(39,357)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(38,737)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25,991 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made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(272,746)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(247,225)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repaid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135,190 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Recovery of pawn loan principal through sale of forfeited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115,522 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101,850 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(5,609)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 net of cash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notes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unconsolidated affiliate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from unconsolidated 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(30,958)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(14,040)</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of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(6,520)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(7,102)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in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4,085 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486,121 </w:t>
            </w:r>
          </w:p>
        </w:tc>
        <w:tc>
          <w:tcPr>
            <w:tcW w:w="109"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183,892 </w:t>
            </w:r>
          </w:p>
        </w:tc>
        <w:tc>
          <w:tcPr>
            <w:tcW w:w="154" w:type="dxa"/>
            <w:tcBorders>
              <w:top w:val="single" w:sz="8"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OPERATING SEGMENT RESULTS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74"/>
        <w:gridCol w:w="607"/>
        <w:gridCol w:w="571"/>
        <w:gridCol w:w="109"/>
        <w:gridCol w:w="109"/>
        <w:gridCol w:w="109"/>
        <w:gridCol w:w="181"/>
        <w:gridCol w:w="646"/>
        <w:gridCol w:w="109"/>
        <w:gridCol w:w="109"/>
        <w:gridCol w:w="109"/>
        <w:gridCol w:w="109"/>
        <w:gridCol w:w="236"/>
        <w:gridCol w:w="748"/>
        <w:gridCol w:w="142"/>
        <w:gridCol w:w="109"/>
        <w:gridCol w:w="109"/>
        <w:gridCol w:w="109"/>
        <w:gridCol w:w="255"/>
        <w:gridCol w:w="701"/>
        <w:gridCol w:w="155"/>
        <w:gridCol w:w="109"/>
        <w:gridCol w:w="109"/>
        <w:gridCol w:w="109"/>
        <w:gridCol w:w="201"/>
        <w:gridCol w:w="717"/>
        <w:gridCol w:w="121"/>
        <w:gridCol w:w="109"/>
        <w:gridCol w:w="109"/>
        <w:gridCol w:w="109"/>
        <w:gridCol w:w="206"/>
        <w:gridCol w:w="677"/>
        <w:gridCol w:w="124"/>
        <w:gridCol w:w="109"/>
        <w:gridCol w:w="109"/>
        <w:gridCol w:w="109"/>
        <w:gridCol w:w="196"/>
        <w:gridCol w:w="701"/>
        <w:gridCol w:w="175"/>
      </w:tblGrid>
      <w:tr>
        <w:trPr/>
        <w:tc>
          <w:tcPr>
            <w:tcW w:w="77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 December 31, 2025</w:t>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139,042 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71,105 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210,147 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210,147 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4,394 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39,908 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39,908 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36,743 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131,917 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131,917 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269,760 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112,259 </w:t>
            </w:r>
          </w:p>
        </w:tc>
        <w:tc>
          <w:tcPr>
            <w:tcW w:w="1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382,019 </w:t>
            </w:r>
          </w:p>
        </w:tc>
        <w:tc>
          <w:tcPr>
            <w:tcW w:w="12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382,019 </w:t>
            </w:r>
          </w:p>
        </w:tc>
        <w:tc>
          <w:tcPr>
            <w:tcW w:w="17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47,069 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132,756 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132,756 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26,297 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26,297 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160,709 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62,257 </w:t>
            </w:r>
          </w:p>
        </w:tc>
        <w:tc>
          <w:tcPr>
            <w:tcW w:w="1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222,966 </w:t>
            </w:r>
          </w:p>
        </w:tc>
        <w:tc>
          <w:tcPr>
            <w:tcW w:w="12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222,966 </w:t>
            </w:r>
          </w:p>
        </w:tc>
        <w:tc>
          <w:tcPr>
            <w:tcW w:w="17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87,166 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39,606 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126,772 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126,772 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26,743 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26,743 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3,498 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8,756 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8,166 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8,166 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(3,851)</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(4,814)</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(1,823)</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70,733 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20,139 </w:t>
            </w:r>
          </w:p>
        </w:tc>
        <w:tc>
          <w:tcPr>
            <w:tcW w:w="1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2,786 </w:t>
            </w:r>
          </w:p>
        </w:tc>
        <w:tc>
          <w:tcPr>
            <w:tcW w:w="15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93,658 </w:t>
            </w:r>
          </w:p>
        </w:tc>
        <w:tc>
          <w:tcPr>
            <w:tcW w:w="12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7"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93,658 </w:t>
            </w:r>
          </w:p>
        </w:tc>
        <w:tc>
          <w:tcPr>
            <w:tcW w:w="121"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(34,487)</w:t>
            </w:r>
          </w:p>
        </w:tc>
        <w:tc>
          <w:tcPr>
            <w:tcW w:w="124"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59,171 </w:t>
            </w:r>
          </w:p>
        </w:tc>
        <w:tc>
          <w:tcPr>
            <w:tcW w:w="175"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796"/>
        <w:gridCol w:w="622"/>
        <w:gridCol w:w="584"/>
        <w:gridCol w:w="109"/>
        <w:gridCol w:w="109"/>
        <w:gridCol w:w="109"/>
        <w:gridCol w:w="181"/>
        <w:gridCol w:w="646"/>
        <w:gridCol w:w="109"/>
        <w:gridCol w:w="109"/>
        <w:gridCol w:w="109"/>
        <w:gridCol w:w="109"/>
        <w:gridCol w:w="232"/>
        <w:gridCol w:w="735"/>
        <w:gridCol w:w="140"/>
        <w:gridCol w:w="109"/>
        <w:gridCol w:w="109"/>
        <w:gridCol w:w="109"/>
        <w:gridCol w:w="252"/>
        <w:gridCol w:w="693"/>
        <w:gridCol w:w="153"/>
        <w:gridCol w:w="109"/>
        <w:gridCol w:w="109"/>
        <w:gridCol w:w="109"/>
        <w:gridCol w:w="199"/>
        <w:gridCol w:w="712"/>
        <w:gridCol w:w="120"/>
        <w:gridCol w:w="109"/>
        <w:gridCol w:w="109"/>
        <w:gridCol w:w="109"/>
        <w:gridCol w:w="204"/>
        <w:gridCol w:w="669"/>
        <w:gridCol w:w="123"/>
        <w:gridCol w:w="109"/>
        <w:gridCol w:w="109"/>
        <w:gridCol w:w="109"/>
        <w:gridCol w:w="196"/>
        <w:gridCol w:w="701"/>
        <w:gridCol w:w="176"/>
      </w:tblGrid>
      <w:tr>
        <w:trPr/>
        <w:tc>
          <w:tcPr>
            <w:tcW w:w="79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 December 31, 2024</w:t>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5"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57,543 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186,343 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186,343 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1,234 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16,732 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16,732 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87,876 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29,176 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117,052 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117,052 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232,201 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87,969 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320,170 </w:t>
            </w:r>
          </w:p>
        </w:tc>
        <w:tc>
          <w:tcPr>
            <w:tcW w:w="12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320,170 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40,268 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121,824 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121,824 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974 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12,942 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12,942 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138,677 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46,727 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185,404 </w:t>
            </w:r>
          </w:p>
        </w:tc>
        <w:tc>
          <w:tcPr>
            <w:tcW w:w="12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185,404 </w:t>
            </w:r>
          </w:p>
        </w:tc>
        <w:tc>
          <w:tcPr>
            <w:tcW w:w="1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29,455 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110,936 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110,936 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24,184 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24,184 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4,763 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3,147 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3,147 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(594)</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(594)</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(2,093)</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(1,623)</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(1,623)</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(1,475)</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54,490 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15,289 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2,217 </w:t>
            </w:r>
          </w:p>
        </w:tc>
        <w:tc>
          <w:tcPr>
            <w:tcW w:w="15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71,996 </w:t>
            </w:r>
          </w:p>
        </w:tc>
        <w:tc>
          <w:tcPr>
            <w:tcW w:w="12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2"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71,996 </w:t>
            </w:r>
          </w:p>
        </w:tc>
        <w:tc>
          <w:tcPr>
            <w:tcW w:w="120"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9"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(30,612)</w:t>
            </w:r>
          </w:p>
        </w:tc>
        <w:tc>
          <w:tcPr>
            <w:tcW w:w="123"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41,384 </w:t>
            </w:r>
          </w:p>
        </w:tc>
        <w:tc>
          <w:tcPr>
            <w:tcW w:w="176"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EZCORP, Inc.</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STORE COUNT ACTIVITY</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p>
      <w:pPr>
        <w:pStyle w:val="TextBody"/>
        <w:bidi w:val="0"/>
        <w:spacing w:before="0" w:after="0"/>
        <w:jc w:val="center"/>
        <w:rPr/>
      </w:pPr>
      <w:r>
        <w:rPr/>
      </w:r>
    </w:p>
    <w:tbl>
      <w:tblPr>
        <w:tblW w:w="6513" w:type="dxa"/>
        <w:jc w:val="center"/>
        <w:tblInd w:w="0" w:type="dxa"/>
        <w:tblLayout w:type="fixed"/>
        <w:tblCellMar>
          <w:top w:w="28" w:type="dxa"/>
          <w:left w:w="28" w:type="dxa"/>
          <w:bottom w:w="28" w:type="dxa"/>
          <w:right w:w="28" w:type="dxa"/>
        </w:tblCellMar>
      </w:tblPr>
      <w:tblGrid>
        <w:gridCol w:w="718"/>
        <w:gridCol w:w="630"/>
        <w:gridCol w:w="632"/>
        <w:gridCol w:w="280"/>
        <w:gridCol w:w="280"/>
        <w:gridCol w:w="280"/>
        <w:gridCol w:w="188"/>
        <w:gridCol w:w="188"/>
        <w:gridCol w:w="188"/>
        <w:gridCol w:w="499"/>
        <w:gridCol w:w="499"/>
        <w:gridCol w:w="501"/>
        <w:gridCol w:w="188"/>
        <w:gridCol w:w="188"/>
        <w:gridCol w:w="188"/>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 December 31, 2025</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2025</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1,360 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December 31, 2025</w:t>
            </w:r>
          </w:p>
        </w:tc>
        <w:tc>
          <w:tcPr>
            <w:tcW w:w="5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547 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836 </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1,383 </w:t>
            </w:r>
          </w:p>
        </w:tc>
        <w:tc>
          <w:tcPr>
            <w:tcW w:w="4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647"/>
        <w:gridCol w:w="568"/>
        <w:gridCol w:w="570"/>
        <w:gridCol w:w="280"/>
        <w:gridCol w:w="280"/>
        <w:gridCol w:w="280"/>
        <w:gridCol w:w="188"/>
        <w:gridCol w:w="188"/>
        <w:gridCol w:w="188"/>
        <w:gridCol w:w="499"/>
        <w:gridCol w:w="499"/>
        <w:gridCol w:w="501"/>
        <w:gridCol w:w="188"/>
        <w:gridCol w:w="188"/>
        <w:gridCol w:w="188"/>
        <w:gridCol w:w="312"/>
        <w:gridCol w:w="312"/>
        <w:gridCol w:w="442"/>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 December 31, 2024</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2024</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1,279 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December 31, 2024</w:t>
            </w:r>
          </w:p>
        </w:tc>
        <w:tc>
          <w:tcPr>
            <w:tcW w:w="5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741 </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1,283 </w:t>
            </w:r>
          </w:p>
        </w:tc>
        <w:tc>
          <w:tcPr>
            <w:tcW w:w="4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Non-GAAP Financial Information (Unaudited)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to the financial information prepared in conformity with accounting U.S. generally accepted accounting principles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reflects an additional way of viewing aspects of our business that, when viewed with GAAP results, provides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months ended December 31, 2025 and 2024 were as follows:</w:t>
      </w:r>
    </w:p>
    <w:tbl>
      <w:tblPr>
        <w:tblW w:w="5860" w:type="dxa"/>
        <w:jc w:val="left"/>
        <w:tblInd w:w="0" w:type="dxa"/>
        <w:tblLayout w:type="fixed"/>
        <w:tblCellMar>
          <w:top w:w="28" w:type="dxa"/>
          <w:left w:w="28" w:type="dxa"/>
          <w:bottom w:w="28" w:type="dxa"/>
          <w:right w:w="28" w:type="dxa"/>
        </w:tblCellMar>
      </w:tblPr>
      <w:tblGrid>
        <w:gridCol w:w="499"/>
        <w:gridCol w:w="438"/>
        <w:gridCol w:w="442"/>
        <w:gridCol w:w="210"/>
        <w:gridCol w:w="211"/>
        <w:gridCol w:w="136"/>
        <w:gridCol w:w="115"/>
        <w:gridCol w:w="115"/>
        <w:gridCol w:w="115"/>
        <w:gridCol w:w="210"/>
        <w:gridCol w:w="211"/>
        <w:gridCol w:w="136"/>
        <w:gridCol w:w="109"/>
        <w:gridCol w:w="109"/>
        <w:gridCol w:w="109"/>
        <w:gridCol w:w="109"/>
        <w:gridCol w:w="109"/>
        <w:gridCol w:w="308"/>
        <w:gridCol w:w="308"/>
        <w:gridCol w:w="308"/>
        <w:gridCol w:w="308"/>
        <w:gridCol w:w="310"/>
        <w:gridCol w:w="109"/>
        <w:gridCol w:w="109"/>
        <w:gridCol w:w="109"/>
        <w:gridCol w:w="210"/>
        <w:gridCol w:w="211"/>
        <w:gridCol w:w="187"/>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December 31,</w:t>
            </w:r>
          </w:p>
        </w:tc>
        <w:tc>
          <w:tcPr>
            <w:tcW w:w="935" w:type="dxa"/>
            <w:gridSpan w:val="6"/>
            <w:tcBorders/>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Mexican peso</w:t>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Guatemalan quetzal</w:t>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Honduran lempira</w:t>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Australian dollar</w:t>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statement of operations constant currency results reflect the monthly exchange rate fluctuations and so are not directly calculable from the above rates. Constant currency results, where presented, also exclude the foreign currency gain or loss.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Miscellaneous Non-GAAP Financial Measures</w:t>
      </w:r>
    </w:p>
    <w:tbl>
      <w:tblPr>
        <w:tblW w:w="4808" w:type="dxa"/>
        <w:jc w:val="left"/>
        <w:tblInd w:w="0" w:type="dxa"/>
        <w:tblLayout w:type="fixed"/>
        <w:tblCellMar>
          <w:top w:w="28" w:type="dxa"/>
          <w:left w:w="28" w:type="dxa"/>
          <w:bottom w:w="28" w:type="dxa"/>
          <w:right w:w="28" w:type="dxa"/>
        </w:tblCellMar>
      </w:tblPr>
      <w:tblGrid>
        <w:gridCol w:w="717"/>
        <w:gridCol w:w="628"/>
        <w:gridCol w:w="635"/>
        <w:gridCol w:w="109"/>
        <w:gridCol w:w="109"/>
        <w:gridCol w:w="145"/>
        <w:gridCol w:w="145"/>
        <w:gridCol w:w="145"/>
        <w:gridCol w:w="145"/>
        <w:gridCol w:w="241"/>
        <w:gridCol w:w="561"/>
        <w:gridCol w:w="145"/>
        <w:gridCol w:w="109"/>
        <w:gridCol w:w="109"/>
        <w:gridCol w:w="109"/>
        <w:gridCol w:w="181"/>
        <w:gridCol w:w="421"/>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w:t>
              <w:br/>
              <w:t>December 31,</w:t>
            </w:r>
          </w:p>
        </w:tc>
        <w:tc>
          <w:tcPr>
            <w:tcW w:w="1083" w:type="dxa"/>
            <w:gridSpan w:val="6"/>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44.3 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71.3 </w:t>
            </w:r>
          </w:p>
        </w:tc>
        <w:tc>
          <w:tcPr>
            <w:tcW w:w="145"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50.8 </w:t>
            </w:r>
          </w:p>
        </w:tc>
        <w:tc>
          <w:tcPr>
            <w:tcW w:w="15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1"/>
        <w:gridCol w:w="203"/>
        <w:gridCol w:w="203"/>
        <w:gridCol w:w="203"/>
        <w:gridCol w:w="203"/>
        <w:gridCol w:w="203"/>
        <w:gridCol w:w="203"/>
        <w:gridCol w:w="203"/>
        <w:gridCol w:w="203"/>
        <w:gridCol w:w="240"/>
        <w:gridCol w:w="659"/>
        <w:gridCol w:w="144"/>
        <w:gridCol w:w="109"/>
        <w:gridCol w:w="109"/>
        <w:gridCol w:w="109"/>
        <w:gridCol w:w="208"/>
        <w:gridCol w:w="572"/>
        <w:gridCol w:w="125"/>
        <w:gridCol w:w="109"/>
        <w:gridCol w:w="109"/>
        <w:gridCol w:w="109"/>
        <w:gridCol w:w="302"/>
        <w:gridCol w:w="704"/>
        <w:gridCol w:w="182"/>
        <w:gridCol w:w="109"/>
        <w:gridCol w:w="109"/>
        <w:gridCol w:w="109"/>
        <w:gridCol w:w="192"/>
        <w:gridCol w:w="449"/>
        <w:gridCol w:w="115"/>
        <w:gridCol w:w="109"/>
        <w:gridCol w:w="109"/>
        <w:gridCol w:w="109"/>
        <w:gridCol w:w="211"/>
        <w:gridCol w:w="493"/>
        <w:gridCol w:w="127"/>
        <w:gridCol w:w="109"/>
        <w:gridCol w:w="109"/>
        <w:gridCol w:w="109"/>
        <w:gridCol w:w="225"/>
        <w:gridCol w:w="524"/>
        <w:gridCol w:w="135"/>
        <w:gridCol w:w="109"/>
        <w:gridCol w:w="109"/>
        <w:gridCol w:w="109"/>
        <w:gridCol w:w="183"/>
        <w:gridCol w:w="426"/>
        <w:gridCol w:w="172"/>
      </w:tblGrid>
      <w:tr>
        <w:trPr/>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8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EBITDA</w:t>
            </w:r>
          </w:p>
        </w:tc>
      </w:tr>
      <w:tr>
        <w:trPr/>
        <w:tc>
          <w:tcPr>
            <w:tcW w:w="18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2026 Q1 Reported</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Non-recurring foreign tax expense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2026 Q1 Adjusted </w:t>
            </w:r>
          </w:p>
        </w:tc>
        <w:tc>
          <w:tcPr>
            <w:tcW w:w="240"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9"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374.5 </w:t>
            </w:r>
          </w:p>
        </w:tc>
        <w:tc>
          <w:tcPr>
            <w:tcW w:w="14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218.9 </w:t>
            </w:r>
          </w:p>
        </w:tc>
        <w:tc>
          <w:tcPr>
            <w:tcW w:w="12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58.3 </w:t>
            </w:r>
          </w:p>
        </w:tc>
        <w:tc>
          <w:tcPr>
            <w:tcW w:w="18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9"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14.4 </w:t>
            </w:r>
          </w:p>
        </w:tc>
        <w:tc>
          <w:tcPr>
            <w:tcW w:w="11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43.9 </w:t>
            </w:r>
          </w:p>
        </w:tc>
        <w:tc>
          <w:tcPr>
            <w:tcW w:w="127"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0.55 </w:t>
            </w:r>
          </w:p>
        </w:tc>
        <w:tc>
          <w:tcPr>
            <w:tcW w:w="13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70.3 </w:t>
            </w:r>
          </w:p>
        </w:tc>
        <w:tc>
          <w:tcPr>
            <w:tcW w:w="17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1108" w:type="dxa"/>
            <w:gridSpan w:val="6"/>
            <w:tcBorders/>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tbl>
      <w:tblPr>
        <w:tblW w:w="10159" w:type="dxa"/>
        <w:jc w:val="left"/>
        <w:tblInd w:w="0" w:type="dxa"/>
        <w:tblLayout w:type="fixed"/>
        <w:tblCellMar>
          <w:top w:w="28" w:type="dxa"/>
          <w:left w:w="28" w:type="dxa"/>
          <w:bottom w:w="28" w:type="dxa"/>
          <w:right w:w="28" w:type="dxa"/>
        </w:tblCellMar>
      </w:tblPr>
      <w:tblGrid>
        <w:gridCol w:w="162"/>
        <w:gridCol w:w="142"/>
        <w:gridCol w:w="142"/>
        <w:gridCol w:w="142"/>
        <w:gridCol w:w="142"/>
        <w:gridCol w:w="142"/>
        <w:gridCol w:w="142"/>
        <w:gridCol w:w="142"/>
        <w:gridCol w:w="142"/>
        <w:gridCol w:w="266"/>
        <w:gridCol w:w="729"/>
        <w:gridCol w:w="160"/>
        <w:gridCol w:w="109"/>
        <w:gridCol w:w="109"/>
        <w:gridCol w:w="109"/>
        <w:gridCol w:w="221"/>
        <w:gridCol w:w="606"/>
        <w:gridCol w:w="133"/>
        <w:gridCol w:w="109"/>
        <w:gridCol w:w="109"/>
        <w:gridCol w:w="109"/>
        <w:gridCol w:w="355"/>
        <w:gridCol w:w="826"/>
        <w:gridCol w:w="214"/>
        <w:gridCol w:w="109"/>
        <w:gridCol w:w="109"/>
        <w:gridCol w:w="109"/>
        <w:gridCol w:w="198"/>
        <w:gridCol w:w="462"/>
        <w:gridCol w:w="119"/>
        <w:gridCol w:w="109"/>
        <w:gridCol w:w="109"/>
        <w:gridCol w:w="109"/>
        <w:gridCol w:w="225"/>
        <w:gridCol w:w="524"/>
        <w:gridCol w:w="135"/>
        <w:gridCol w:w="109"/>
        <w:gridCol w:w="109"/>
        <w:gridCol w:w="109"/>
        <w:gridCol w:w="244"/>
        <w:gridCol w:w="569"/>
        <w:gridCol w:w="147"/>
        <w:gridCol w:w="109"/>
        <w:gridCol w:w="109"/>
        <w:gridCol w:w="109"/>
        <w:gridCol w:w="183"/>
        <w:gridCol w:w="426"/>
        <w:gridCol w:w="157"/>
      </w:tblGrid>
      <w:tr>
        <w:trPr/>
        <w:tc>
          <w:tcPr>
            <w:tcW w:w="16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EBITDA</w:t>
            </w:r>
          </w:p>
        </w:tc>
      </w:tr>
      <w:tr>
        <w:trPr/>
        <w:tc>
          <w:tcPr>
            <w:tcW w:w="12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Q1 Reported</w:t>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0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41.4 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62"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0.40 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FX impact</w:t>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2025 Q1 Adjusted </w:t>
            </w:r>
          </w:p>
        </w:tc>
        <w:tc>
          <w:tcPr>
            <w:tcW w:w="26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320.2 </w:t>
            </w:r>
          </w:p>
        </w:tc>
        <w:tc>
          <w:tcPr>
            <w:tcW w:w="160"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0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185.4 </w:t>
            </w:r>
          </w:p>
        </w:tc>
        <w:tc>
          <w:tcPr>
            <w:tcW w:w="13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42.4 </w:t>
            </w:r>
          </w:p>
        </w:tc>
        <w:tc>
          <w:tcPr>
            <w:tcW w:w="21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6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10.6 </w:t>
            </w:r>
          </w:p>
        </w:tc>
        <w:tc>
          <w:tcPr>
            <w:tcW w:w="119"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2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31.8 </w:t>
            </w:r>
          </w:p>
        </w:tc>
        <w:tc>
          <w:tcPr>
            <w:tcW w:w="13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9"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0.41 </w:t>
            </w:r>
          </w:p>
        </w:tc>
        <w:tc>
          <w:tcPr>
            <w:tcW w:w="147"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51.8 </w:t>
            </w:r>
          </w:p>
        </w:tc>
        <w:tc>
          <w:tcPr>
            <w:tcW w:w="157"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305" w:type="dxa"/>
        <w:jc w:val="left"/>
        <w:tblInd w:w="0" w:type="dxa"/>
        <w:tblLayout w:type="fixed"/>
        <w:tblCellMar>
          <w:top w:w="28" w:type="dxa"/>
          <w:left w:w="28" w:type="dxa"/>
          <w:bottom w:w="28" w:type="dxa"/>
          <w:right w:w="28" w:type="dxa"/>
        </w:tblCellMar>
      </w:tblPr>
      <w:tblGrid>
        <w:gridCol w:w="1522"/>
        <w:gridCol w:w="1335"/>
        <w:gridCol w:w="1357"/>
        <w:gridCol w:w="338"/>
        <w:gridCol w:w="928"/>
        <w:gridCol w:w="203"/>
        <w:gridCol w:w="109"/>
        <w:gridCol w:w="109"/>
        <w:gridCol w:w="109"/>
        <w:gridCol w:w="429"/>
        <w:gridCol w:w="429"/>
        <w:gridCol w:w="956"/>
        <w:gridCol w:w="109"/>
        <w:gridCol w:w="109"/>
        <w:gridCol w:w="109"/>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(in millions)</w:t>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Dollar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 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Consolidated revenues </w:t>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382.0 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revenues</w:t>
            </w:r>
          </w:p>
        </w:tc>
        <w:tc>
          <w:tcPr>
            <w:tcW w:w="3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2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374.5 </w:t>
            </w:r>
          </w:p>
        </w:tc>
        <w:tc>
          <w:tcPr>
            <w:tcW w:w="20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95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Consolidated gross profit </w:t>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223.0 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gross profit</w:t>
            </w:r>
          </w:p>
        </w:tc>
        <w:tc>
          <w:tcPr>
            <w:tcW w:w="3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2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218.9 </w:t>
            </w:r>
          </w:p>
        </w:tc>
        <w:tc>
          <w:tcPr>
            <w:tcW w:w="20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95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inventory</w:t>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253.4 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net inventory</w:t>
            </w:r>
          </w:p>
        </w:tc>
        <w:tc>
          <w:tcPr>
            <w:tcW w:w="3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2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247.0 </w:t>
            </w:r>
          </w:p>
        </w:tc>
        <w:tc>
          <w:tcPr>
            <w:tcW w:w="20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95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gross profit </w:t>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62.3 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gross profit </w:t>
            </w:r>
          </w:p>
        </w:tc>
        <w:tc>
          <w:tcPr>
            <w:tcW w:w="3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2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58.2 </w:t>
            </w:r>
          </w:p>
        </w:tc>
        <w:tc>
          <w:tcPr>
            <w:tcW w:w="20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95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 PLO</w:t>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74.4 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Latin America Pawn PLO</w:t>
            </w:r>
          </w:p>
        </w:tc>
        <w:tc>
          <w:tcPr>
            <w:tcW w:w="3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2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67.4 </w:t>
            </w:r>
          </w:p>
        </w:tc>
        <w:tc>
          <w:tcPr>
            <w:tcW w:w="20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95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PSC revenues </w:t>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PSC revenues </w:t>
            </w:r>
          </w:p>
        </w:tc>
        <w:tc>
          <w:tcPr>
            <w:tcW w:w="3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2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34.5 </w:t>
            </w:r>
          </w:p>
        </w:tc>
        <w:tc>
          <w:tcPr>
            <w:tcW w:w="20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95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merchandise sales </w:t>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71.1 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merchandise sales </w:t>
            </w:r>
          </w:p>
        </w:tc>
        <w:tc>
          <w:tcPr>
            <w:tcW w:w="33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2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66.2 </w:t>
            </w:r>
          </w:p>
        </w:tc>
        <w:tc>
          <w:tcPr>
            <w:tcW w:w="20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95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 segment profit before tax</w:t>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Latin America Pawn segment profit before tax</w:t>
            </w:r>
          </w:p>
        </w:tc>
        <w:tc>
          <w:tcPr>
            <w:tcW w:w="338"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28"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19.0 </w:t>
            </w:r>
          </w:p>
        </w:tc>
        <w:tc>
          <w:tcPr>
            <w:tcW w:w="20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95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4785</Words>
  <Characters>27386</Characters>
  <CharactersWithSpaces>31736</CharactersWithSpaces>
  <Paragraphs>1174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