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333-140492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4240" w:type="dxa"/>
            <w:vAlign w:val="bottom"/>
          </w:tcPr>
          <w:p>
            <w:pPr>
              <w:spacing w:after="0"/>
              <w:rPr>
                <w:sz w:val="24"/>
                <w:szCs w:val="24"/>
                <w:color w:val="auto"/>
              </w:rPr>
            </w:pPr>
          </w:p>
        </w:tc>
        <w:tc>
          <w:tcPr>
            <w:tcW w:w="2960" w:type="dxa"/>
            <w:vAlign w:val="bottom"/>
            <w:gridSpan w:val="4"/>
          </w:tcPr>
          <w:p>
            <w:pPr>
              <w:jc w:val="center"/>
              <w:spacing w:after="0"/>
              <w:rPr>
                <w:sz w:val="20"/>
                <w:szCs w:val="20"/>
                <w:color w:val="auto"/>
              </w:rPr>
            </w:pPr>
            <w:r>
              <w:rPr>
                <w:rFonts w:ascii="Arial" w:cs="Arial" w:eastAsia="Arial" w:hAnsi="Arial"/>
                <w:sz w:val="43"/>
                <w:szCs w:val="43"/>
                <w:b w:val="1"/>
                <w:bCs w:val="1"/>
                <w:color w:val="auto"/>
                <w:w w:val="99"/>
              </w:rPr>
              <w:t>EZCORP, INC.</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60" w:type="dxa"/>
            <w:vAlign w:val="bottom"/>
            <w:gridSpan w:val="7"/>
          </w:tcPr>
          <w:p>
            <w:pPr>
              <w:jc w:val="center"/>
              <w:ind w:left="3092"/>
              <w:spacing w:after="0"/>
              <w:rPr>
                <w:sz w:val="20"/>
                <w:szCs w:val="20"/>
                <w:color w:val="auto"/>
              </w:rPr>
            </w:pPr>
            <w:r>
              <w:rPr>
                <w:rFonts w:ascii="Arial" w:cs="Arial" w:eastAsia="Arial" w:hAnsi="Arial"/>
                <w:sz w:val="18"/>
                <w:szCs w:val="18"/>
                <w:color w:val="auto"/>
                <w:w w:val="90"/>
              </w:rPr>
              <w:t>(Exact name of registrant as specified in its charter)</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4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91"/>
              </w:rPr>
              <w:t>Delaware</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gridSpan w:val="3"/>
          </w:tcPr>
          <w:p>
            <w:pPr>
              <w:jc w:val="center"/>
              <w:ind w:right="1026"/>
              <w:spacing w:after="0"/>
              <w:rPr>
                <w:sz w:val="20"/>
                <w:szCs w:val="20"/>
                <w:color w:val="auto"/>
              </w:rPr>
            </w:pPr>
            <w:r>
              <w:rPr>
                <w:rFonts w:ascii="Arial" w:cs="Arial" w:eastAsia="Arial" w:hAnsi="Arial"/>
                <w:sz w:val="18"/>
                <w:szCs w:val="18"/>
                <w:b w:val="1"/>
                <w:bCs w:val="1"/>
                <w:color w:val="auto"/>
                <w:w w:val="89"/>
              </w:rPr>
              <w:t>74-2540145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2"/>
              </w:rPr>
              <w:t>(State or other jurisdiction of</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06"/>
              <w:spacing w:after="0"/>
              <w:rPr>
                <w:sz w:val="20"/>
                <w:szCs w:val="20"/>
                <w:color w:val="auto"/>
              </w:rPr>
            </w:pPr>
            <w:r>
              <w:rPr>
                <w:rFonts w:ascii="Arial" w:cs="Arial" w:eastAsia="Arial" w:hAnsi="Arial"/>
                <w:sz w:val="18"/>
                <w:szCs w:val="18"/>
                <w:color w:val="auto"/>
                <w:w w:val="92"/>
              </w:rPr>
              <w:t>(I.R.S. Employer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2"/>
              </w:rPr>
              <w:t>incorporation or organization)</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jc w:val="center"/>
              <w:ind w:right="206"/>
              <w:spacing w:after="0"/>
              <w:rPr>
                <w:sz w:val="20"/>
                <w:szCs w:val="20"/>
                <w:color w:val="auto"/>
              </w:rPr>
            </w:pPr>
            <w:r>
              <w:rPr>
                <w:rFonts w:ascii="Arial" w:cs="Arial" w:eastAsia="Arial" w:hAnsi="Arial"/>
                <w:sz w:val="18"/>
                <w:szCs w:val="18"/>
                <w:color w:val="auto"/>
                <w:w w:val="95"/>
              </w:rPr>
              <w:t>Identification No.)</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4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93"/>
              </w:rPr>
              <w:t>1901 Capital Parkway</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88"/>
              </w:rPr>
              <w:t>Austin, Texas</w:t>
            </w:r>
          </w:p>
        </w:tc>
        <w:tc>
          <w:tcPr>
            <w:tcW w:w="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78746</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jc w:val="center"/>
              <w:ind w:left="692"/>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0" w:type="dxa"/>
            <w:vAlign w:val="bottom"/>
            <w:gridSpan w:val="3"/>
          </w:tcPr>
          <w:p>
            <w:pPr>
              <w:jc w:val="center"/>
              <w:ind w:right="1046"/>
              <w:spacing w:after="0"/>
              <w:rPr>
                <w:sz w:val="20"/>
                <w:szCs w:val="20"/>
                <w:color w:val="auto"/>
              </w:rPr>
            </w:pPr>
            <w:r>
              <w:rPr>
                <w:rFonts w:ascii="Arial" w:cs="Arial" w:eastAsia="Arial" w:hAnsi="Arial"/>
                <w:sz w:val="18"/>
                <w:szCs w:val="18"/>
                <w:color w:val="auto"/>
                <w:w w:val="94"/>
              </w:rPr>
              <w:t>(Zip Code)</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EZCORP, INC.</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2006 INCENTIVE PLAN</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(Full title of the plan)</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640" w:type="dxa"/>
            <w:vAlign w:val="bottom"/>
            <w:gridSpan w:val="2"/>
          </w:tcPr>
          <w:p>
            <w:pPr>
              <w:jc w:val="center"/>
              <w:ind w:left="692"/>
              <w:spacing w:after="0"/>
              <w:rPr>
                <w:sz w:val="20"/>
                <w:szCs w:val="20"/>
                <w:color w:val="auto"/>
              </w:rPr>
            </w:pPr>
            <w:r>
              <w:rPr>
                <w:rFonts w:ascii="Arial" w:cs="Arial" w:eastAsia="Arial" w:hAnsi="Arial"/>
                <w:sz w:val="18"/>
                <w:szCs w:val="18"/>
                <w:color w:val="auto"/>
                <w:w w:val="93"/>
              </w:rPr>
              <w:t>Connie Kondik</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Copy to:</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88"/>
              </w:rPr>
              <w:t>General Counsel</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gridSpan w:val="3"/>
          </w:tcPr>
          <w:p>
            <w:pPr>
              <w:jc w:val="center"/>
              <w:ind w:right="1046"/>
              <w:spacing w:after="0"/>
              <w:rPr>
                <w:sz w:val="20"/>
                <w:szCs w:val="20"/>
                <w:color w:val="auto"/>
              </w:rPr>
            </w:pPr>
            <w:r>
              <w:rPr>
                <w:rFonts w:ascii="Arial" w:cs="Arial" w:eastAsia="Arial" w:hAnsi="Arial"/>
                <w:sz w:val="18"/>
                <w:szCs w:val="18"/>
                <w:color w:val="auto"/>
                <w:w w:val="88"/>
              </w:rPr>
              <w:t>Lee Polson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1"/>
              </w:rPr>
              <w:t>EZCORP, Inc.</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26"/>
              <w:spacing w:after="0"/>
              <w:rPr>
                <w:sz w:val="20"/>
                <w:szCs w:val="20"/>
                <w:color w:val="auto"/>
              </w:rPr>
            </w:pPr>
            <w:r>
              <w:rPr>
                <w:rFonts w:ascii="Arial" w:cs="Arial" w:eastAsia="Arial" w:hAnsi="Arial"/>
                <w:sz w:val="18"/>
                <w:szCs w:val="18"/>
                <w:color w:val="auto"/>
                <w:w w:val="91"/>
              </w:rPr>
              <w:t>Strasburger &amp; Price, L.L.P.</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1"/>
              </w:rPr>
              <w:t>1901 Capital Parkway</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26"/>
              <w:spacing w:after="0"/>
              <w:rPr>
                <w:sz w:val="20"/>
                <w:szCs w:val="20"/>
                <w:color w:val="auto"/>
              </w:rPr>
            </w:pPr>
            <w:r>
              <w:rPr>
                <w:rFonts w:ascii="Arial" w:cs="Arial" w:eastAsia="Arial" w:hAnsi="Arial"/>
                <w:sz w:val="18"/>
                <w:szCs w:val="18"/>
                <w:color w:val="auto"/>
                <w:w w:val="88"/>
              </w:rPr>
              <w:t>600 Congress Avenue, Suite 1600</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0"/>
              </w:rPr>
              <w:t>Austin, Texas 78746</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26"/>
              <w:spacing w:after="0"/>
              <w:rPr>
                <w:sz w:val="20"/>
                <w:szCs w:val="20"/>
                <w:color w:val="auto"/>
              </w:rPr>
            </w:pPr>
            <w:r>
              <w:rPr>
                <w:rFonts w:ascii="Arial" w:cs="Arial" w:eastAsia="Arial" w:hAnsi="Arial"/>
                <w:sz w:val="18"/>
                <w:szCs w:val="18"/>
                <w:color w:val="auto"/>
                <w:w w:val="90"/>
              </w:rPr>
              <w:t>Austin, Texas 78701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jc w:val="center"/>
              <w:ind w:left="1112"/>
              <w:spacing w:after="0"/>
              <w:rPr>
                <w:sz w:val="20"/>
                <w:szCs w:val="20"/>
                <w:color w:val="auto"/>
              </w:rPr>
            </w:pPr>
            <w:r>
              <w:rPr>
                <w:rFonts w:ascii="Arial" w:cs="Arial" w:eastAsia="Arial" w:hAnsi="Arial"/>
                <w:sz w:val="18"/>
                <w:szCs w:val="18"/>
                <w:color w:val="auto"/>
                <w:w w:val="90"/>
              </w:rPr>
              <w:t>(512) 314-3400</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06"/>
              <w:spacing w:after="0"/>
              <w:rPr>
                <w:sz w:val="20"/>
                <w:szCs w:val="20"/>
                <w:color w:val="auto"/>
              </w:rPr>
            </w:pPr>
            <w:r>
              <w:rPr>
                <w:rFonts w:ascii="Arial" w:cs="Arial" w:eastAsia="Arial" w:hAnsi="Arial"/>
                <w:sz w:val="18"/>
                <w:szCs w:val="18"/>
                <w:color w:val="auto"/>
                <w:w w:val="91"/>
              </w:rPr>
              <w:t>(512)-499-3600</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87"/>
              </w:rPr>
              <w:t>(Name, address and telephone number,</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1"/>
              </w:rPr>
              <w:t>including area code, of agent for service)</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440" w:type="dxa"/>
            <w:vAlign w:val="bottom"/>
            <w:gridSpan w:val="6"/>
          </w:tcPr>
          <w:p>
            <w:pPr>
              <w:jc w:val="center"/>
              <w:ind w:left="3892"/>
              <w:spacing w:after="0"/>
              <w:rPr>
                <w:sz w:val="20"/>
                <w:szCs w:val="20"/>
                <w:color w:val="auto"/>
              </w:rPr>
            </w:pPr>
            <w:r>
              <w:rPr>
                <w:rFonts w:ascii="Arial" w:cs="Arial" w:eastAsia="Arial" w:hAnsi="Arial"/>
                <w:sz w:val="18"/>
                <w:szCs w:val="18"/>
                <w:b w:val="1"/>
                <w:bCs w:val="1"/>
                <w:color w:val="auto"/>
              </w:rPr>
              <w:t>CALCULATION OF REGISTRATION FEE</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center"/>
              <w:ind w:right="75"/>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Borders>
              <w:right w:val="single" w:sz="8" w:color="auto"/>
            </w:tcBorders>
          </w:tcPr>
          <w:p>
            <w:pPr>
              <w:jc w:val="center"/>
              <w:ind w:right="526"/>
              <w:spacing w:after="0" w:line="106" w:lineRule="exact"/>
              <w:rPr>
                <w:sz w:val="20"/>
                <w:szCs w:val="20"/>
                <w:color w:val="auto"/>
              </w:rPr>
            </w:pPr>
            <w:r>
              <w:rPr>
                <w:rFonts w:ascii="Arial" w:cs="Arial" w:eastAsia="Arial" w:hAnsi="Arial"/>
                <w:sz w:val="12"/>
                <w:szCs w:val="12"/>
                <w:b w:val="1"/>
                <w:bCs w:val="1"/>
                <w:color w:val="auto"/>
              </w:rPr>
              <w:t>Proposed</w:t>
            </w:r>
          </w:p>
        </w:tc>
        <w:tc>
          <w:tcPr>
            <w:tcW w:w="11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Title of Class of</w:t>
            </w:r>
          </w:p>
        </w:tc>
        <w:tc>
          <w:tcPr>
            <w:tcW w:w="9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tcPr>
          <w:p>
            <w:pPr>
              <w:jc w:val="center"/>
              <w:ind w:right="526"/>
              <w:spacing w:after="0" w:line="149" w:lineRule="exact"/>
              <w:rPr>
                <w:sz w:val="20"/>
                <w:szCs w:val="20"/>
                <w:color w:val="auto"/>
              </w:rPr>
            </w:pPr>
            <w:r>
              <w:rPr>
                <w:rFonts w:ascii="Arial" w:cs="Arial" w:eastAsia="Arial" w:hAnsi="Arial"/>
                <w:sz w:val="14"/>
                <w:szCs w:val="14"/>
                <w:b w:val="1"/>
                <w:bCs w:val="1"/>
                <w:color w:val="auto"/>
                <w:w w:val="99"/>
              </w:rPr>
              <w:t>Maximum</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gridSpan w:val="2"/>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to be</w:t>
            </w:r>
          </w:p>
        </w:tc>
        <w:tc>
          <w:tcPr>
            <w:tcW w:w="8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tcPr>
          <w:p>
            <w:pPr>
              <w:jc w:val="center"/>
              <w:ind w:right="526"/>
              <w:spacing w:after="0" w:line="149" w:lineRule="exact"/>
              <w:rPr>
                <w:sz w:val="20"/>
                <w:szCs w:val="20"/>
                <w:color w:val="auto"/>
              </w:rPr>
            </w:pPr>
            <w:r>
              <w:rPr>
                <w:rFonts w:ascii="Arial" w:cs="Arial" w:eastAsia="Arial" w:hAnsi="Arial"/>
                <w:sz w:val="14"/>
                <w:szCs w:val="14"/>
                <w:b w:val="1"/>
                <w:bCs w:val="1"/>
                <w:color w:val="auto"/>
                <w:w w:val="92"/>
              </w:rPr>
              <w:t>Aggregate</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8"/>
        </w:trPr>
        <w:tc>
          <w:tcPr>
            <w:tcW w:w="4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Securities to be Registered</w:t>
            </w:r>
          </w:p>
        </w:tc>
        <w:tc>
          <w:tcPr>
            <w:tcW w:w="9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Registered(1)(2)</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auto"/>
                <w:w w:val="95"/>
              </w:rPr>
              <w:t>per Share(3)(4)</w:t>
            </w:r>
          </w:p>
        </w:tc>
        <w:tc>
          <w:tcPr>
            <w:tcW w:w="2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gridSpan w:val="2"/>
          </w:tcPr>
          <w:p>
            <w:pPr>
              <w:jc w:val="center"/>
              <w:ind w:right="26"/>
              <w:spacing w:after="0"/>
              <w:rPr>
                <w:sz w:val="20"/>
                <w:szCs w:val="20"/>
                <w:color w:val="auto"/>
              </w:rPr>
            </w:pPr>
            <w:r>
              <w:rPr>
                <w:rFonts w:ascii="Arial" w:cs="Arial" w:eastAsia="Arial" w:hAnsi="Arial"/>
                <w:sz w:val="14"/>
                <w:szCs w:val="14"/>
                <w:b w:val="1"/>
                <w:bCs w:val="1"/>
                <w:color w:val="auto"/>
                <w:w w:val="96"/>
              </w:rPr>
              <w:t>Offering Price(3)(4)</w:t>
            </w:r>
          </w:p>
        </w:tc>
        <w:tc>
          <w:tcPr>
            <w:tcW w:w="1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Fee(4)</w:t>
            </w: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21"/>
              <w:spacing w:after="0" w:line="201" w:lineRule="exact"/>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100"/>
              <w:spacing w:after="0"/>
              <w:rPr>
                <w:sz w:val="20"/>
                <w:szCs w:val="20"/>
                <w:color w:val="auto"/>
              </w:rPr>
            </w:pPr>
            <w:r>
              <w:rPr>
                <w:rFonts w:ascii="Arial" w:cs="Arial" w:eastAsia="Arial" w:hAnsi="Arial"/>
                <w:sz w:val="18"/>
                <w:szCs w:val="18"/>
                <w:color w:val="auto"/>
                <w:w w:val="92"/>
              </w:rPr>
              <w:t>Class A Non-Voting Common Stock, $.01 par value per share</w:t>
            </w:r>
          </w:p>
        </w:tc>
        <w:tc>
          <w:tcPr>
            <w:tcW w:w="9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16.68</w:t>
            </w:r>
          </w:p>
        </w:tc>
        <w:tc>
          <w:tcPr>
            <w:tcW w:w="280" w:type="dxa"/>
            <w:vAlign w:val="bottom"/>
            <w:tcBorders>
              <w:right w:val="single" w:sz="8" w:color="auto"/>
            </w:tcBorders>
          </w:tcPr>
          <w:p>
            <w:pPr>
              <w:spacing w:after="0"/>
              <w:rPr>
                <w:sz w:val="20"/>
                <w:szCs w:val="20"/>
                <w:color w:val="auto"/>
              </w:rPr>
            </w:pPr>
          </w:p>
        </w:tc>
        <w:tc>
          <w:tcPr>
            <w:tcW w:w="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246"/>
              <w:spacing w:after="0"/>
              <w:rPr>
                <w:sz w:val="20"/>
                <w:szCs w:val="20"/>
                <w:color w:val="auto"/>
              </w:rPr>
            </w:pPr>
            <w:r>
              <w:rPr>
                <w:rFonts w:ascii="Arial" w:cs="Arial" w:eastAsia="Arial" w:hAnsi="Arial"/>
                <w:sz w:val="18"/>
                <w:szCs w:val="18"/>
                <w:color w:val="auto"/>
                <w:w w:val="99"/>
              </w:rPr>
              <w:t>37,530,000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$ 4,015.71</w:t>
            </w:r>
          </w:p>
        </w:tc>
        <w:tc>
          <w:tcPr>
            <w:tcW w:w="0" w:type="dxa"/>
            <w:vAlign w:val="bottom"/>
          </w:tcPr>
          <w:p>
            <w:pPr>
              <w:spacing w:after="0"/>
              <w:rPr>
                <w:sz w:val="1"/>
                <w:szCs w:val="1"/>
                <w:color w:val="auto"/>
              </w:rPr>
            </w:pP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to be registered consist of 2,250,000 shares reserved for issuance under the EZCORP, Inc. 2006 Incentive Plan.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this Registration Statement is deemed to include additional shares of common stock issuable under the terms of the Plan to prevent dilution resulting from any further stock split, stock dividend or similar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457(c) and (h). The offering price and the amount of fee for these shares were computed based on the average of the high and low prices of our common stock as reported by the NASDAQ Stock Market on February 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EXPLANATORY NOTE</w:t>
      </w:r>
    </w:p>
    <w:p>
      <w:pPr>
        <w:spacing w:after="0" w:line="12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purpose of this Post-Effective Amendment No. 1 to Form S-8 is to correct an error in calculation of the fees paid in connection with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2619" w:hanging="310"/>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INFORMATION REQUIRED IN THE SECTION 10(A) PROSPECTUS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1. Plan Information.*</w:t>
        </w:r>
      </w:hyperlink>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2. Registrant Information and Employee Plan Annual Information.*</w:t>
        </w:r>
      </w:hyperlink>
    </w:p>
    <w:p>
      <w:pPr>
        <w:spacing w:after="0" w:line="2" w:lineRule="exact"/>
        <w:rPr>
          <w:sz w:val="20"/>
          <w:szCs w:val="20"/>
          <w:color w:val="auto"/>
        </w:rPr>
      </w:pPr>
    </w:p>
    <w:p>
      <w:pPr>
        <w:ind w:left="320" w:right="3039" w:hanging="31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 INFORMATION REQUIRED IN REGISTRATION STATEMENT</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Opinion &amp; Consent of Strasburger &amp; Price, LLP</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Consent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1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the Registration Statement in accordance with Rule 428 of the Securities Act of 1933, as amended, and the Note to Part I of Form S-8.</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r>
        <w:rPr>
          <w:rFonts w:ascii="Arial" w:cs="Arial" w:eastAsia="Arial" w:hAnsi="Arial"/>
          <w:sz w:val="18"/>
          <w:szCs w:val="18"/>
          <w:color w:val="auto"/>
        </w:rPr>
        <w:t>.</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registrant hereby incorporates by reference in this registration statement the following documents previously filed by the registrant with the Securities and Exchange Commission (the “Commission”):</w:t>
      </w:r>
    </w:p>
    <w:p>
      <w:pPr>
        <w:spacing w:after="0" w:line="6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September 30, 2006;</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the registrant’s Common Stock and Common Stock Rights as set forth in the registrant’s Form 8-A Registration Statement filed with the Commission on July 24, 1991, including any amendment or report filed for the purpose of updating such description;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EZCORP, Inc. 2006 Incentive Plan.</w:t>
      </w:r>
    </w:p>
    <w:p>
      <w:pPr>
        <w:spacing w:after="0" w:line="117"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All documents filed by the registrant with the Commission pursuant to Sections 13(a), 13(c), 14 and 15(d) of the Securities Exchange Act of 1934, as amended, subsequent to the date of this registration statement shall be deemed to be incorporated herein by reference and to be a part hereof from the date of the filing of such documents until such time as there shall have been filed a post-effective amendment that indicates that all securities offered hereby have been sold or which deregisters all securities remaining unsold at the time of such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r>
        <w:rPr>
          <w:rFonts w:ascii="Arial" w:cs="Arial" w:eastAsia="Arial" w:hAnsi="Arial"/>
          <w:sz w:val="18"/>
          <w:szCs w:val="18"/>
          <w:color w:val="auto"/>
        </w:rPr>
        <w:t>.</w:t>
      </w:r>
    </w:p>
    <w:p>
      <w:pPr>
        <w:spacing w:after="0" w:line="121"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Corporation’s Restated Certificate of Incorporation provides that no director of the Corporation will be personally liable to the Corporation or any of its stockholders for monetary damages arising from the director’s breach of fiduciary duty as a director, with certain limited exceptions.</w:t>
      </w:r>
    </w:p>
    <w:p>
      <w:pPr>
        <w:spacing w:after="0" w:line="38"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20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3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62"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Corporation’s Restated Certificate of Incorporation and Amended and Restated Bylaws specifically provide for indemnification of officers and directors to the fullest extent permitted by the Delaware General Corporation Law.</w:t>
      </w:r>
    </w:p>
    <w:p>
      <w:pPr>
        <w:spacing w:after="0" w:line="62"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Insofar as indemnification by the Corporation for liabilities arising under the Securities Act of 1933, as amended (the “Securities Act”), may be permitted to directors, officers or persons controlling the Corporation pursuant to the foregoing provisions, the Corporation has been informed that in the opinion of the Commission such indemnification is against public policy as expressed in the Securities Act and is therefore unenforceable.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60" w:type="dxa"/>
            <w:vAlign w:val="bottom"/>
          </w:tcPr>
          <w:p>
            <w:pPr>
              <w:ind w:left="1720"/>
              <w:spacing w:after="0"/>
              <w:rPr>
                <w:sz w:val="20"/>
                <w:szCs w:val="20"/>
                <w:color w:val="auto"/>
              </w:rPr>
            </w:pPr>
            <w:r>
              <w:rPr>
                <w:rFonts w:ascii="Arial" w:cs="Arial" w:eastAsia="Arial" w:hAnsi="Arial"/>
                <w:sz w:val="18"/>
                <w:szCs w:val="18"/>
                <w:color w:val="auto"/>
              </w:rPr>
              <w:t>The following documents are filed as a part of this registration statement.</w:t>
            </w:r>
          </w:p>
        </w:tc>
      </w:tr>
      <w:tr>
        <w:trPr>
          <w:trHeight w:val="365"/>
        </w:trPr>
        <w:tc>
          <w:tcPr>
            <w:tcW w:w="24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26"/>
        </w:trPr>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Opinion and consent of Strasburger &amp; Price, LLP, as to the legality of the Class A Non-Voting Common Stock being offered.</w:t>
            </w:r>
          </w:p>
        </w:tc>
      </w:tr>
      <w:tr>
        <w:trPr>
          <w:trHeight w:val="418"/>
        </w:trPr>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EZCORP, Inc. 2006 Incentive Plan, incorporated by reference to Exhibit 10.104 to Registrant’s Annual Report on Form 10-K for year</w:t>
            </w:r>
          </w:p>
        </w:tc>
      </w:tr>
      <w:tr>
        <w:trPr>
          <w:trHeight w:val="230"/>
        </w:trPr>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ending September 30, 2006 (File NO. 0-19424)</w:t>
            </w:r>
          </w:p>
        </w:tc>
      </w:tr>
      <w:tr>
        <w:trPr>
          <w:trHeight w:val="432"/>
        </w:trPr>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05"/>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60" w:type="dxa"/>
            <w:vAlign w:val="bottom"/>
          </w:tcPr>
          <w:p>
            <w:pPr>
              <w:ind w:left="4220"/>
              <w:spacing w:after="0"/>
              <w:rPr>
                <w:sz w:val="20"/>
                <w:szCs w:val="20"/>
                <w:color w:val="auto"/>
              </w:rPr>
            </w:pPr>
            <w:r>
              <w:rPr>
                <w:rFonts w:ascii="Arial" w:cs="Arial" w:eastAsia="Arial" w:hAnsi="Arial"/>
                <w:sz w:val="18"/>
                <w:szCs w:val="18"/>
                <w:color w:val="auto"/>
              </w:rPr>
              <w:t>II-3</w:t>
            </w:r>
          </w:p>
        </w:tc>
      </w:tr>
      <w:tr>
        <w:trPr>
          <w:trHeight w:val="226"/>
        </w:trPr>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Consent of Strasburger &amp; Price, LLP (included in the opinion filed as Exhibit 5.1 hereto).</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Power of Attorney (on signature page).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r>
        <w:rPr>
          <w:rFonts w:ascii="Arial" w:cs="Arial" w:eastAsia="Arial" w:hAnsi="Arial"/>
          <w:sz w:val="18"/>
          <w:szCs w:val="18"/>
          <w:color w:val="auto"/>
        </w:rPr>
        <w:t>.</w:t>
      </w:r>
    </w:p>
    <w:p>
      <w:pPr>
        <w:spacing w:after="0" w:line="121"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200" w:firstLine="229"/>
        <w:spacing w:after="0" w:line="264" w:lineRule="auto"/>
        <w:tabs>
          <w:tab w:leader="none" w:pos="95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3" w:lineRule="exact"/>
        <w:rPr>
          <w:rFonts w:ascii="Arial" w:cs="Arial" w:eastAsia="Arial" w:hAnsi="Arial"/>
          <w:sz w:val="18"/>
          <w:szCs w:val="18"/>
          <w:color w:val="auto"/>
        </w:rPr>
      </w:pPr>
    </w:p>
    <w:p>
      <w:pPr>
        <w:ind w:left="460" w:right="40" w:firstLine="229"/>
        <w:spacing w:after="0" w:line="277" w:lineRule="auto"/>
        <w:tabs>
          <w:tab w:leader="none" w:pos="10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20" w:right="80" w:firstLine="225"/>
        <w:spacing w:after="0" w:line="264"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73" w:lineRule="exact"/>
        <w:rPr>
          <w:sz w:val="20"/>
          <w:szCs w:val="20"/>
          <w:color w:val="auto"/>
        </w:rPr>
      </w:pPr>
    </w:p>
    <w:p>
      <w:pPr>
        <w:ind w:left="240" w:right="80" w:firstLine="221"/>
        <w:spacing w:after="0" w:line="264"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73" w:lineRule="exact"/>
        <w:rPr>
          <w:rFonts w:ascii="Arial" w:cs="Arial" w:eastAsia="Arial" w:hAnsi="Arial"/>
          <w:sz w:val="18"/>
          <w:szCs w:val="18"/>
          <w:color w:val="auto"/>
        </w:rPr>
      </w:pPr>
    </w:p>
    <w:p>
      <w:pPr>
        <w:ind w:left="240" w:firstLine="221"/>
        <w:spacing w:after="0" w:line="277"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40" w:firstLine="233"/>
        <w:spacing w:after="0" w:line="257"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right="200" w:firstLine="233"/>
        <w:spacing w:after="0" w:line="291"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Daniel N. Tonissen or Joseph L. Rotunda, or either of them,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u w:val="single" w:color="auto"/>
          <w:color w:val="auto"/>
        </w:rPr>
        <w:t>The Registrant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requirements of the Securities Act of 1933, the registrant certifies that it has reasonable grounds to believe that it meets all</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on January 29, 2007</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EZCORP,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/s/Joseph L. Rotunda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spacing w:after="0"/>
              <w:rPr>
                <w:sz w:val="14"/>
                <w:szCs w:val="14"/>
                <w:color w:val="auto"/>
              </w:rPr>
            </w:pPr>
          </w:p>
        </w:tc>
        <w:tc>
          <w:tcPr>
            <w:tcW w:w="26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Date</w:t>
            </w:r>
          </w:p>
        </w:tc>
      </w:tr>
      <w:tr>
        <w:trPr>
          <w:trHeight w:val="426"/>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/s/Sterling B. Brinkley</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Chairman of the Board, 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January 29,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Sterling B. Brinkley</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Rotunda</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 Chief Executive Officer and President</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January 29,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Joseph L. Rotunda</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/s/Daniel N. Tonissen</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Senior Vice President, Chief Financial Officer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1, 2007</w:t>
            </w:r>
          </w:p>
        </w:tc>
      </w:tr>
      <w:tr>
        <w:trPr>
          <w:trHeight w:val="209"/>
        </w:trPr>
        <w:tc>
          <w:tcPr>
            <w:tcW w:w="2640" w:type="dxa"/>
            <w:vAlign w:val="bottom"/>
          </w:tcPr>
          <w:p>
            <w:pPr>
              <w:spacing w:after="0"/>
              <w:rPr>
                <w:sz w:val="20"/>
                <w:szCs w:val="20"/>
                <w:color w:val="auto"/>
              </w:rPr>
            </w:pPr>
            <w:r>
              <w:rPr>
                <w:rFonts w:ascii="Arial" w:cs="Arial" w:eastAsia="Arial" w:hAnsi="Arial"/>
                <w:sz w:val="18"/>
                <w:szCs w:val="18"/>
                <w:color w:val="auto"/>
              </w:rPr>
              <w:t>Daniel N. Tonissen</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and Assistant Secretary (Principal Financial and</w:t>
            </w:r>
          </w:p>
        </w:tc>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Accounting Officer)</w:t>
            </w:r>
          </w:p>
        </w:tc>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3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/s/Thomas C. Roberts</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2,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Thomas C. Roberts</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/s/Gary Matzner</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6,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Gary Matzner</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/s/Richard D. Sage</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2,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Richard D. Sage</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4"/>
        </w:trPr>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II-5</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26"/>
        </w:trPr>
        <w:tc>
          <w:tcPr>
            <w:tcW w:w="2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480" w:type="dxa"/>
            <w:vAlign w:val="bottom"/>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5.1</w:t>
            </w:r>
          </w:p>
        </w:tc>
        <w:tc>
          <w:tcPr>
            <w:tcW w:w="10480" w:type="dxa"/>
            <w:vAlign w:val="bottom"/>
          </w:tcPr>
          <w:p>
            <w:pPr>
              <w:ind w:left="300"/>
              <w:spacing w:after="0"/>
              <w:rPr>
                <w:sz w:val="20"/>
                <w:szCs w:val="20"/>
                <w:color w:val="auto"/>
              </w:rPr>
            </w:pPr>
            <w:r>
              <w:rPr>
                <w:rFonts w:ascii="Arial" w:cs="Arial" w:eastAsia="Arial" w:hAnsi="Arial"/>
                <w:sz w:val="18"/>
                <w:szCs w:val="18"/>
                <w:color w:val="auto"/>
              </w:rPr>
              <w:t>Opinion of Strasburger &amp; Price, LLP</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300"/>
              <w:spacing w:after="0"/>
              <w:rPr>
                <w:sz w:val="20"/>
                <w:szCs w:val="20"/>
                <w:color w:val="auto"/>
              </w:rPr>
            </w:pPr>
            <w:r>
              <w:rPr>
                <w:rFonts w:ascii="Arial" w:cs="Arial" w:eastAsia="Arial" w:hAnsi="Arial"/>
                <w:sz w:val="18"/>
                <w:szCs w:val="18"/>
                <w:color w:val="auto"/>
                <w:w w:val="91"/>
              </w:rPr>
              <w:t>EZCORP, Inc. 2006 Incentive Plan, incorporated by reference to Exhibit 10.104 to Registrant’s Annual Report on Form 10-K for year ending</w:t>
            </w:r>
          </w:p>
        </w:tc>
      </w:tr>
      <w:tr>
        <w:trPr>
          <w:trHeight w:val="230"/>
        </w:trPr>
        <w:tc>
          <w:tcPr>
            <w:tcW w:w="62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September 30, 2006 (File NO. 0-19424)</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23.2</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Strasburger &amp; Price, LLP (included in the opinion filed as Exhibit 5.1 hereto).</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24.1</w:t>
            </w:r>
          </w:p>
        </w:tc>
        <w:tc>
          <w:tcPr>
            <w:tcW w:w="10480" w:type="dxa"/>
            <w:vAlign w:val="bottom"/>
          </w:tcPr>
          <w:p>
            <w:pPr>
              <w:ind w:left="300"/>
              <w:spacing w:after="0"/>
              <w:rPr>
                <w:sz w:val="20"/>
                <w:szCs w:val="20"/>
                <w:color w:val="auto"/>
              </w:rPr>
            </w:pPr>
            <w:r>
              <w:rPr>
                <w:rFonts w:ascii="Arial" w:cs="Arial" w:eastAsia="Arial" w:hAnsi="Arial"/>
                <w:sz w:val="18"/>
                <w:szCs w:val="18"/>
                <w:color w:val="auto"/>
              </w:rPr>
              <w:t>Power of Attorney (on signature page).</w:t>
            </w:r>
          </w:p>
        </w:tc>
      </w:tr>
      <w:tr>
        <w:trPr>
          <w:trHeight w:val="405"/>
        </w:trPr>
        <w:tc>
          <w:tcPr>
            <w:tcW w:w="620" w:type="dxa"/>
            <w:vAlign w:val="bottom"/>
          </w:tcPr>
          <w:p>
            <w:pPr>
              <w:spacing w:after="0"/>
              <w:rPr>
                <w:sz w:val="24"/>
                <w:szCs w:val="24"/>
                <w:color w:val="auto"/>
              </w:rPr>
            </w:pPr>
          </w:p>
        </w:tc>
        <w:tc>
          <w:tcPr>
            <w:tcW w:w="10480" w:type="dxa"/>
            <w:vAlign w:val="bottom"/>
          </w:tcPr>
          <w:p>
            <w:pPr>
              <w:ind w:left="496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00"/>
          </w:cols>
          <w:pgMar w:left="240" w:top="419" w:right="5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LEGAL OPINION</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Strasburger &amp; Price,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Congress Avenue,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512-499-3600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512-499-3660 (Fax)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5,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acted as counsel for EZCORP, Inc., a Delaware corporation (the “Company”), in connection with the registration under the Securities Act of 1933, as amended, of 2,250,000 shares of the Company’s Class A Non-Voting Common Stock, par value $0.01 per share (the “Shares”), as described in the Registration Statement on Form S-8 dated February 5, 2007 (the “Registration Statement”). The Shares, which include shares to be issued on exercise of options to purchase 2,250,000 Shares pursuant to the Company’s 2006 Incentive Plan (the “Plan”), may be sold for the benefit of the shareholders of the Company in the manner described in the Registration Statement.</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therewith, we have examined the Registration Statement and originals or copies, certified or otherwise identified to our satisfaction, of the Certificate of Incorporation of the Company, as amended, the Bylaws of the Company, as amended, the Plan, records of relevant corporate proceedings with respect to the offering of the Shares and such other documents and instruments as we have deemed necessary or appropriate as a basis for the opinions hereinafter expressed. In all such examinations, we have assumed the authenticity and completeness of all documents submitted as originals or duplicate originals, the conformity to original documents of all document copies, the authenticity of the respective originals of such latter documents, and the correctness and completeness of such certificates.</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opinions set forth above are limited exclusively to the Delaware Constitution, the General Corporation Law of the State of Delaware and reported judicial decisions interpreting such laws.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upon the foregoing and subject to the qualifications and assumptions set forth herein, it is our opinion that the Shares being registered pursuant to the Registration Statement, including the shares subject to the Plan when paid for and issued in accordance with the terms of the Plan, will be legally issued, fully paid and non-assessable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We hereby consent to the inclusion of this opinion in the Exhibits to the Registration Statement. Subject to the foregoing, this opinion is limited to the matters expressly set forth in this letter, as limited herein as of the date of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Strasburger &amp; Price,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STRASBURGER &amp; PRICE, L.L.P.</w:t>
      </w:r>
    </w:p>
    <w:p>
      <w:pPr>
        <w:sectPr>
          <w:pgSz w:w="11900" w:h="16838" w:orient="portrait"/>
          <w:cols w:equalWidth="0" w:num="1">
            <w:col w:w="11380"/>
          </w:cols>
          <w:pgMar w:left="240" w:top="935"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hereby consent to the incorporation by reference in this Registration Statement on Form S-8 of EZCORP, Inc. of our reports dated November 3, 2006 (except for Note R, which is as of December 11, 2006), relating to the consolidated financial statements, management’s assessment of internal control over financial reporting as of September 30, 2006, and the effectiveness of internal control over financial reporting as of September 30, 2006, which are contained in the Annual Report on Form 10-K. We also consent to the incorporation by reference of our report dated November 3, 2006 (except for Note R, which is as of December 11, 2006) relating to the financial schedule listed in the index at Item 15(a)(2) which appears in the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BDO Seidman,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2007</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upperLetter"/>
      <w:start w:val="1"/>
    </w:lvl>
    <w:lvl w:ilvl="1">
      <w:lvlJc w:val="left"/>
      <w:lvlText w:val="(%2)"/>
      <w:numFmt w:val="decimal"/>
      <w:start w:val="2"/>
    </w:lvl>
  </w:abstractNum>
  <w:abstractNum w:abstractNumId="7">
    <w:nsid w:val="7545E146"/>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2020-02-04T03:28:56Z</dcterms:created>
  <dcterms:modified xsi:type="dcterms:W3CDTF">2020-02-04T03:28:56Z</dcterms:modified>
</cp:coreProperties>
</file>