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60" w:after="60"/>
        <w:ind w:left="0" w:right="0" w:firstLine="720"/>
        <w:jc w:val="center"/>
        <w:rPr>
          <w:rFonts w:ascii="Arial Narrow;sans-serif" w:hAnsi="Arial Narrow;sans-serif"/>
          <w:b/>
          <w:color w:val="000000"/>
          <w:sz w:val="28"/>
        </w:rPr>
      </w:pPr>
      <w:r>
        <w:rPr>
          <w:rFonts w:ascii="Arial Narrow;sans-serif" w:hAnsi="Arial Narrow;sans-serif"/>
          <w:b/>
          <w:color w:val="000000"/>
          <w:sz w:val="28"/>
        </w:rPr>
        <w:t>UNITED STATES</w:t>
      </w:r>
    </w:p>
    <w:p>
      <w:pPr>
        <w:pStyle w:val="TextBody"/>
        <w:bidi w:val="0"/>
        <w:spacing w:lineRule="auto" w:line="288" w:before="60" w:after="60"/>
        <w:jc w:val="center"/>
        <w:rPr>
          <w:rFonts w:ascii="Arial Narrow;sans-serif" w:hAnsi="Arial Narrow;sans-serif"/>
          <w:b/>
          <w:color w:val="000000"/>
          <w:sz w:val="28"/>
        </w:rPr>
      </w:pPr>
      <w:r>
        <w:rPr>
          <w:rFonts w:ascii="Arial Narrow;sans-serif" w:hAnsi="Arial Narrow;sans-serif"/>
          <w:b/>
          <w:color w:val="000000"/>
          <w:sz w:val="28"/>
        </w:rPr>
        <w:t>SECURITIES AND EXCHANGE COMMISSION</w:t>
      </w:r>
    </w:p>
    <w:p>
      <w:pPr>
        <w:pStyle w:val="TextBody"/>
        <w:bidi w:val="0"/>
        <w:spacing w:lineRule="auto" w:line="288" w:before="60" w:after="283"/>
        <w:jc w:val="center"/>
        <w:rPr>
          <w:rFonts w:ascii="Arial Narrow;sans-serif" w:hAnsi="Arial Narrow;sans-serif"/>
          <w:b/>
          <w:color w:val="000000"/>
          <w:sz w:val="24"/>
        </w:rPr>
      </w:pPr>
      <w:r>
        <w:rPr>
          <w:rFonts w:ascii="Arial Narrow;sans-serif" w:hAnsi="Arial Narrow;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 Narrow;sans-serif" w:hAnsi="Arial Narrow;sans-serif"/>
          <w:b/>
          <w:color w:val="000000"/>
          <w:sz w:val="28"/>
        </w:rPr>
      </w:pPr>
      <w:r>
        <w:rPr>
          <w:rFonts w:ascii="Arial Narrow;sans-serif" w:hAnsi="Arial Narrow;sans-serif"/>
          <w:b/>
          <w:color w:val="000000"/>
          <w:sz w:val="28"/>
        </w:rPr>
        <w:t xml:space="preserve">FORM 10-Q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77" w:type="dxa"/>
        <w:jc w:val="center"/>
        <w:tblInd w:w="0" w:type="dxa"/>
        <w:tblLayout w:type="fixed"/>
        <w:tblCellMar>
          <w:top w:w="28" w:type="dxa"/>
          <w:left w:w="28" w:type="dxa"/>
          <w:bottom w:w="28" w:type="dxa"/>
          <w:right w:w="28" w:type="dxa"/>
        </w:tblCellMar>
      </w:tblPr>
      <w:tblGrid>
        <w:gridCol w:w="124"/>
        <w:gridCol w:w="109"/>
        <w:gridCol w:w="109"/>
        <w:gridCol w:w="2500"/>
        <w:gridCol w:w="2500"/>
        <w:gridCol w:w="35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35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QUARTERLY REPORT PURSUANT TO SECTION 13 OR 15(d) OF THE SECURITIES EXCHANGE ACT OF 1934</w:t>
            </w:r>
          </w:p>
        </w:tc>
      </w:tr>
    </w:tbl>
    <w:p>
      <w:pPr>
        <w:pStyle w:val="TextBody"/>
        <w:bidi w:val="0"/>
        <w:spacing w:lineRule="auto" w:line="288" w:before="0" w:after="120"/>
        <w:jc w:val="center"/>
        <w:rPr>
          <w:rFonts w:ascii="Arial Narrow;sans-serif" w:hAnsi="Arial Narrow;sans-serif"/>
          <w:b/>
          <w:color w:val="000000"/>
          <w:sz w:val="20"/>
        </w:rPr>
      </w:pPr>
      <w:r>
        <w:rPr>
          <w:rFonts w:ascii="Arial Narrow;sans-serif" w:hAnsi="Arial Narrow;sans-serif"/>
          <w:b/>
          <w:color w:val="000000"/>
          <w:sz w:val="20"/>
        </w:rPr>
        <w:t xml:space="preserve">For the quarterly period ended June 30, 2025 or </w:t>
      </w:r>
    </w:p>
    <w:tbl>
      <w:tblPr>
        <w:tblW w:w="8862" w:type="dxa"/>
        <w:jc w:val="center"/>
        <w:tblInd w:w="0" w:type="dxa"/>
        <w:tblLayout w:type="fixed"/>
        <w:tblCellMar>
          <w:top w:w="28" w:type="dxa"/>
          <w:left w:w="28" w:type="dxa"/>
          <w:bottom w:w="28" w:type="dxa"/>
          <w:right w:w="28" w:type="dxa"/>
        </w:tblCellMar>
      </w:tblPr>
      <w:tblGrid>
        <w:gridCol w:w="124"/>
        <w:gridCol w:w="109"/>
        <w:gridCol w:w="109"/>
        <w:gridCol w:w="2491"/>
        <w:gridCol w:w="2491"/>
        <w:gridCol w:w="3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TRANSITION REPORT PURSUANT TO SECTION 13 OR 15(d) OF THE SECURITIES EXCHANGE ACT OF 1934</w:t>
            </w:r>
          </w:p>
        </w:tc>
      </w:tr>
    </w:tbl>
    <w:p>
      <w:pPr>
        <w:pStyle w:val="TextBody"/>
        <w:bidi w:val="0"/>
        <w:spacing w:lineRule="auto" w:line="288" w:before="20" w:after="120"/>
        <w:jc w:val="center"/>
        <w:rPr/>
      </w:pPr>
      <w:r>
        <w:rPr>
          <w:rFonts w:ascii="Arial Narrow;sans-serif" w:hAnsi="Arial Narrow;sans-serif"/>
          <w:b/>
          <w:color w:val="000000"/>
          <w:sz w:val="20"/>
        </w:rPr>
        <w:t xml:space="preserve">For the transition period from </w:t>
      </w:r>
      <w:r>
        <w:rPr>
          <w:color w:val="000000"/>
          <w:u w:val="single"/>
        </w:rPr>
        <w:t>                    </w:t>
      </w:r>
      <w:r>
        <w:rPr>
          <w:color w:val="000000"/>
        </w:rPr>
        <w:t xml:space="preserve"> </w:t>
      </w:r>
      <w:r>
        <w:rPr>
          <w:rFonts w:ascii="Arial Narrow;sans-serif" w:hAnsi="Arial Narrow;sans-serif"/>
          <w:b/>
          <w:color w:val="000000"/>
          <w:sz w:val="20"/>
        </w:rPr>
        <w:t xml:space="preserve">to </w:t>
      </w:r>
      <w:r>
        <w:rPr>
          <w:color w:val="000000"/>
          <w:u w:val="single"/>
        </w:rPr>
        <w:t>                        </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 xml:space="preserve">Commission File No. 0-19424 </w:t>
      </w:r>
    </w:p>
    <w:p>
      <w:pPr>
        <w:pStyle w:val="TextBody"/>
        <w:bidi w:val="0"/>
        <w:spacing w:before="0" w:after="120"/>
        <w:jc w:val="center"/>
        <w:rPr/>
      </w:pPr>
      <w:r>
        <w:rPr/>
        <w:drawing>
          <wp:inline distT="0" distB="0" distL="0" distR="0">
            <wp:extent cx="22288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bookmarkStart w:id="0" w:name="i-1"/>
      <w:bookmarkEnd w:id="0"/>
    </w:p>
    <w:p>
      <w:pPr>
        <w:pStyle w:val="TextBody"/>
        <w:bidi w:val="0"/>
        <w:spacing w:lineRule="auto" w:line="288" w:before="0" w:after="60"/>
        <w:jc w:val="center"/>
        <w:rPr>
          <w:rFonts w:ascii="Arial Narrow;sans-serif" w:hAnsi="Arial Narrow;sans-serif"/>
          <w:b/>
          <w:color w:val="000000"/>
          <w:sz w:val="24"/>
        </w:rPr>
      </w:pPr>
      <w:r>
        <w:rPr>
          <w:rFonts w:ascii="Arial Narrow;sans-serif" w:hAnsi="Arial Narrow;sans-serif"/>
          <w:b/>
          <w:color w:val="000000"/>
          <w:sz w:val="24"/>
        </w:rPr>
        <w:t xml:space="preserve">EZCORP, INC. </w:t>
      </w:r>
    </w:p>
    <w:p>
      <w:pPr>
        <w:pStyle w:val="TextBody"/>
        <w:bidi w:val="0"/>
        <w:spacing w:lineRule="auto" w:line="288" w:before="60" w:after="60"/>
        <w:jc w:val="center"/>
        <w:rPr>
          <w:rFonts w:ascii="Arial Narrow;sans-serif" w:hAnsi="Arial Narrow;sans-serif"/>
          <w:b w:val="false"/>
          <w:color w:val="000000"/>
          <w:sz w:val="20"/>
        </w:rPr>
      </w:pPr>
      <w:r>
        <w:rPr>
          <w:rFonts w:ascii="Arial Narrow;sans-serif" w:hAnsi="Arial Narrow;sans-serif"/>
          <w:b w:val="false"/>
          <w:color w:val="000000"/>
          <w:sz w:val="20"/>
        </w:rPr>
        <w:t>(Exact name of registrant as specified in its charter)</w:t>
      </w:r>
    </w:p>
    <w:tbl>
      <w:tblPr>
        <w:tblW w:w="7071" w:type="dxa"/>
        <w:jc w:val="center"/>
        <w:tblInd w:w="0" w:type="dxa"/>
        <w:tblLayout w:type="fixed"/>
        <w:tblCellMar>
          <w:top w:w="28" w:type="dxa"/>
          <w:left w:w="28" w:type="dxa"/>
          <w:bottom w:w="28" w:type="dxa"/>
          <w:right w:w="28" w:type="dxa"/>
        </w:tblCellMar>
      </w:tblPr>
      <w:tblGrid>
        <w:gridCol w:w="544"/>
        <w:gridCol w:w="478"/>
        <w:gridCol w:w="478"/>
        <w:gridCol w:w="250"/>
        <w:gridCol w:w="250"/>
        <w:gridCol w:w="250"/>
        <w:gridCol w:w="246"/>
        <w:gridCol w:w="246"/>
        <w:gridCol w:w="246"/>
        <w:gridCol w:w="330"/>
        <w:gridCol w:w="330"/>
        <w:gridCol w:w="331"/>
        <w:gridCol w:w="246"/>
        <w:gridCol w:w="246"/>
        <w:gridCol w:w="246"/>
        <w:gridCol w:w="689"/>
        <w:gridCol w:w="689"/>
        <w:gridCol w:w="976"/>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Delaware</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74-2540145</w:t>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(State or other jurisdiction of incorporation or organization)</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(I.R.S. Employer Identification No.)</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2500 Bee Cave Road</w:t>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Bldg One</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Suite 200</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Rollingwood</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TX</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78746</w:t>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(Address of principal executive offices)</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(Zip Code)</w:t>
            </w:r>
          </w:p>
        </w:tc>
      </w:tr>
    </w:tbl>
    <w:p>
      <w:pPr>
        <w:pStyle w:val="TextBody"/>
        <w:bidi w:val="0"/>
        <w:spacing w:lineRule="auto" w:line="288" w:before="0" w:after="0"/>
        <w:jc w:val="center"/>
        <w:rPr/>
      </w:pPr>
      <w:r>
        <w:rPr>
          <w:rFonts w:ascii="Arial Narrow;sans-serif" w:hAnsi="Arial Narrow;sans-serif"/>
          <w:b w:val="false"/>
          <w:color w:val="000000"/>
          <w:sz w:val="16"/>
        </w:rPr>
        <w:t xml:space="preserve">Registrant’s telephone number, including area code: </w:t>
      </w:r>
      <w:r>
        <w:rPr>
          <w:rFonts w:ascii="Arial Narrow;sans-serif" w:hAnsi="Arial Narrow;sans-serif"/>
          <w:b/>
          <w:color w:val="000000"/>
          <w:sz w:val="16"/>
        </w:rPr>
        <w:t xml:space="preserve">(512) 314-3400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Securities registered pursuant to Section 12(b) of the Act</w:t>
      </w:r>
    </w:p>
    <w:tbl>
      <w:tblPr>
        <w:tblW w:w="9443" w:type="dxa"/>
        <w:jc w:val="center"/>
        <w:tblInd w:w="0" w:type="dxa"/>
        <w:tblLayout w:type="fixed"/>
        <w:tblCellMar>
          <w:top w:w="28" w:type="dxa"/>
          <w:left w:w="28" w:type="dxa"/>
          <w:bottom w:w="28" w:type="dxa"/>
          <w:right w:w="28" w:type="dxa"/>
        </w:tblCellMar>
      </w:tblPr>
      <w:tblGrid>
        <w:gridCol w:w="1537"/>
        <w:gridCol w:w="1354"/>
        <w:gridCol w:w="1369"/>
        <w:gridCol w:w="109"/>
        <w:gridCol w:w="109"/>
        <w:gridCol w:w="109"/>
        <w:gridCol w:w="454"/>
        <w:gridCol w:w="454"/>
        <w:gridCol w:w="456"/>
        <w:gridCol w:w="109"/>
        <w:gridCol w:w="109"/>
        <w:gridCol w:w="109"/>
        <w:gridCol w:w="926"/>
        <w:gridCol w:w="926"/>
        <w:gridCol w:w="1313"/>
      </w:tblGrid>
      <w:tr>
        <w:trPr/>
        <w:tc>
          <w:tcPr>
            <w:tcW w:w="1537"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Name of each exchange on which registered</w:t>
            </w:r>
          </w:p>
        </w:tc>
      </w:tr>
      <w:tr>
        <w:trPr/>
        <w:tc>
          <w:tcPr>
            <w:tcW w:w="4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Class A Non-voting 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EZPW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NASDAQ Stock Market</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(NASDAQ Global Select Market)</w:t>
            </w:r>
          </w:p>
        </w:tc>
      </w:tr>
    </w:tbl>
    <w:p>
      <w:pPr>
        <w:pStyle w:val="TextBody"/>
        <w:bidi w:val="0"/>
        <w:spacing w:lineRule="auto" w:line="288" w:before="20" w:after="120"/>
        <w:jc w:val="left"/>
        <w:rPr>
          <w:rFonts w:ascii="Arial Narrow;sans-serif" w:hAnsi="Arial Narrow;sans-serif"/>
          <w:b w:val="false"/>
          <w:color w:val="000000"/>
          <w:sz w:val="16"/>
        </w:rPr>
      </w:pPr>
      <w:r>
        <w:rPr>
          <w:rFonts w:ascii="Arial Narrow;sans-serif" w:hAnsi="Arial Narrow;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120"/>
        <w:jc w:val="left"/>
        <w:rPr>
          <w:rFonts w:ascii="Arial Narrow;sans-serif" w:hAnsi="Arial Narrow;sans-serif"/>
          <w:b w:val="false"/>
          <w:color w:val="000000"/>
          <w:sz w:val="16"/>
        </w:rPr>
      </w:pPr>
      <w:r>
        <w:rPr>
          <w:rFonts w:ascii="Arial Narrow;sans-serif" w:hAnsi="Arial Narrow;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283"/>
        <w:jc w:val="left"/>
        <w:rPr>
          <w:rFonts w:ascii="Arial Narrow;sans-serif" w:hAnsi="Arial Narrow;sans-serif"/>
          <w:b w:val="false"/>
          <w:color w:val="000000"/>
          <w:sz w:val="16"/>
        </w:rPr>
      </w:pPr>
      <w:r>
        <w:rPr>
          <w:rFonts w:ascii="Arial Narrow;sans-serif" w:hAnsi="Arial Narrow;sans-serif"/>
          <w:b w:val="false"/>
          <w:color w:val="000000"/>
          <w:sz w:val="16"/>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tbl>
      <w:tblPr>
        <w:tblW w:w="3971" w:type="dxa"/>
        <w:jc w:val="center"/>
        <w:tblInd w:w="0" w:type="dxa"/>
        <w:tblLayout w:type="fixed"/>
        <w:tblCellMar>
          <w:top w:w="28" w:type="dxa"/>
          <w:left w:w="28" w:type="dxa"/>
          <w:bottom w:w="28" w:type="dxa"/>
          <w:right w:w="28" w:type="dxa"/>
        </w:tblCellMar>
      </w:tblPr>
      <w:tblGrid>
        <w:gridCol w:w="544"/>
        <w:gridCol w:w="478"/>
        <w:gridCol w:w="479"/>
        <w:gridCol w:w="109"/>
        <w:gridCol w:w="109"/>
        <w:gridCol w:w="109"/>
        <w:gridCol w:w="589"/>
        <w:gridCol w:w="589"/>
        <w:gridCol w:w="593"/>
        <w:gridCol w:w="109"/>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left"/>
        <w:rPr>
          <w:rFonts w:ascii="Arial Narrow;sans-serif" w:hAnsi="Arial Narrow;sans-serif"/>
          <w:b w:val="false"/>
          <w:color w:val="000000"/>
          <w:sz w:val="16"/>
        </w:rPr>
      </w:pPr>
      <w:r>
        <w:rPr>
          <w:rFonts w:ascii="Arial Narrow;sans-serif" w:hAnsi="Arial Narrow;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 </w:t>
        <w:br/>
        <w:br/>
        <w:t>Indicate by check mark whether the registrant is a shell company (as defined in Rule 12b-2 of the Exchange Act).    Yes  ☐    No  ☒</w:t>
      </w:r>
    </w:p>
    <w:p>
      <w:pPr>
        <w:pStyle w:val="TextBody"/>
        <w:bidi w:val="0"/>
        <w:spacing w:lineRule="auto" w:line="288" w:before="120" w:after="120"/>
        <w:jc w:val="left"/>
        <w:rPr>
          <w:rFonts w:ascii="Arial Narrow;sans-serif" w:hAnsi="Arial Narrow;sans-serif"/>
          <w:b w:val="false"/>
          <w:color w:val="000000"/>
          <w:sz w:val="16"/>
        </w:rPr>
      </w:pPr>
      <w:r>
        <w:rPr>
          <w:rFonts w:ascii="Arial Narrow;sans-serif" w:hAnsi="Arial Narrow;sans-serif"/>
          <w:b w:val="false"/>
          <w:color w:val="000000"/>
          <w:sz w:val="16"/>
        </w:rPr>
        <w:t>The only class of voting securities of the registrant issued and outstanding is the Class B Voting Common Stock, par value $.01 per share, all of which is owned by an affiliate of the registrant. There is no trading market for the Class B Voting Common Stock.</w:t>
      </w:r>
    </w:p>
    <w:p>
      <w:pPr>
        <w:pStyle w:val="TextBody"/>
        <w:bidi w:val="0"/>
        <w:spacing w:lineRule="auto" w:line="288" w:before="120" w:after="120"/>
        <w:jc w:val="left"/>
        <w:rPr>
          <w:rFonts w:ascii="Arial Narrow;sans-serif" w:hAnsi="Arial Narrow;sans-serif"/>
          <w:b w:val="false"/>
          <w:color w:val="000000"/>
          <w:sz w:val="16"/>
        </w:rPr>
      </w:pPr>
      <w:r>
        <w:rPr>
          <w:rFonts w:ascii="Arial Narrow;sans-serif" w:hAnsi="Arial Narrow;sans-serif"/>
          <w:b w:val="false"/>
          <w:color w:val="000000"/>
          <w:sz w:val="16"/>
        </w:rPr>
        <w:t>As of July 23, 2025, 57,925,965 shares of the registrant’s Class A Non-voting Common Stock (“Class A Common Stock”), par value $.01 per share, and 2,970,171 shares of the registrant’s Class B Voting Common Stock, par value $.01 per share,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INDEX TO FORM 10-Q</w:t>
      </w:r>
    </w:p>
    <w:tbl>
      <w:tblPr>
        <w:tblW w:w="9611" w:type="dxa"/>
        <w:jc w:val="left"/>
        <w:tblInd w:w="0" w:type="dxa"/>
        <w:tblLayout w:type="fixed"/>
        <w:tblCellMar>
          <w:top w:w="28" w:type="dxa"/>
          <w:left w:w="28" w:type="dxa"/>
          <w:bottom w:w="28" w:type="dxa"/>
          <w:right w:w="28" w:type="dxa"/>
        </w:tblCellMar>
      </w:tblPr>
      <w:tblGrid>
        <w:gridCol w:w="3347"/>
        <w:gridCol w:w="2940"/>
        <w:gridCol w:w="2952"/>
        <w:gridCol w:w="109"/>
        <w:gridCol w:w="109"/>
        <w:gridCol w:w="154"/>
      </w:tblGrid>
      <w:tr>
        <w:trPr/>
        <w:tc>
          <w:tcPr>
            <w:tcW w:w="3347"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10">
              <w:r>
                <w:rPr>
                  <w:rStyle w:val="InternetLink"/>
                  <w:rFonts w:ascii="Arial Narrow;sans-serif" w:hAnsi="Arial Narrow;sans-serif"/>
                  <w:b w:val="false"/>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13">
              <w:r>
                <w:rPr>
                  <w:rStyle w:val="InternetLink"/>
                  <w:rFonts w:ascii="Arial Narrow;sans-serif" w:hAnsi="Arial Narrow;sans-serif"/>
                  <w:b w:val="false"/>
                  <w:color w:val="0000FF"/>
                  <w:sz w:val="20"/>
                  <w:u w:val="single"/>
                </w:rPr>
                <w:t>Item 1.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16">
              <w:r>
                <w:rPr>
                  <w:rStyle w:val="InternetLink"/>
                  <w:rFonts w:ascii="Arial Narrow;sans-serif" w:hAnsi="Arial Narrow;sans-serif"/>
                  <w:b w:val="false"/>
                  <w:color w:val="000080"/>
                  <w:sz w:val="20"/>
                  <w:u w:val="single"/>
                </w:rPr>
                <w:t xml:space="preserve">Condensed Consolidated Balance Sheets as of </w:t>
              </w:r>
            </w:hyperlink>
            <w:hyperlink w:anchor="i0b407145ac9c4c18b8db2c18055b1105_16">
              <w:r>
                <w:rPr>
                  <w:rStyle w:val="InternetLink"/>
                  <w:rFonts w:ascii="Arial Narrow;sans-serif" w:hAnsi="Arial Narrow;sans-serif"/>
                  <w:b w:val="false"/>
                  <w:color w:val="000080"/>
                  <w:sz w:val="20"/>
                  <w:u w:val="single"/>
                </w:rPr>
                <w:t>June</w:t>
              </w:r>
            </w:hyperlink>
            <w:hyperlink w:anchor="i0b407145ac9c4c18b8db2c18055b1105_16">
              <w:r>
                <w:rPr>
                  <w:rStyle w:val="InternetLink"/>
                  <w:rFonts w:ascii="Arial Narrow;sans-serif" w:hAnsi="Arial Narrow;sans-serif"/>
                  <w:b w:val="false"/>
                  <w:color w:val="000080"/>
                  <w:sz w:val="20"/>
                  <w:u w:val="single"/>
                </w:rPr>
                <w:t xml:space="preserve"> 3</w:t>
              </w:r>
            </w:hyperlink>
            <w:hyperlink w:anchor="i0b407145ac9c4c18b8db2c18055b1105_16">
              <w:r>
                <w:rPr>
                  <w:rStyle w:val="InternetLink"/>
                  <w:rFonts w:ascii="Arial Narrow;sans-serif" w:hAnsi="Arial Narrow;sans-serif"/>
                  <w:b w:val="false"/>
                  <w:color w:val="000080"/>
                  <w:sz w:val="20"/>
                  <w:u w:val="single"/>
                </w:rPr>
                <w:t>0</w:t>
              </w:r>
            </w:hyperlink>
            <w:hyperlink w:anchor="i0b407145ac9c4c18b8db2c18055b1105_16">
              <w:r>
                <w:rPr>
                  <w:rStyle w:val="InternetLink"/>
                  <w:rFonts w:ascii="Arial Narrow;sans-serif" w:hAnsi="Arial Narrow;sans-serif"/>
                  <w:b w:val="false"/>
                  <w:color w:val="000080"/>
                  <w:sz w:val="20"/>
                  <w:u w:val="single"/>
                </w:rPr>
                <w:t xml:space="preserve">, 2025 and 2024 and September 30, </w:t>
              </w:r>
            </w:hyperlink>
            <w:hyperlink w:anchor="i0b407145ac9c4c18b8db2c18055b1105_22">
              <w:r>
                <w:rPr>
                  <w:rStyle w:val="InternetLink"/>
                  <w:rFonts w:ascii="Arial Narrow;sans-serif" w:hAnsi="Arial Narrow;sans-serif"/>
                  <w:b w:val="false"/>
                  <w:color w:val="000080"/>
                  <w:sz w:val="20"/>
                  <w:u w:val="single"/>
                </w:rPr>
                <w:t>2024</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16">
              <w:r>
                <w:rPr>
                  <w:rStyle w:val="InternetLink"/>
                  <w:rFonts w:ascii="Arial Narrow;sans-serif" w:hAnsi="Arial Narrow;sans-serif"/>
                  <w:b w:val="false"/>
                  <w:color w:val="0000FF"/>
                  <w:sz w:val="20"/>
                  <w:u w:val="single"/>
                </w:rPr>
                <w:t>1</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19">
              <w:r>
                <w:rPr>
                  <w:rStyle w:val="InternetLink"/>
                  <w:rFonts w:ascii="Arial Narrow;sans-serif" w:hAnsi="Arial Narrow;sans-serif"/>
                  <w:b w:val="false"/>
                  <w:color w:val="000080"/>
                  <w:sz w:val="20"/>
                  <w:u w:val="single"/>
                </w:rPr>
                <w:t xml:space="preserve">Condensed Consolidated Statements of Operations for the Three and </w:t>
              </w:r>
            </w:hyperlink>
            <w:hyperlink w:anchor="i0b407145ac9c4c18b8db2c18055b1105_19">
              <w:r>
                <w:rPr>
                  <w:rStyle w:val="InternetLink"/>
                  <w:rFonts w:ascii="Arial Narrow;sans-serif" w:hAnsi="Arial Narrow;sans-serif"/>
                  <w:b w:val="false"/>
                  <w:color w:val="000080"/>
                  <w:sz w:val="20"/>
                  <w:u w:val="single"/>
                </w:rPr>
                <w:t>Nine</w:t>
              </w:r>
            </w:hyperlink>
            <w:hyperlink w:anchor="i0b407145ac9c4c18b8db2c18055b1105_19">
              <w:r>
                <w:rPr>
                  <w:rStyle w:val="InternetLink"/>
                  <w:rFonts w:ascii="Arial Narrow;sans-serif" w:hAnsi="Arial Narrow;sans-serif"/>
                  <w:b w:val="false"/>
                  <w:color w:val="000080"/>
                  <w:sz w:val="20"/>
                  <w:u w:val="single"/>
                </w:rPr>
                <w:t xml:space="preserve"> Months Ended </w:t>
              </w:r>
            </w:hyperlink>
            <w:hyperlink w:anchor="i0b407145ac9c4c18b8db2c18055b1105_19">
              <w:r>
                <w:rPr>
                  <w:rStyle w:val="InternetLink"/>
                  <w:rFonts w:ascii="Arial Narrow;sans-serif" w:hAnsi="Arial Narrow;sans-serif"/>
                  <w:b w:val="false"/>
                  <w:color w:val="000080"/>
                  <w:sz w:val="20"/>
                  <w:u w:val="single"/>
                </w:rPr>
                <w:t>June</w:t>
              </w:r>
            </w:hyperlink>
            <w:hyperlink w:anchor="i0b407145ac9c4c18b8db2c18055b1105_19">
              <w:r>
                <w:rPr>
                  <w:rStyle w:val="InternetLink"/>
                  <w:rFonts w:ascii="Arial Narrow;sans-serif" w:hAnsi="Arial Narrow;sans-serif"/>
                  <w:b w:val="false"/>
                  <w:color w:val="000080"/>
                  <w:sz w:val="20"/>
                  <w:u w:val="single"/>
                </w:rPr>
                <w:t xml:space="preserve"> 3</w:t>
              </w:r>
            </w:hyperlink>
            <w:hyperlink w:anchor="i0b407145ac9c4c18b8db2c18055b1105_19">
              <w:r>
                <w:rPr>
                  <w:rStyle w:val="InternetLink"/>
                  <w:rFonts w:ascii="Arial Narrow;sans-serif" w:hAnsi="Arial Narrow;sans-serif"/>
                  <w:b w:val="false"/>
                  <w:color w:val="000080"/>
                  <w:sz w:val="20"/>
                  <w:u w:val="single"/>
                </w:rPr>
                <w:t>0</w:t>
              </w:r>
            </w:hyperlink>
            <w:hyperlink w:anchor="i0b407145ac9c4c18b8db2c18055b1105_19">
              <w:r>
                <w:rPr>
                  <w:rStyle w:val="InternetLink"/>
                  <w:rFonts w:ascii="Arial Narrow;sans-serif" w:hAnsi="Arial Narrow;sans-serif"/>
                  <w:b w:val="false"/>
                  <w:color w:val="000080"/>
                  <w:sz w:val="20"/>
                  <w:u w:val="single"/>
                </w:rPr>
                <w:t xml:space="preserve">, 2025 and </w:t>
              </w:r>
            </w:hyperlink>
            <w:hyperlink w:anchor="i0b407145ac9c4c18b8db2c18055b1105_22">
              <w:r>
                <w:rPr>
                  <w:rStyle w:val="InternetLink"/>
                  <w:rFonts w:ascii="Arial Narrow;sans-serif" w:hAnsi="Arial Narrow;sans-serif"/>
                  <w:b w:val="false"/>
                  <w:color w:val="000080"/>
                  <w:sz w:val="20"/>
                  <w:u w:val="single"/>
                </w:rPr>
                <w:t>2024</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19">
              <w:r>
                <w:rPr>
                  <w:rStyle w:val="InternetLink"/>
                  <w:rFonts w:ascii="Arial Narrow;sans-serif" w:hAnsi="Arial Narrow;sans-serif"/>
                  <w:b w:val="false"/>
                  <w:color w:val="0000FF"/>
                  <w:sz w:val="20"/>
                  <w:u w:val="single"/>
                </w:rPr>
                <w:t>2</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22">
              <w:r>
                <w:rPr>
                  <w:rStyle w:val="InternetLink"/>
                  <w:rFonts w:ascii="Arial Narrow;sans-serif" w:hAnsi="Arial Narrow;sans-serif"/>
                  <w:b w:val="false"/>
                  <w:color w:val="000080"/>
                  <w:sz w:val="20"/>
                  <w:u w:val="single"/>
                </w:rPr>
                <w:t xml:space="preserve">Condensed Consolidated Statements of Comprehensive Income for the Three and </w:t>
              </w:r>
            </w:hyperlink>
            <w:hyperlink w:anchor="i0b407145ac9c4c18b8db2c18055b1105_22">
              <w:r>
                <w:rPr>
                  <w:rStyle w:val="InternetLink"/>
                  <w:rFonts w:ascii="Arial Narrow;sans-serif" w:hAnsi="Arial Narrow;sans-serif"/>
                  <w:b w:val="false"/>
                  <w:color w:val="000080"/>
                  <w:sz w:val="20"/>
                  <w:u w:val="single"/>
                </w:rPr>
                <w:t>Nine</w:t>
              </w:r>
            </w:hyperlink>
            <w:hyperlink w:anchor="i0b407145ac9c4c18b8db2c18055b1105_22">
              <w:r>
                <w:rPr>
                  <w:rStyle w:val="InternetLink"/>
                  <w:rFonts w:ascii="Arial Narrow;sans-serif" w:hAnsi="Arial Narrow;sans-serif"/>
                  <w:b w:val="false"/>
                  <w:color w:val="000080"/>
                  <w:sz w:val="20"/>
                  <w:u w:val="single"/>
                </w:rPr>
                <w:t xml:space="preserve"> Months Ended </w:t>
              </w:r>
            </w:hyperlink>
            <w:hyperlink w:anchor="i0b407145ac9c4c18b8db2c18055b1105_22">
              <w:r>
                <w:rPr>
                  <w:rStyle w:val="InternetLink"/>
                  <w:rFonts w:ascii="Arial Narrow;sans-serif" w:hAnsi="Arial Narrow;sans-serif"/>
                  <w:b w:val="false"/>
                  <w:color w:val="000080"/>
                  <w:sz w:val="20"/>
                  <w:u w:val="single"/>
                </w:rPr>
                <w:t>June</w:t>
              </w:r>
            </w:hyperlink>
            <w:hyperlink w:anchor="i0b407145ac9c4c18b8db2c18055b1105_22">
              <w:r>
                <w:rPr>
                  <w:rStyle w:val="InternetLink"/>
                  <w:rFonts w:ascii="Arial Narrow;sans-serif" w:hAnsi="Arial Narrow;sans-serif"/>
                  <w:b w:val="false"/>
                  <w:color w:val="000080"/>
                  <w:sz w:val="20"/>
                  <w:u w:val="single"/>
                </w:rPr>
                <w:t xml:space="preserve"> 3</w:t>
              </w:r>
            </w:hyperlink>
            <w:hyperlink w:anchor="i0b407145ac9c4c18b8db2c18055b1105_22">
              <w:r>
                <w:rPr>
                  <w:rStyle w:val="InternetLink"/>
                  <w:rFonts w:ascii="Arial Narrow;sans-serif" w:hAnsi="Arial Narrow;sans-serif"/>
                  <w:b w:val="false"/>
                  <w:color w:val="000080"/>
                  <w:sz w:val="20"/>
                  <w:u w:val="single"/>
                </w:rPr>
                <w:t>0</w:t>
              </w:r>
            </w:hyperlink>
            <w:hyperlink w:anchor="i0b407145ac9c4c18b8db2c18055b1105_22">
              <w:r>
                <w:rPr>
                  <w:rStyle w:val="InternetLink"/>
                  <w:rFonts w:ascii="Arial Narrow;sans-serif" w:hAnsi="Arial Narrow;sans-serif"/>
                  <w:b w:val="false"/>
                  <w:color w:val="000080"/>
                  <w:sz w:val="20"/>
                  <w:u w:val="single"/>
                </w:rPr>
                <w:t>, 2025 and 2024</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22">
              <w:r>
                <w:rPr>
                  <w:rStyle w:val="InternetLink"/>
                  <w:rFonts w:ascii="Arial Narrow;sans-serif" w:hAnsi="Arial Narrow;sans-serif"/>
                  <w:b w:val="false"/>
                  <w:color w:val="0000FF"/>
                  <w:sz w:val="20"/>
                  <w:u w:val="single"/>
                </w:rPr>
                <w:t>3</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25">
              <w:r>
                <w:rPr>
                  <w:rStyle w:val="InternetLink"/>
                  <w:rFonts w:ascii="Arial Narrow;sans-serif" w:hAnsi="Arial Narrow;sans-serif"/>
                  <w:b w:val="false"/>
                  <w:color w:val="000080"/>
                  <w:sz w:val="20"/>
                  <w:u w:val="single"/>
                </w:rPr>
                <w:t xml:space="preserve">Condensed Consolidated Statements of Stockholders’ Equity for the Periods Ended </w:t>
              </w:r>
            </w:hyperlink>
            <w:hyperlink w:anchor="i0b407145ac9c4c18b8db2c18055b1105_25">
              <w:r>
                <w:rPr>
                  <w:rStyle w:val="InternetLink"/>
                  <w:rFonts w:ascii="Arial Narrow;sans-serif" w:hAnsi="Arial Narrow;sans-serif"/>
                  <w:b w:val="false"/>
                  <w:color w:val="000080"/>
                  <w:sz w:val="20"/>
                  <w:u w:val="single"/>
                </w:rPr>
                <w:t>June</w:t>
              </w:r>
            </w:hyperlink>
            <w:r>
              <w:rPr>
                <w:color w:val="000000"/>
              </w:rPr>
              <w:t xml:space="preserve"> </w:t>
            </w:r>
            <w:hyperlink w:anchor="i0b407145ac9c4c18b8db2c18055b1105_22">
              <w:r>
                <w:rPr>
                  <w:rStyle w:val="InternetLink"/>
                  <w:rFonts w:ascii="Arial Narrow;sans-serif" w:hAnsi="Arial Narrow;sans-serif"/>
                  <w:b w:val="false"/>
                  <w:color w:val="000080"/>
                  <w:sz w:val="20"/>
                  <w:u w:val="single"/>
                </w:rPr>
                <w:t>3</w:t>
              </w:r>
            </w:hyperlink>
            <w:hyperlink w:anchor="i0b407145ac9c4c18b8db2c18055b1105_22">
              <w:r>
                <w:rPr>
                  <w:rStyle w:val="InternetLink"/>
                  <w:rFonts w:ascii="Arial Narrow;sans-serif" w:hAnsi="Arial Narrow;sans-serif"/>
                  <w:b w:val="false"/>
                  <w:color w:val="000080"/>
                  <w:sz w:val="20"/>
                  <w:u w:val="single"/>
                </w:rPr>
                <w:t>0</w:t>
              </w:r>
            </w:hyperlink>
            <w:hyperlink w:anchor="i0b407145ac9c4c18b8db2c18055b1105_22">
              <w:r>
                <w:rPr>
                  <w:rStyle w:val="InternetLink"/>
                  <w:rFonts w:ascii="Arial Narrow;sans-serif" w:hAnsi="Arial Narrow;sans-serif"/>
                  <w:b w:val="false"/>
                  <w:color w:val="000080"/>
                  <w:sz w:val="20"/>
                  <w:u w:val="single"/>
                </w:rPr>
                <w:t>, 2025 and 2024</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25">
              <w:r>
                <w:rPr>
                  <w:rStyle w:val="InternetLink"/>
                  <w:rFonts w:ascii="Arial Narrow;sans-serif" w:hAnsi="Arial Narrow;sans-serif"/>
                  <w:b w:val="false"/>
                  <w:color w:val="0000FF"/>
                  <w:sz w:val="20"/>
                  <w:u w:val="single"/>
                </w:rPr>
                <w:t>4</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28">
              <w:r>
                <w:rPr>
                  <w:rStyle w:val="InternetLink"/>
                  <w:rFonts w:ascii="Arial Narrow;sans-serif" w:hAnsi="Arial Narrow;sans-serif"/>
                  <w:b w:val="false"/>
                  <w:color w:val="000080"/>
                  <w:sz w:val="20"/>
                  <w:u w:val="single"/>
                </w:rPr>
                <w:t xml:space="preserve">Condensed Consolidated Statements of Cash Flows for the </w:t>
              </w:r>
            </w:hyperlink>
            <w:hyperlink w:anchor="i0b407145ac9c4c18b8db2c18055b1105_28">
              <w:r>
                <w:rPr>
                  <w:rStyle w:val="InternetLink"/>
                  <w:rFonts w:ascii="Arial Narrow;sans-serif" w:hAnsi="Arial Narrow;sans-serif"/>
                  <w:b w:val="false"/>
                  <w:color w:val="000080"/>
                  <w:sz w:val="20"/>
                  <w:u w:val="single"/>
                </w:rPr>
                <w:t>Nine</w:t>
              </w:r>
            </w:hyperlink>
            <w:hyperlink w:anchor="i0b407145ac9c4c18b8db2c18055b1105_28">
              <w:r>
                <w:rPr>
                  <w:rStyle w:val="InternetLink"/>
                  <w:rFonts w:ascii="Arial Narrow;sans-serif" w:hAnsi="Arial Narrow;sans-serif"/>
                  <w:b w:val="false"/>
                  <w:color w:val="000080"/>
                  <w:sz w:val="20"/>
                  <w:u w:val="single"/>
                </w:rPr>
                <w:t xml:space="preserve"> Months Ended </w:t>
              </w:r>
            </w:hyperlink>
            <w:hyperlink w:anchor="i0b407145ac9c4c18b8db2c18055b1105_28">
              <w:r>
                <w:rPr>
                  <w:rStyle w:val="InternetLink"/>
                  <w:rFonts w:ascii="Arial Narrow;sans-serif" w:hAnsi="Arial Narrow;sans-serif"/>
                  <w:b w:val="false"/>
                  <w:color w:val="000080"/>
                  <w:sz w:val="20"/>
                  <w:u w:val="single"/>
                </w:rPr>
                <w:t>June</w:t>
              </w:r>
            </w:hyperlink>
            <w:hyperlink w:anchor="i0b407145ac9c4c18b8db2c18055b1105_28">
              <w:r>
                <w:rPr>
                  <w:rStyle w:val="InternetLink"/>
                  <w:rFonts w:ascii="Arial Narrow;sans-serif" w:hAnsi="Arial Narrow;sans-serif"/>
                  <w:b w:val="false"/>
                  <w:color w:val="000080"/>
                  <w:sz w:val="20"/>
                  <w:u w:val="single"/>
                </w:rPr>
                <w:t xml:space="preserve"> 3</w:t>
              </w:r>
            </w:hyperlink>
            <w:hyperlink w:anchor="i0b407145ac9c4c18b8db2c18055b1105_28">
              <w:r>
                <w:rPr>
                  <w:rStyle w:val="InternetLink"/>
                  <w:rFonts w:ascii="Arial Narrow;sans-serif" w:hAnsi="Arial Narrow;sans-serif"/>
                  <w:b w:val="false"/>
                  <w:color w:val="000080"/>
                  <w:sz w:val="20"/>
                  <w:u w:val="single"/>
                </w:rPr>
                <w:t>0</w:t>
              </w:r>
            </w:hyperlink>
            <w:hyperlink w:anchor="i0b407145ac9c4c18b8db2c18055b1105_28">
              <w:r>
                <w:rPr>
                  <w:rStyle w:val="InternetLink"/>
                  <w:rFonts w:ascii="Arial Narrow;sans-serif" w:hAnsi="Arial Narrow;sans-serif"/>
                  <w:b w:val="false"/>
                  <w:color w:val="000080"/>
                  <w:sz w:val="20"/>
                  <w:u w:val="single"/>
                </w:rPr>
                <w:t>, 2025 and 2024</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28">
              <w:r>
                <w:rPr>
                  <w:rStyle w:val="InternetLink"/>
                  <w:rFonts w:ascii="Arial Narrow;sans-serif" w:hAnsi="Arial Narrow;sans-serif"/>
                  <w:b w:val="false"/>
                  <w:color w:val="0000FF"/>
                  <w:sz w:val="20"/>
                  <w:u w:val="single"/>
                </w:rPr>
                <w:t>5</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31">
              <w:r>
                <w:rPr>
                  <w:rStyle w:val="InternetLink"/>
                  <w:rFonts w:ascii="Arial Narrow;sans-serif" w:hAnsi="Arial Narrow;sans-serif"/>
                  <w:b w:val="false"/>
                  <w:color w:val="0000FF"/>
                  <w:sz w:val="20"/>
                  <w:u w:val="single"/>
                </w:rPr>
                <w:t>Notes to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31">
              <w:r>
                <w:rPr>
                  <w:rStyle w:val="InternetLink"/>
                  <w:rFonts w:ascii="Arial Narrow;sans-serif" w:hAnsi="Arial Narrow;sans-serif"/>
                  <w:b w:val="false"/>
                  <w:color w:val="0000FF"/>
                  <w:sz w:val="20"/>
                  <w:u w:val="single"/>
                </w:rPr>
                <w:t>6</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34">
              <w:r>
                <w:rPr>
                  <w:rStyle w:val="InternetLink"/>
                  <w:rFonts w:ascii="Arial Narrow;sans-serif" w:hAnsi="Arial Narrow;sans-serif"/>
                  <w:b w:val="false"/>
                  <w:color w:val="0000FF"/>
                  <w:sz w:val="20"/>
                  <w:u w:val="single"/>
                </w:rPr>
                <w:t>Note 1: Organization and Summary of Significant Accounting Policies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34">
              <w:r>
                <w:rPr>
                  <w:rStyle w:val="InternetLink"/>
                  <w:rFonts w:ascii="Arial Narrow;sans-serif" w:hAnsi="Arial Narrow;sans-serif"/>
                  <w:b w:val="false"/>
                  <w:color w:val="0000FF"/>
                  <w:sz w:val="20"/>
                  <w:u w:val="single"/>
                </w:rPr>
                <w:t>6</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37">
              <w:r>
                <w:rPr>
                  <w:rStyle w:val="InternetLink"/>
                  <w:rFonts w:ascii="Arial Narrow;sans-serif" w:hAnsi="Arial Narrow;sans-serif"/>
                  <w:b w:val="false"/>
                  <w:color w:val="0000FF"/>
                  <w:sz w:val="20"/>
                  <w:u w:val="single"/>
                </w:rPr>
                <w:t>Note 2: Acquisitions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37">
              <w:r>
                <w:rPr>
                  <w:rStyle w:val="InternetLink"/>
                  <w:rFonts w:ascii="Arial Narrow;sans-serif" w:hAnsi="Arial Narrow;sans-serif"/>
                  <w:b w:val="false"/>
                  <w:color w:val="0000FF"/>
                  <w:sz w:val="20"/>
                  <w:u w:val="single"/>
                </w:rPr>
                <w:t>8</w:t>
              </w:r>
            </w:hyperlink>
          </w:p>
        </w:tc>
      </w:tr>
      <w:tr>
        <w:trPr/>
        <w:tc>
          <w:tcPr>
            <w:tcW w:w="923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46">
              <w:r>
                <w:rPr>
                  <w:rStyle w:val="InternetLink"/>
                  <w:rFonts w:ascii="Arial Narrow;sans-serif" w:hAnsi="Arial Narrow;sans-serif"/>
                  <w:b w:val="false"/>
                  <w:color w:val="000080"/>
                  <w:sz w:val="20"/>
                  <w:u w:val="single"/>
                </w:rPr>
                <w:t xml:space="preserve">Note </w:t>
              </w:r>
            </w:hyperlink>
            <w:hyperlink w:anchor="i0b407145ac9c4c18b8db2c18055b1105_46">
              <w:r>
                <w:rPr>
                  <w:rStyle w:val="InternetLink"/>
                  <w:rFonts w:ascii="Arial Narrow;sans-serif" w:hAnsi="Arial Narrow;sans-serif"/>
                  <w:b w:val="false"/>
                  <w:color w:val="000080"/>
                  <w:sz w:val="20"/>
                  <w:u w:val="single"/>
                </w:rPr>
                <w:t>3</w:t>
              </w:r>
            </w:hyperlink>
            <w:hyperlink w:anchor="i0b407145ac9c4c18b8db2c18055b1105_46">
              <w:r>
                <w:rPr>
                  <w:rStyle w:val="InternetLink"/>
                  <w:rFonts w:ascii="Arial Narrow;sans-serif" w:hAnsi="Arial Narrow;sans-serif"/>
                  <w:b w:val="false"/>
                  <w:color w:val="000080"/>
                  <w:sz w:val="20"/>
                  <w:u w:val="single"/>
                </w:rPr>
                <w:t>: Goodwill</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46">
              <w:r>
                <w:rPr>
                  <w:rStyle w:val="InternetLink"/>
                  <w:rFonts w:ascii="Arial Narrow;sans-serif" w:hAnsi="Arial Narrow;sans-serif"/>
                  <w:b w:val="false"/>
                  <w:color w:val="0000FF"/>
                  <w:sz w:val="20"/>
                  <w:u w:val="single"/>
                </w:rPr>
                <w:t>9</w:t>
              </w:r>
            </w:hyperlink>
          </w:p>
        </w:tc>
      </w:tr>
      <w:tr>
        <w:trPr/>
        <w:tc>
          <w:tcPr>
            <w:tcW w:w="923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64">
              <w:r>
                <w:rPr>
                  <w:rStyle w:val="InternetLink"/>
                  <w:rFonts w:ascii="Arial Narrow;sans-serif" w:hAnsi="Arial Narrow;sans-serif"/>
                  <w:b w:val="false"/>
                  <w:color w:val="000080"/>
                  <w:sz w:val="20"/>
                  <w:u w:val="single"/>
                </w:rPr>
                <w:t xml:space="preserve">Note </w:t>
              </w:r>
            </w:hyperlink>
            <w:hyperlink w:anchor="i0b407145ac9c4c18b8db2c18055b1105_64">
              <w:r>
                <w:rPr>
                  <w:rStyle w:val="InternetLink"/>
                  <w:rFonts w:ascii="Arial Narrow;sans-serif" w:hAnsi="Arial Narrow;sans-serif"/>
                  <w:b w:val="false"/>
                  <w:color w:val="000080"/>
                  <w:sz w:val="20"/>
                  <w:u w:val="single"/>
                </w:rPr>
                <w:t>4</w:t>
              </w:r>
            </w:hyperlink>
            <w:hyperlink w:anchor="i0b407145ac9c4c18b8db2c18055b1105_64">
              <w:r>
                <w:rPr>
                  <w:rStyle w:val="InternetLink"/>
                  <w:rFonts w:ascii="Arial Narrow;sans-serif" w:hAnsi="Arial Narrow;sans-serif"/>
                  <w:b w:val="false"/>
                  <w:color w:val="000080"/>
                  <w:sz w:val="20"/>
                  <w:u w:val="single"/>
                </w:rPr>
                <w:t>: Earnings Per Share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64">
              <w:r>
                <w:rPr>
                  <w:rStyle w:val="InternetLink"/>
                  <w:rFonts w:ascii="Arial Narrow;sans-serif" w:hAnsi="Arial Narrow;sans-serif"/>
                  <w:b w:val="false"/>
                  <w:color w:val="0000FF"/>
                  <w:sz w:val="20"/>
                  <w:u w:val="single"/>
                </w:rPr>
                <w:t>10</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73">
              <w:r>
                <w:rPr>
                  <w:rStyle w:val="InternetLink"/>
                  <w:rFonts w:ascii="Arial Narrow;sans-serif" w:hAnsi="Arial Narrow;sans-serif"/>
                  <w:b w:val="false"/>
                  <w:color w:val="000080"/>
                  <w:sz w:val="20"/>
                  <w:u w:val="single"/>
                </w:rPr>
                <w:t xml:space="preserve">Note </w:t>
              </w:r>
            </w:hyperlink>
            <w:hyperlink w:anchor="i0b407145ac9c4c18b8db2c18055b1105_73">
              <w:r>
                <w:rPr>
                  <w:rStyle w:val="InternetLink"/>
                  <w:rFonts w:ascii="Arial Narrow;sans-serif" w:hAnsi="Arial Narrow;sans-serif"/>
                  <w:b w:val="false"/>
                  <w:color w:val="000080"/>
                  <w:sz w:val="20"/>
                  <w:u w:val="single"/>
                </w:rPr>
                <w:t>5</w:t>
              </w:r>
            </w:hyperlink>
            <w:hyperlink w:anchor="i0b407145ac9c4c18b8db2c18055b1105_73">
              <w:r>
                <w:rPr>
                  <w:rStyle w:val="InternetLink"/>
                  <w:rFonts w:ascii="Arial Narrow;sans-serif" w:hAnsi="Arial Narrow;sans-serif"/>
                  <w:b w:val="false"/>
                  <w:color w:val="000080"/>
                  <w:sz w:val="20"/>
                  <w:u w:val="single"/>
                </w:rPr>
                <w:t>: Leases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73">
              <w:r>
                <w:rPr>
                  <w:rStyle w:val="InternetLink"/>
                  <w:rFonts w:ascii="Arial Narrow;sans-serif" w:hAnsi="Arial Narrow;sans-serif"/>
                  <w:b w:val="false"/>
                  <w:color w:val="0000FF"/>
                  <w:sz w:val="20"/>
                  <w:u w:val="single"/>
                </w:rPr>
                <w:t>11</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76">
              <w:r>
                <w:rPr>
                  <w:rStyle w:val="InternetLink"/>
                  <w:rFonts w:ascii="Arial Narrow;sans-serif" w:hAnsi="Arial Narrow;sans-serif"/>
                  <w:b w:val="false"/>
                  <w:color w:val="000080"/>
                  <w:sz w:val="20"/>
                  <w:u w:val="single"/>
                </w:rPr>
                <w:t xml:space="preserve">Note </w:t>
              </w:r>
            </w:hyperlink>
            <w:hyperlink w:anchor="i0b407145ac9c4c18b8db2c18055b1105_76">
              <w:r>
                <w:rPr>
                  <w:rStyle w:val="InternetLink"/>
                  <w:rFonts w:ascii="Arial Narrow;sans-serif" w:hAnsi="Arial Narrow;sans-serif"/>
                  <w:b w:val="false"/>
                  <w:color w:val="000080"/>
                  <w:sz w:val="20"/>
                  <w:u w:val="single"/>
                </w:rPr>
                <w:t>6</w:t>
              </w:r>
            </w:hyperlink>
            <w:hyperlink w:anchor="i0b407145ac9c4c18b8db2c18055b1105_76">
              <w:r>
                <w:rPr>
                  <w:rStyle w:val="InternetLink"/>
                  <w:rFonts w:ascii="Arial Narrow;sans-serif" w:hAnsi="Arial Narrow;sans-serif"/>
                  <w:b w:val="false"/>
                  <w:color w:val="000080"/>
                  <w:sz w:val="20"/>
                  <w:u w:val="single"/>
                </w:rPr>
                <w:t>: Strategic Investments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76">
              <w:r>
                <w:rPr>
                  <w:rStyle w:val="InternetLink"/>
                  <w:rFonts w:ascii="Arial Narrow;sans-serif" w:hAnsi="Arial Narrow;sans-serif"/>
                  <w:b w:val="false"/>
                  <w:color w:val="0000FF"/>
                  <w:sz w:val="20"/>
                  <w:u w:val="single"/>
                </w:rPr>
                <w:t>12</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79">
              <w:r>
                <w:rPr>
                  <w:rStyle w:val="InternetLink"/>
                  <w:rFonts w:ascii="Arial Narrow;sans-serif" w:hAnsi="Arial Narrow;sans-serif"/>
                  <w:b w:val="false"/>
                  <w:color w:val="000080"/>
                  <w:sz w:val="20"/>
                  <w:u w:val="single"/>
                </w:rPr>
                <w:t xml:space="preserve">Note </w:t>
              </w:r>
            </w:hyperlink>
            <w:hyperlink w:anchor="i0b407145ac9c4c18b8db2c18055b1105_79">
              <w:r>
                <w:rPr>
                  <w:rStyle w:val="InternetLink"/>
                  <w:rFonts w:ascii="Arial Narrow;sans-serif" w:hAnsi="Arial Narrow;sans-serif"/>
                  <w:b w:val="false"/>
                  <w:color w:val="000080"/>
                  <w:sz w:val="20"/>
                  <w:u w:val="single"/>
                </w:rPr>
                <w:t>7</w:t>
              </w:r>
            </w:hyperlink>
            <w:hyperlink w:anchor="i0b407145ac9c4c18b8db2c18055b1105_79">
              <w:r>
                <w:rPr>
                  <w:rStyle w:val="InternetLink"/>
                  <w:rFonts w:ascii="Arial Narrow;sans-serif" w:hAnsi="Arial Narrow;sans-serif"/>
                  <w:b w:val="false"/>
                  <w:color w:val="000080"/>
                  <w:sz w:val="20"/>
                  <w:u w:val="single"/>
                </w:rPr>
                <w:t>: Fair Value Measurements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79">
              <w:r>
                <w:rPr>
                  <w:rStyle w:val="InternetLink"/>
                  <w:rFonts w:ascii="Arial Narrow;sans-serif" w:hAnsi="Arial Narrow;sans-serif"/>
                  <w:b w:val="false"/>
                  <w:color w:val="0000FF"/>
                  <w:sz w:val="20"/>
                  <w:u w:val="single"/>
                </w:rPr>
                <w:t>13</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82">
              <w:r>
                <w:rPr>
                  <w:rStyle w:val="InternetLink"/>
                  <w:rFonts w:ascii="Arial Narrow;sans-serif" w:hAnsi="Arial Narrow;sans-serif"/>
                  <w:b w:val="false"/>
                  <w:color w:val="000080"/>
                  <w:sz w:val="20"/>
                  <w:u w:val="single"/>
                </w:rPr>
                <w:t xml:space="preserve">Note </w:t>
              </w:r>
            </w:hyperlink>
            <w:hyperlink w:anchor="i0b407145ac9c4c18b8db2c18055b1105_82">
              <w:r>
                <w:rPr>
                  <w:rStyle w:val="InternetLink"/>
                  <w:rFonts w:ascii="Arial Narrow;sans-serif" w:hAnsi="Arial Narrow;sans-serif"/>
                  <w:b w:val="false"/>
                  <w:color w:val="000080"/>
                  <w:sz w:val="20"/>
                  <w:u w:val="single"/>
                </w:rPr>
                <w:t>8</w:t>
              </w:r>
            </w:hyperlink>
            <w:hyperlink w:anchor="i0b407145ac9c4c18b8db2c18055b1105_82">
              <w:r>
                <w:rPr>
                  <w:rStyle w:val="InternetLink"/>
                  <w:rFonts w:ascii="Arial Narrow;sans-serif" w:hAnsi="Arial Narrow;sans-serif"/>
                  <w:b w:val="false"/>
                  <w:color w:val="000080"/>
                  <w:sz w:val="20"/>
                  <w:u w:val="single"/>
                </w:rPr>
                <w:t>: Debt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82">
              <w:r>
                <w:rPr>
                  <w:rStyle w:val="InternetLink"/>
                  <w:rFonts w:ascii="Arial Narrow;sans-serif" w:hAnsi="Arial Narrow;sans-serif"/>
                  <w:b w:val="false"/>
                  <w:color w:val="0000FF"/>
                  <w:sz w:val="20"/>
                  <w:u w:val="single"/>
                </w:rPr>
                <w:t>15</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88">
              <w:r>
                <w:rPr>
                  <w:rStyle w:val="InternetLink"/>
                  <w:rFonts w:ascii="Arial Narrow;sans-serif" w:hAnsi="Arial Narrow;sans-serif"/>
                  <w:b w:val="false"/>
                  <w:color w:val="000080"/>
                  <w:sz w:val="20"/>
                  <w:u w:val="single"/>
                </w:rPr>
                <w:t xml:space="preserve">Note </w:t>
              </w:r>
            </w:hyperlink>
            <w:hyperlink w:anchor="i0b407145ac9c4c18b8db2c18055b1105_88">
              <w:r>
                <w:rPr>
                  <w:rStyle w:val="InternetLink"/>
                  <w:rFonts w:ascii="Arial Narrow;sans-serif" w:hAnsi="Arial Narrow;sans-serif"/>
                  <w:b w:val="false"/>
                  <w:color w:val="000080"/>
                  <w:sz w:val="20"/>
                  <w:u w:val="single"/>
                </w:rPr>
                <w:t>9</w:t>
              </w:r>
            </w:hyperlink>
            <w:hyperlink w:anchor="i0b407145ac9c4c18b8db2c18055b1105_88">
              <w:r>
                <w:rPr>
                  <w:rStyle w:val="InternetLink"/>
                  <w:rFonts w:ascii="Arial Narrow;sans-serif" w:hAnsi="Arial Narrow;sans-serif"/>
                  <w:b w:val="false"/>
                  <w:color w:val="000080"/>
                  <w:sz w:val="20"/>
                  <w:u w:val="single"/>
                </w:rPr>
                <w:t>: Common Stock and Stock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88">
              <w:r>
                <w:rPr>
                  <w:rStyle w:val="InternetLink"/>
                  <w:rFonts w:ascii="Arial Narrow;sans-serif" w:hAnsi="Arial Narrow;sans-serif"/>
                  <w:b w:val="false"/>
                  <w:color w:val="0000FF"/>
                  <w:sz w:val="20"/>
                  <w:u w:val="single"/>
                </w:rPr>
                <w:t>18</w:t>
              </w:r>
            </w:hyperlink>
          </w:p>
        </w:tc>
      </w:tr>
      <w:tr>
        <w:trPr/>
        <w:tc>
          <w:tcPr>
            <w:tcW w:w="923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94">
              <w:r>
                <w:rPr>
                  <w:rStyle w:val="InternetLink"/>
                  <w:rFonts w:ascii="Arial Narrow;sans-serif" w:hAnsi="Arial Narrow;sans-serif"/>
                  <w:b w:val="false"/>
                  <w:color w:val="000080"/>
                  <w:sz w:val="20"/>
                  <w:u w:val="single"/>
                </w:rPr>
                <w:t xml:space="preserve">Note </w:t>
              </w:r>
            </w:hyperlink>
            <w:hyperlink w:anchor="i0b407145ac9c4c18b8db2c18055b1105_94">
              <w:r>
                <w:rPr>
                  <w:rStyle w:val="InternetLink"/>
                  <w:rFonts w:ascii="Arial Narrow;sans-serif" w:hAnsi="Arial Narrow;sans-serif"/>
                  <w:b w:val="false"/>
                  <w:color w:val="000080"/>
                  <w:sz w:val="20"/>
                  <w:u w:val="single"/>
                </w:rPr>
                <w:t>10</w:t>
              </w:r>
            </w:hyperlink>
            <w:hyperlink w:anchor="i0b407145ac9c4c18b8db2c18055b1105_94">
              <w:r>
                <w:rPr>
                  <w:rStyle w:val="InternetLink"/>
                  <w:rFonts w:ascii="Arial Narrow;sans-serif" w:hAnsi="Arial Narrow;sans-serif"/>
                  <w:b w:val="false"/>
                  <w:color w:val="000080"/>
                  <w:sz w:val="20"/>
                  <w:u w:val="single"/>
                </w:rPr>
                <w:t>: Commitments and Contingencies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94">
              <w:r>
                <w:rPr>
                  <w:rStyle w:val="InternetLink"/>
                  <w:rFonts w:ascii="Arial Narrow;sans-serif" w:hAnsi="Arial Narrow;sans-serif"/>
                  <w:b w:val="false"/>
                  <w:color w:val="0000FF"/>
                  <w:sz w:val="20"/>
                  <w:u w:val="single"/>
                </w:rPr>
                <w:t>18</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97">
              <w:r>
                <w:rPr>
                  <w:rStyle w:val="InternetLink"/>
                  <w:rFonts w:ascii="Arial Narrow;sans-serif" w:hAnsi="Arial Narrow;sans-serif"/>
                  <w:b w:val="false"/>
                  <w:color w:val="000080"/>
                  <w:sz w:val="20"/>
                  <w:u w:val="single"/>
                </w:rPr>
                <w:t>Note 1</w:t>
              </w:r>
            </w:hyperlink>
            <w:hyperlink w:anchor="i0b407145ac9c4c18b8db2c18055b1105_97">
              <w:r>
                <w:rPr>
                  <w:rStyle w:val="InternetLink"/>
                  <w:rFonts w:ascii="Arial Narrow;sans-serif" w:hAnsi="Arial Narrow;sans-serif"/>
                  <w:b w:val="false"/>
                  <w:color w:val="000080"/>
                  <w:sz w:val="20"/>
                  <w:u w:val="single"/>
                </w:rPr>
                <w:t>1</w:t>
              </w:r>
            </w:hyperlink>
            <w:hyperlink w:anchor="i0b407145ac9c4c18b8db2c18055b1105_97">
              <w:r>
                <w:rPr>
                  <w:rStyle w:val="InternetLink"/>
                  <w:rFonts w:ascii="Arial Narrow;sans-serif" w:hAnsi="Arial Narrow;sans-serif"/>
                  <w:b w:val="false"/>
                  <w:color w:val="000080"/>
                  <w:sz w:val="20"/>
                  <w:u w:val="single"/>
                </w:rPr>
                <w:t>: Segment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97">
              <w:r>
                <w:rPr>
                  <w:rStyle w:val="InternetLink"/>
                  <w:rFonts w:ascii="Arial Narrow;sans-serif" w:hAnsi="Arial Narrow;sans-serif"/>
                  <w:b w:val="false"/>
                  <w:color w:val="0000FF"/>
                  <w:sz w:val="20"/>
                  <w:u w:val="single"/>
                </w:rPr>
                <w:t>19</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106">
              <w:r>
                <w:rPr>
                  <w:rStyle w:val="InternetLink"/>
                  <w:rFonts w:ascii="Arial Narrow;sans-serif" w:hAnsi="Arial Narrow;sans-serif"/>
                  <w:b w:val="false"/>
                  <w:color w:val="000080"/>
                  <w:sz w:val="20"/>
                  <w:u w:val="single"/>
                </w:rPr>
                <w:t>Note 1</w:t>
              </w:r>
            </w:hyperlink>
            <w:hyperlink w:anchor="i0b407145ac9c4c18b8db2c18055b1105_106">
              <w:r>
                <w:rPr>
                  <w:rStyle w:val="InternetLink"/>
                  <w:rFonts w:ascii="Arial Narrow;sans-serif" w:hAnsi="Arial Narrow;sans-serif"/>
                  <w:b w:val="false"/>
                  <w:color w:val="000080"/>
                  <w:sz w:val="20"/>
                  <w:u w:val="single"/>
                </w:rPr>
                <w:t>2</w:t>
              </w:r>
            </w:hyperlink>
            <w:hyperlink w:anchor="i0b407145ac9c4c18b8db2c18055b1105_106">
              <w:r>
                <w:rPr>
                  <w:rStyle w:val="InternetLink"/>
                  <w:rFonts w:ascii="Arial Narrow;sans-serif" w:hAnsi="Arial Narrow;sans-serif"/>
                  <w:b w:val="false"/>
                  <w:color w:val="000080"/>
                  <w:sz w:val="20"/>
                  <w:u w:val="single"/>
                </w:rPr>
                <w:t>: Supplemental Consolidated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106">
              <w:r>
                <w:rPr>
                  <w:rStyle w:val="InternetLink"/>
                  <w:rFonts w:ascii="Arial Narrow;sans-serif" w:hAnsi="Arial Narrow;sans-serif"/>
                  <w:b w:val="false"/>
                  <w:color w:val="0000FF"/>
                  <w:sz w:val="20"/>
                  <w:u w:val="single"/>
                </w:rPr>
                <w:t>22</w:t>
              </w:r>
            </w:hyperlink>
          </w:p>
        </w:tc>
      </w:tr>
      <w:tr>
        <w:trPr/>
        <w:tc>
          <w:tcPr>
            <w:tcW w:w="923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112">
              <w:r>
                <w:rPr>
                  <w:rStyle w:val="InternetLink"/>
                  <w:rFonts w:ascii="Arial Narrow;sans-serif" w:hAnsi="Arial Narrow;sans-serif"/>
                  <w:b w:val="false"/>
                  <w:color w:val="0000FF"/>
                  <w:sz w:val="20"/>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112">
              <w:r>
                <w:rPr>
                  <w:rStyle w:val="InternetLink"/>
                  <w:rFonts w:ascii="Arial Narrow;sans-serif" w:hAnsi="Arial Narrow;sans-serif"/>
                  <w:b w:val="false"/>
                  <w:color w:val="0000FF"/>
                  <w:sz w:val="20"/>
                  <w:u w:val="single"/>
                </w:rPr>
                <w:t>23</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172">
              <w:r>
                <w:rPr>
                  <w:rStyle w:val="InternetLink"/>
                  <w:rFonts w:ascii="Arial Narrow;sans-serif" w:hAnsi="Arial Narrow;sans-serif"/>
                  <w:b w:val="false"/>
                  <w:color w:val="0000FF"/>
                  <w:sz w:val="20"/>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172">
              <w:r>
                <w:rPr>
                  <w:rStyle w:val="InternetLink"/>
                  <w:rFonts w:ascii="Arial Narrow;sans-serif" w:hAnsi="Arial Narrow;sans-serif"/>
                  <w:b w:val="false"/>
                  <w:color w:val="0000FF"/>
                  <w:sz w:val="20"/>
                  <w:u w:val="single"/>
                </w:rPr>
                <w:t>35</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175">
              <w:r>
                <w:rPr>
                  <w:rStyle w:val="InternetLink"/>
                  <w:rFonts w:ascii="Arial Narrow;sans-serif" w:hAnsi="Arial Narrow;sans-serif"/>
                  <w:b w:val="false"/>
                  <w:color w:val="0000FF"/>
                  <w:sz w:val="20"/>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175">
              <w:r>
                <w:rPr>
                  <w:rStyle w:val="InternetLink"/>
                  <w:rFonts w:ascii="Arial Narrow;sans-serif" w:hAnsi="Arial Narrow;sans-serif"/>
                  <w:b w:val="false"/>
                  <w:color w:val="0000FF"/>
                  <w:sz w:val="20"/>
                  <w:u w:val="single"/>
                </w:rPr>
                <w:t>35</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178">
              <w:r>
                <w:rPr>
                  <w:rStyle w:val="InternetLink"/>
                  <w:rFonts w:ascii="Arial Narrow;sans-serif" w:hAnsi="Arial Narrow;sans-serif"/>
                  <w:b w:val="false"/>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181">
              <w:r>
                <w:rPr>
                  <w:rStyle w:val="InternetLink"/>
                  <w:rFonts w:ascii="Arial Narrow;sans-serif" w:hAnsi="Arial Narrow;sans-serif"/>
                  <w:b w:val="false"/>
                  <w:color w:val="0000FF"/>
                  <w:sz w:val="20"/>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181">
              <w:r>
                <w:rPr>
                  <w:rStyle w:val="InternetLink"/>
                  <w:rFonts w:ascii="Arial Narrow;sans-serif" w:hAnsi="Arial Narrow;sans-serif"/>
                  <w:b w:val="false"/>
                  <w:color w:val="0000FF"/>
                  <w:sz w:val="20"/>
                  <w:u w:val="single"/>
                </w:rPr>
                <w:t>36</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184">
              <w:r>
                <w:rPr>
                  <w:rStyle w:val="InternetLink"/>
                  <w:rFonts w:ascii="Arial Narrow;sans-serif" w:hAnsi="Arial Narrow;sans-serif"/>
                  <w:b w:val="false"/>
                  <w:color w:val="0000FF"/>
                  <w:sz w:val="20"/>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184">
              <w:r>
                <w:rPr>
                  <w:rStyle w:val="InternetLink"/>
                  <w:rFonts w:ascii="Arial Narrow;sans-serif" w:hAnsi="Arial Narrow;sans-serif"/>
                  <w:b w:val="false"/>
                  <w:color w:val="0000FF"/>
                  <w:sz w:val="20"/>
                  <w:u w:val="single"/>
                </w:rPr>
                <w:t>36</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187">
              <w:r>
                <w:rPr>
                  <w:rStyle w:val="InternetLink"/>
                  <w:rFonts w:ascii="Arial Narrow;sans-serif" w:hAnsi="Arial Narrow;sans-serif"/>
                  <w:b w:val="false"/>
                  <w:color w:val="0000FF"/>
                  <w:sz w:val="20"/>
                  <w:u w:val="single"/>
                </w:rPr>
                <w:t>Item 2. Unregistered Sale of Equity Security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187">
              <w:r>
                <w:rPr>
                  <w:rStyle w:val="InternetLink"/>
                  <w:rFonts w:ascii="Arial Narrow;sans-serif" w:hAnsi="Arial Narrow;sans-serif"/>
                  <w:b w:val="false"/>
                  <w:color w:val="0000FF"/>
                  <w:sz w:val="20"/>
                  <w:u w:val="single"/>
                </w:rPr>
                <w:t>37</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190">
              <w:r>
                <w:rPr>
                  <w:rStyle w:val="InternetLink"/>
                  <w:rFonts w:ascii="Arial Narrow;sans-serif" w:hAnsi="Arial Narrow;sans-serif"/>
                  <w:b w:val="false"/>
                  <w:color w:val="0000FF"/>
                  <w:sz w:val="20"/>
                  <w:u w:val="singl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190">
              <w:r>
                <w:rPr>
                  <w:rStyle w:val="InternetLink"/>
                  <w:rFonts w:ascii="Arial Narrow;sans-serif" w:hAnsi="Arial Narrow;sans-serif"/>
                  <w:b w:val="false"/>
                  <w:color w:val="0000FF"/>
                  <w:sz w:val="20"/>
                  <w:u w:val="single"/>
                </w:rPr>
                <w:t>37</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196">
              <w:r>
                <w:rPr>
                  <w:rStyle w:val="InternetLink"/>
                  <w:rFonts w:ascii="Arial Narrow;sans-serif" w:hAnsi="Arial Narrow;sans-serif"/>
                  <w:b w:val="false"/>
                  <w:color w:val="0000FF"/>
                  <w:sz w:val="20"/>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196">
              <w:r>
                <w:rPr>
                  <w:rStyle w:val="InternetLink"/>
                  <w:rFonts w:ascii="Arial Narrow;sans-serif" w:hAnsi="Arial Narrow;sans-serif"/>
                  <w:b w:val="false"/>
                  <w:color w:val="0000FF"/>
                  <w:sz w:val="20"/>
                  <w:u w:val="single"/>
                </w:rPr>
                <w:t>37</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407145ac9c4c18b8db2c18055b1105_199">
              <w:r>
                <w:rPr>
                  <w:rStyle w:val="InternetLink"/>
                  <w:rFonts w:ascii="Arial Narrow;sans-serif" w:hAnsi="Arial Narrow;sans-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407145ac9c4c18b8db2c18055b1105_199">
              <w:r>
                <w:rPr>
                  <w:rStyle w:val="InternetLink"/>
                  <w:rFonts w:ascii="Arial Narrow;sans-serif" w:hAnsi="Arial Narrow;sans-serif"/>
                  <w:b w:val="false"/>
                  <w:color w:val="0000FF"/>
                  <w:sz w:val="20"/>
                  <w:u w:val="singl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120"/>
        <w:jc w:val="center"/>
        <w:rPr>
          <w:rFonts w:ascii="Arial Narrow;sans-serif" w:hAnsi="Arial Narrow;sans-serif"/>
          <w:b/>
          <w:color w:val="000000"/>
          <w:sz w:val="20"/>
        </w:rPr>
      </w:pPr>
      <w:r>
        <w:rPr>
          <w:rFonts w:ascii="Arial Narrow;sans-serif" w:hAnsi="Arial Narrow;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 Narrow;sans-serif" w:hAnsi="Arial Narrow;sans-serif"/>
          <w:b/>
          <w:color w:val="000000"/>
          <w:sz w:val="20"/>
        </w:rPr>
      </w:pPr>
      <w:r>
        <w:rPr>
          <w:rFonts w:ascii="Arial Narrow;sans-serif" w:hAnsi="Arial Narrow;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 xml:space="preserve">EZCORP, Inc. </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BALANCE SHEETS</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15"/>
        <w:gridCol w:w="1891"/>
        <w:gridCol w:w="1898"/>
        <w:gridCol w:w="181"/>
        <w:gridCol w:w="766"/>
        <w:gridCol w:w="109"/>
        <w:gridCol w:w="109"/>
        <w:gridCol w:w="109"/>
        <w:gridCol w:w="109"/>
        <w:gridCol w:w="181"/>
        <w:gridCol w:w="766"/>
        <w:gridCol w:w="109"/>
        <w:gridCol w:w="109"/>
        <w:gridCol w:w="109"/>
        <w:gridCol w:w="109"/>
        <w:gridCol w:w="183"/>
        <w:gridCol w:w="776"/>
        <w:gridCol w:w="110"/>
        <w:gridCol w:w="109"/>
        <w:gridCol w:w="157"/>
      </w:tblGrid>
      <w:tr>
        <w:trPr/>
        <w:tc>
          <w:tcPr>
            <w:tcW w:w="2315"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share and per share amounts)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170,513 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Short-term 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274,084 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44,013 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1,087,647 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741,928 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728,998 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65,973 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235,030 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226,602 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306,478 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58,451 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Total assets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1,883,068 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1,510,163 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1,493,237 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Liabilities and equity:</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Current maturities of long-term debt, net </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85,737 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269,377 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224,256 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180,616 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708,708 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688,666 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 (Note 10)</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A Non-voting Common Stock, par value $0.01 per share; shares authorized: 100 million; issued and outstanding: 57,992,965 as of June 30, 2025; 51,771,917 as of June 30, 2024; and 51,582,698 as of September 30, 2024</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B Voting Common Stock, convertible, par value $0.01 per share; shares authorized: 3 million; issued and outstanding: 2,970,171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348,366 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586,549 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507,206 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(51,547)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equity</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990,058 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801,455 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804,571 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equity</w:t>
            </w:r>
          </w:p>
        </w:tc>
        <w:tc>
          <w:tcPr>
            <w:tcW w:w="18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1,883,068 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1,510,163 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1,493,237 </w:t>
            </w:r>
          </w:p>
        </w:tc>
        <w:tc>
          <w:tcPr>
            <w:tcW w:w="11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 xml:space="preserve">See accompanying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OPERATIONS</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p>
      <w:pPr>
        <w:pStyle w:val="TextBody"/>
        <w:bidi w:val="0"/>
        <w:spacing w:before="0" w:after="0"/>
        <w:jc w:val="center"/>
        <w:rPr/>
      </w:pPr>
      <w:r>
        <w:rPr/>
      </w:r>
    </w:p>
    <w:tbl>
      <w:tblPr>
        <w:tblW w:w="8926" w:type="dxa"/>
        <w:jc w:val="left"/>
        <w:tblInd w:w="0" w:type="dxa"/>
        <w:tblLayout w:type="fixed"/>
        <w:tblCellMar>
          <w:top w:w="28" w:type="dxa"/>
          <w:left w:w="28" w:type="dxa"/>
          <w:bottom w:w="28" w:type="dxa"/>
          <w:right w:w="28" w:type="dxa"/>
        </w:tblCellMar>
      </w:tblPr>
      <w:tblGrid>
        <w:gridCol w:w="1191"/>
        <w:gridCol w:w="1044"/>
        <w:gridCol w:w="104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09"/>
        <w:gridCol w:w="109"/>
        <w:gridCol w:w="109"/>
        <w:gridCol w:w="109"/>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Three Months Ended</w:t>
            </w:r>
          </w:p>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Nine Months Ended</w:t>
            </w:r>
          </w:p>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 except per share amount)</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937,467 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867,051 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547,495 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506,892 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352,101 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Basic earnings per share </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Diluted earnings per share </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basic shares outstanding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diluted shares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COMPREHENSIVE INCOME</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12"/>
        <w:gridCol w:w="1574"/>
        <w:gridCol w:w="1589"/>
        <w:gridCol w:w="109"/>
        <w:gridCol w:w="109"/>
        <w:gridCol w:w="109"/>
        <w:gridCol w:w="109"/>
        <w:gridCol w:w="119"/>
        <w:gridCol w:w="119"/>
        <w:gridCol w:w="198"/>
        <w:gridCol w:w="626"/>
        <w:gridCol w:w="119"/>
        <w:gridCol w:w="109"/>
        <w:gridCol w:w="109"/>
        <w:gridCol w:w="109"/>
        <w:gridCol w:w="181"/>
        <w:gridCol w:w="571"/>
        <w:gridCol w:w="109"/>
        <w:gridCol w:w="109"/>
        <w:gridCol w:w="109"/>
        <w:gridCol w:w="109"/>
        <w:gridCol w:w="181"/>
        <w:gridCol w:w="571"/>
        <w:gridCol w:w="109"/>
        <w:gridCol w:w="109"/>
        <w:gridCol w:w="109"/>
        <w:gridCol w:w="109"/>
        <w:gridCol w:w="181"/>
        <w:gridCol w:w="571"/>
        <w:gridCol w:w="158"/>
      </w:tblGrid>
      <w:tr>
        <w:trPr/>
        <w:tc>
          <w:tcPr>
            <w:tcW w:w="1812"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1237" w:type="dxa"/>
            <w:gridSpan w:val="6"/>
            <w:tcBorders/>
          </w:tcPr>
          <w:p>
            <w:pPr>
              <w:pStyle w:val="TableContents"/>
              <w:bidi w:val="0"/>
              <w:spacing w:before="0" w:after="283"/>
              <w:jc w:val="left"/>
              <w:rPr>
                <w:sz w:val="4"/>
                <w:szCs w:val="4"/>
              </w:rPr>
            </w:pPr>
            <w:r>
              <w:rPr>
                <w:sz w:val="4"/>
                <w:szCs w:val="4"/>
              </w:rPr>
            </w:r>
          </w:p>
        </w:tc>
      </w:tr>
      <w:tr>
        <w:trPr/>
        <w:tc>
          <w:tcPr>
            <w:tcW w:w="4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adjustment, net of income tax (benefit) expense for our investment in unconsolidated affiliate of $19 and $(101) for the three months ended June 30, 2025, and 2024, respectively and $180 and $(60) for the nine months ended June 30, 2025, and 2024,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(7,903)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4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4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4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4975"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Comprehensive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6"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39,311 </w:t>
            </w:r>
          </w:p>
        </w:tc>
        <w:tc>
          <w:tcPr>
            <w:tcW w:w="119"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957 </w:t>
            </w:r>
          </w:p>
        </w:tc>
        <w:tc>
          <w:tcPr>
            <w:tcW w:w="109"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89,282 </w:t>
            </w:r>
          </w:p>
        </w:tc>
        <w:tc>
          <w:tcPr>
            <w:tcW w:w="109"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59,996 </w:t>
            </w:r>
          </w:p>
        </w:tc>
        <w:tc>
          <w:tcPr>
            <w:tcW w:w="158"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STOCKHOLDERS’ EQUITY</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tbl>
      <w:tblPr>
        <w:tblW w:w="10205" w:type="dxa"/>
        <w:jc w:val="left"/>
        <w:tblInd w:w="0" w:type="dxa"/>
        <w:tblLayout w:type="fixed"/>
        <w:tblCellMar>
          <w:top w:w="28" w:type="dxa"/>
          <w:left w:w="28" w:type="dxa"/>
          <w:bottom w:w="28" w:type="dxa"/>
          <w:right w:w="28" w:type="dxa"/>
        </w:tblCellMar>
      </w:tblPr>
      <w:tblGrid>
        <w:gridCol w:w="779"/>
        <w:gridCol w:w="549"/>
        <w:gridCol w:w="551"/>
        <w:gridCol w:w="285"/>
        <w:gridCol w:w="286"/>
        <w:gridCol w:w="191"/>
        <w:gridCol w:w="109"/>
        <w:gridCol w:w="109"/>
        <w:gridCol w:w="109"/>
        <w:gridCol w:w="204"/>
        <w:gridCol w:w="423"/>
        <w:gridCol w:w="124"/>
        <w:gridCol w:w="109"/>
        <w:gridCol w:w="109"/>
        <w:gridCol w:w="109"/>
        <w:gridCol w:w="181"/>
        <w:gridCol w:w="646"/>
        <w:gridCol w:w="109"/>
        <w:gridCol w:w="109"/>
        <w:gridCol w:w="109"/>
        <w:gridCol w:w="109"/>
        <w:gridCol w:w="181"/>
        <w:gridCol w:w="646"/>
        <w:gridCol w:w="109"/>
        <w:gridCol w:w="109"/>
        <w:gridCol w:w="109"/>
        <w:gridCol w:w="109"/>
        <w:gridCol w:w="270"/>
        <w:gridCol w:w="852"/>
        <w:gridCol w:w="163"/>
        <w:gridCol w:w="109"/>
        <w:gridCol w:w="109"/>
        <w:gridCol w:w="109"/>
        <w:gridCol w:w="109"/>
        <w:gridCol w:w="109"/>
        <w:gridCol w:w="109"/>
        <w:gridCol w:w="109"/>
        <w:gridCol w:w="109"/>
        <w:gridCol w:w="109"/>
        <w:gridCol w:w="251"/>
        <w:gridCol w:w="897"/>
        <w:gridCol w:w="219"/>
      </w:tblGrid>
      <w:tr>
        <w:trPr/>
        <w:tc>
          <w:tcPr>
            <w:tcW w:w="77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w:t>
              <w:br/>
              <w:t>Other</w:t>
              <w:br/>
              <w:t>Comprehensive Loss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Stockholders’ Equity</w:t>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w:t>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2024</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54,553 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507,206 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(51,547)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804,571 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loss</w:t>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(7,319)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(7,319)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31,016</w:t>
            </w:r>
          </w:p>
        </w:tc>
      </w:tr>
      <w:tr>
        <w:trPr/>
        <w:tc>
          <w:tcPr>
            <w:tcW w:w="1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December 31, 2024</w:t>
            </w:r>
          </w:p>
        </w:tc>
        <w:tc>
          <w:tcPr>
            <w:tcW w:w="7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(58,866)</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823,894 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76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2,404</w:t>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gain</w:t>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884</w:t>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(997)</w:t>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25,390</w:t>
            </w:r>
          </w:p>
        </w:tc>
      </w:tr>
      <w:tr>
        <w:trPr/>
        <w:tc>
          <w:tcPr>
            <w:tcW w:w="1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March 31, 2025</w:t>
            </w:r>
          </w:p>
        </w:tc>
        <w:tc>
          <w:tcPr>
            <w:tcW w:w="7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55,014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(57,982)</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851,575 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76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4,212 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4,212 </w:t>
            </w:r>
          </w:p>
        </w:tc>
        <w:tc>
          <w:tcPr>
            <w:tcW w:w="2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Settlement of convertible notes due 2025</w:t>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96,963 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gain</w:t>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June 30, 2025</w:t>
            </w:r>
          </w:p>
        </w:tc>
        <w:tc>
          <w:tcPr>
            <w:tcW w:w="762"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60,963</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610 </w:t>
            </w:r>
          </w:p>
        </w:tc>
        <w:tc>
          <w:tcPr>
            <w:tcW w:w="1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448,073 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586,549 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(45,174)</w:t>
            </w:r>
          </w:p>
        </w:tc>
        <w:tc>
          <w:tcPr>
            <w:tcW w:w="1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990,058 </w:t>
            </w:r>
          </w:p>
        </w:tc>
        <w:tc>
          <w:tcPr>
            <w:tcW w:w="2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9"/>
        <w:gridCol w:w="549"/>
        <w:gridCol w:w="551"/>
        <w:gridCol w:w="285"/>
        <w:gridCol w:w="286"/>
        <w:gridCol w:w="191"/>
        <w:gridCol w:w="109"/>
        <w:gridCol w:w="109"/>
        <w:gridCol w:w="109"/>
        <w:gridCol w:w="204"/>
        <w:gridCol w:w="423"/>
        <w:gridCol w:w="124"/>
        <w:gridCol w:w="109"/>
        <w:gridCol w:w="109"/>
        <w:gridCol w:w="109"/>
        <w:gridCol w:w="181"/>
        <w:gridCol w:w="646"/>
        <w:gridCol w:w="109"/>
        <w:gridCol w:w="109"/>
        <w:gridCol w:w="109"/>
        <w:gridCol w:w="109"/>
        <w:gridCol w:w="181"/>
        <w:gridCol w:w="646"/>
        <w:gridCol w:w="109"/>
        <w:gridCol w:w="109"/>
        <w:gridCol w:w="109"/>
        <w:gridCol w:w="109"/>
        <w:gridCol w:w="270"/>
        <w:gridCol w:w="852"/>
        <w:gridCol w:w="163"/>
        <w:gridCol w:w="109"/>
        <w:gridCol w:w="109"/>
        <w:gridCol w:w="109"/>
        <w:gridCol w:w="109"/>
        <w:gridCol w:w="109"/>
        <w:gridCol w:w="109"/>
        <w:gridCol w:w="109"/>
        <w:gridCol w:w="109"/>
        <w:gridCol w:w="109"/>
        <w:gridCol w:w="251"/>
        <w:gridCol w:w="897"/>
        <w:gridCol w:w="219"/>
      </w:tblGrid>
      <w:tr>
        <w:trPr/>
        <w:tc>
          <w:tcPr>
            <w:tcW w:w="77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w:t>
              <w:br/>
              <w:t>Other</w:t>
              <w:b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Stockholders’ Equity</w:t>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w:t>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3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2023</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54,840 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(32,102)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745,768 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gain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4,633 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28,470 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December 31, 2023</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55,243 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457,929 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(27,469)</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774,883 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57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2,580 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2,580 </w:t>
            </w:r>
          </w:p>
        </w:tc>
        <w:tc>
          <w:tcPr>
            <w:tcW w:w="21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gain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4,457 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21,479 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March 31, 2024</w:t>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55,027 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551 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345,174 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477,683 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(23,012)</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800,396 </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762"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3,101 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3,101 </w:t>
            </w:r>
          </w:p>
        </w:tc>
        <w:tc>
          <w:tcPr>
            <w:tcW w:w="21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loss</w:t>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(16,993)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(16,993)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June 30, 2024</w:t>
            </w:r>
          </w:p>
        </w:tc>
        <w:tc>
          <w:tcPr>
            <w:tcW w:w="762"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54,742</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548 </w:t>
            </w:r>
          </w:p>
        </w:tc>
        <w:tc>
          <w:tcPr>
            <w:tcW w:w="1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347,082 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493,830 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(40,005)</w:t>
            </w:r>
          </w:p>
        </w:tc>
        <w:tc>
          <w:tcPr>
            <w:tcW w:w="16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801,455 </w:t>
            </w:r>
          </w:p>
        </w:tc>
        <w:tc>
          <w:tcPr>
            <w:tcW w:w="2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ind w:left="0" w:right="0" w:firstLine="72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CASH FLOWS</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tbl>
      <w:tblPr>
        <w:tblW w:w="7568" w:type="dxa"/>
        <w:jc w:val="left"/>
        <w:tblInd w:w="0" w:type="dxa"/>
        <w:tblLayout w:type="fixed"/>
        <w:tblCellMar>
          <w:top w:w="28" w:type="dxa"/>
          <w:left w:w="28" w:type="dxa"/>
          <w:bottom w:w="28" w:type="dxa"/>
          <w:right w:w="28" w:type="dxa"/>
        </w:tblCellMar>
      </w:tblPr>
      <w:tblGrid>
        <w:gridCol w:w="1926"/>
        <w:gridCol w:w="1697"/>
        <w:gridCol w:w="1701"/>
        <w:gridCol w:w="181"/>
        <w:gridCol w:w="646"/>
        <w:gridCol w:w="109"/>
        <w:gridCol w:w="109"/>
        <w:gridCol w:w="109"/>
        <w:gridCol w:w="109"/>
        <w:gridCol w:w="181"/>
        <w:gridCol w:w="646"/>
        <w:gridCol w:w="154"/>
      </w:tblGrid>
      <w:tr>
        <w:trPr/>
        <w:tc>
          <w:tcPr>
            <w:tcW w:w="1926"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flows from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Provision for inventory reserve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from investment in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business acquisitions: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other current assets and 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(65,396)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70,264 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made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(738,670)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(683,121)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repaid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417,734 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Recovery of pawn loan principal through sale of forfeited collateral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291,903 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 net of cash acquired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notes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unconsolidated affiliate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other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from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(59,234)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issuance of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issuance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on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of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cash provided by (used in) financing activities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in cash, cash equivalents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end of period</w:t>
            </w:r>
          </w:p>
        </w:tc>
        <w:tc>
          <w:tcPr>
            <w:tcW w:w="18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487,077 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227,242 </w:t>
            </w:r>
          </w:p>
        </w:tc>
        <w:tc>
          <w:tcPr>
            <w:tcW w:w="15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497F"/>
          <w:sz w:val="28"/>
        </w:rPr>
        <w:t xml:space="preserve">Notes to Condensed Consolidated Financial Statements </w:t>
        <w:br/>
      </w:r>
      <w:r>
        <w:rPr>
          <w:rFonts w:ascii="Arial Narrow;sans-serif" w:hAnsi="Arial Narrow;sans-serif"/>
          <w:b/>
          <w:color w:val="00497F"/>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Arial Narrow;sans-serif" w:hAnsi="Arial Narrow;sans-serif"/>
          <w:b/>
          <w:color w:val="00497F"/>
          <w:sz w:val="28"/>
        </w:rPr>
        <w:t>NOTE 1: ORGANIZATION AND SUMMARY OF SIGNIFICANT ACCOUNTING POLICIES</w:t>
      </w:r>
      <w:r>
        <w:rPr>
          <w:color w:val="000000"/>
        </w:rPr>
        <w:t xml:space="preserve">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Description of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EZCORP, Inc. (collectively with its subsidiaries, the “Company,” “we,” “us,” or “our”) is a provider of pawn loans in the United States (“U.S.”) and Latin America. Pawn loans are non-recourse loans collateralized by tangible property. We also sell merchandise, primarily collateral forfeited from pawn lending operations and pre-owned merchandise purchased from customers.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Basis of Presentation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accompanying interim unaudited condensed consolidated financial statements (“Condensed Consolidated Financial Statements”) have been prepared in accordance with U.S. generally accepted accounting principles (“U.S. GAAP”) for interim financial information and with the instructions to Form 10-Q and Article 10-01 of Regulation S-X. Accordingly, they do not include all of the information and footnotes required by U.S. GAAP for complete financial statements.</w:t>
      </w:r>
    </w:p>
    <w:p>
      <w:pPr>
        <w:pStyle w:val="TextBody"/>
        <w:bidi w:val="0"/>
        <w:spacing w:lineRule="auto" w:line="288" w:before="180" w:after="283"/>
        <w:jc w:val="left"/>
        <w:rPr/>
      </w:pPr>
      <w:r>
        <w:rPr>
          <w:rFonts w:ascii="Arial Narrow;sans-serif" w:hAnsi="Arial Narrow;sans-serif"/>
          <w:b w:val="false"/>
          <w:color w:val="000000"/>
          <w:sz w:val="20"/>
        </w:rPr>
        <w:t xml:space="preserve">These Condensed Consolidated Financial Statements should be read in conjunction with the audited consolidated financial statements and related notes contained in our </w:t>
      </w:r>
      <w:hyperlink r:id="rId3">
        <w:r>
          <w:rPr>
            <w:rStyle w:val="InternetLink"/>
            <w:rFonts w:ascii="Arial Narrow;sans-serif" w:hAnsi="Arial Narrow;sans-serif"/>
            <w:b w:val="false"/>
            <w:strike w:val="false"/>
            <w:dstrike w:val="false"/>
            <w:color w:val="000000"/>
            <w:sz w:val="20"/>
            <w:u w:val="none"/>
            <w:effect w:val="none"/>
          </w:rPr>
          <w:t xml:space="preserve">Annual Report on Form 10-K for the year ended September 30, </w:t>
        </w:r>
      </w:hyperlink>
      <w:r>
        <w:rPr>
          <w:rFonts w:ascii="Arial Narrow;sans-serif" w:hAnsi="Arial Narrow;sans-serif"/>
          <w:b w:val="false"/>
          <w:color w:val="000000"/>
          <w:sz w:val="20"/>
        </w:rPr>
        <w:t>2024, filed with the Securities and Exchange Commission (“SEC”) on November 13, 2024 (“2024 Annual Report”).</w:t>
      </w:r>
    </w:p>
    <w:p>
      <w:pPr>
        <w:pStyle w:val="TextBody"/>
        <w:bidi w:val="0"/>
        <w:spacing w:lineRule="auto" w:line="288" w:before="180" w:after="283"/>
        <w:jc w:val="left"/>
        <w:rPr/>
      </w:pPr>
      <w:r>
        <w:rPr>
          <w:rFonts w:ascii="Arial Narrow;sans-serif" w:hAnsi="Arial Narrow;sans-serif"/>
          <w:b w:val="false"/>
          <w:color w:val="000000"/>
          <w:sz w:val="20"/>
        </w:rPr>
        <w:t xml:space="preserve">In the opinion of management, the accompanying Condensed Consolidated Financial Statements include all adjustments, consisting of normal recurring adjustments, considered necessary for a fair presentation. Financial results for the three and nine month periods ended June 30, 2025, are not necessarily indicative of results that may be expected for the fiscal year ending September 30, 2025 or any other period due, in part, to seasonal variations. There have been no changes that have had a material impact in significant accounting policies as described in our 2024 </w:t>
      </w:r>
      <w:hyperlink r:id="rId4">
        <w:r>
          <w:rPr>
            <w:rStyle w:val="InternetLink"/>
            <w:rFonts w:ascii="Arial Narrow;sans-serif" w:hAnsi="Arial Narrow;sans-serif"/>
            <w:b w:val="false"/>
            <w:strike w:val="false"/>
            <w:dstrike w:val="false"/>
            <w:color w:val="000000"/>
            <w:sz w:val="20"/>
            <w:u w:val="none"/>
            <w:effect w:val="none"/>
          </w:rPr>
          <w:t>Annual Report</w:t>
        </w:r>
      </w:hyperlink>
      <w:r>
        <w:rPr>
          <w:rFonts w:ascii="Arial Narrow;sans-serif" w:hAnsi="Arial Narrow;sans-serif"/>
          <w:b w:val="false"/>
          <w:color w:val="000000"/>
          <w:sz w:val="20"/>
        </w:rPr>
        <w: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Principles of Consolidation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accompanying Condensed Consolidated Financial Statements include the accounts of EZCORP, Inc. and its wholly-owned subsidiaries. We use the equity method of accounting for entities in which we have a 50% or less investment and exercise significant influence. We account for equity investments for which we do not have significant influence and without readily determinable fair values at cost with adjustments for observable changes in price in orderly transactions for identical or similar investments of the same issuer or impairments. All inter-company accounts and transactions have been eliminated in consolidation. </w:t>
      </w:r>
    </w:p>
    <w:p>
      <w:pPr>
        <w:pStyle w:val="TextBody"/>
        <w:bidi w:val="0"/>
        <w:spacing w:lineRule="auto" w:line="288" w:before="180" w:after="283"/>
        <w:jc w:val="left"/>
        <w:rPr/>
      </w:pPr>
      <w:r>
        <w:rPr>
          <w:rFonts w:ascii="Arial Narrow;sans-serif" w:hAnsi="Arial Narrow;sans-serif"/>
          <w:b/>
          <w:color w:val="000000"/>
          <w:sz w:val="20"/>
        </w:rPr>
        <w:t>Use of Estimates and Assumptions</w:t>
      </w:r>
      <w:r>
        <w:rPr>
          <w:color w:val="000000"/>
        </w:rPr>
        <w:t xml:space="preser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the determination of inventory reserves, expected credit losses, useful lives of long-lived and intangible assets, valuation of share-based compensation, valuation of equity investments, valuation of deferred tax assets and liabilities, loss contingencies related to litigation and discount rates used for operating leases. We base our estimates on historical experience, observable trends and various other assumptions we believe are reasonable. Actual results may differ materially from these estimates under different assumptions or conditions.</w:t>
      </w:r>
    </w:p>
    <w:p>
      <w:pPr>
        <w:pStyle w:val="TextBody"/>
        <w:bidi w:val="0"/>
        <w:spacing w:lineRule="auto" w:line="288" w:before="180" w:after="180"/>
        <w:jc w:val="left"/>
        <w:rPr>
          <w:rFonts w:ascii="Arial Narrow;sans-serif" w:hAnsi="Arial Narrow;sans-serif"/>
          <w:b/>
          <w:color w:val="000000"/>
          <w:sz w:val="20"/>
        </w:rPr>
      </w:pPr>
      <w:r>
        <w:rPr>
          <w:rFonts w:ascii="Arial Narrow;sans-serif" w:hAnsi="Arial Narrow;sans-serif"/>
          <w:b/>
          <w:color w:val="000000"/>
          <w:sz w:val="20"/>
        </w:rPr>
        <w:t>Merchandise Sales Revenues Recognition</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Customer layaway deposits are recorded as liabilities when a customer provides a deposit for merchandise. Upon cancellation, customer layaway deposits are generally refundable, less a cancellation fee, via credit slip. Our customer layaway deposits balance as of June 30, 2025, 2024 and September 30, 2024 was $33.3 million, $20.1 million and $21.6 million, respectively, and are generally recognized as revenues within a one-year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180"/>
        <w:jc w:val="left"/>
        <w:rPr>
          <w:rFonts w:ascii="Arial Narrow;sans-serif" w:hAnsi="Arial Narrow;sans-serif"/>
          <w:b/>
          <w:color w:val="000000"/>
          <w:sz w:val="20"/>
        </w:rPr>
      </w:pPr>
      <w:r>
        <w:rPr>
          <w:rFonts w:ascii="Arial Narrow;sans-serif" w:hAnsi="Arial Narrow;sans-serif"/>
          <w:b/>
          <w:color w:val="000000"/>
          <w:sz w:val="20"/>
        </w:rPr>
        <w:t>Recently Issued Accounting Pronouncements</w:t>
      </w:r>
    </w:p>
    <w:p>
      <w:pPr>
        <w:pStyle w:val="TextBody"/>
        <w:bidi w:val="0"/>
        <w:spacing w:lineRule="auto" w:line="288" w:before="180" w:after="283"/>
        <w:jc w:val="left"/>
        <w:rPr/>
      </w:pPr>
      <w:r>
        <w:rPr>
          <w:rFonts w:ascii="Arial Narrow;sans-serif" w:hAnsi="Arial Narrow;sans-serif"/>
          <w:b w:val="false"/>
          <w:color w:val="000000"/>
          <w:sz w:val="20"/>
        </w:rPr>
        <w:t xml:space="preserve">In October 2023, the Financial Accounting Standards Board (“FASB”) issued Accounting Standards Update (“ASU”) 2023-06, </w:t>
      </w:r>
      <w:r>
        <w:rPr>
          <w:rFonts w:ascii="Arial Narrow;sans-serif" w:hAnsi="Arial Narrow;sans-serif"/>
          <w:b w:val="false"/>
          <w:i/>
          <w:color w:val="000000"/>
          <w:sz w:val="20"/>
        </w:rPr>
        <w:t xml:space="preserve">Disclosure Improvements - Codification Amendments in Response to the SEC’s Disclosure Update and Simplification Initiative </w:t>
      </w:r>
      <w:r>
        <w:rPr>
          <w:rFonts w:ascii="Arial Narrow;sans-serif" w:hAnsi="Arial Narrow;sans-serif"/>
          <w:b w:val="false"/>
          <w:color w:val="000000"/>
          <w:sz w:val="20"/>
        </w:rPr>
        <w:t>(“ASU 2023-06”). ASU 2023-06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 of this standard on our consolidated financial statements and related disclosures.</w:t>
      </w:r>
    </w:p>
    <w:p>
      <w:pPr>
        <w:pStyle w:val="TextBody"/>
        <w:bidi w:val="0"/>
        <w:spacing w:lineRule="auto" w:line="288" w:before="180" w:after="283"/>
        <w:jc w:val="left"/>
        <w:rPr/>
      </w:pPr>
      <w:r>
        <w:rPr>
          <w:rFonts w:ascii="Arial Narrow;sans-serif" w:hAnsi="Arial Narrow;sans-serif"/>
          <w:b w:val="false"/>
          <w:color w:val="000000"/>
          <w:sz w:val="20"/>
        </w:rPr>
        <w:t xml:space="preserve">In November 2023, the FASB issued ASU 2023-07, Segment Reporting (Topic 280): </w:t>
      </w:r>
      <w:r>
        <w:rPr>
          <w:rFonts w:ascii="Arial Narrow;sans-serif" w:hAnsi="Arial Narrow;sans-serif"/>
          <w:b w:val="false"/>
          <w:i/>
          <w:color w:val="000000"/>
          <w:sz w:val="20"/>
        </w:rPr>
        <w:t>Improvements to Reportable Segment Disclosures</w:t>
      </w:r>
      <w:r>
        <w:rPr>
          <w:color w:val="000000"/>
        </w:rPr>
        <w:t xml:space="preserve"> </w:t>
      </w:r>
      <w:r>
        <w:rPr>
          <w:rFonts w:ascii="Arial Narrow;sans-serif" w:hAnsi="Arial Narrow;sans-serif"/>
          <w:b w:val="false"/>
          <w:color w:val="000000"/>
          <w:sz w:val="20"/>
        </w:rPr>
        <w:t>(“ASU 2023-07”). ASU 2023-07 requires disclosure of significant segment expenses regularly provided to the chief operating decision maker (“CODM”) included within segment operating profit or loss. Additionally, the ASU requires a description of how the CODM utilizes segment operating profit or loss to assess segment performance. The requirements of ASU 2023-07 are effective for the Company for fiscal years beginning after December 15, 2023, and interim periods within fiscal years beginning after December 15, 2024. Early adoption is permitted, and retrospective application is required for all periods presented. The adoption of this ASU is expected to only impact disclosures with respect to the Company’s consolidated financial statements.</w:t>
      </w:r>
    </w:p>
    <w:p>
      <w:pPr>
        <w:pStyle w:val="TextBody"/>
        <w:bidi w:val="0"/>
        <w:spacing w:lineRule="auto" w:line="288" w:before="180" w:after="283"/>
        <w:jc w:val="left"/>
        <w:rPr/>
      </w:pPr>
      <w:r>
        <w:rPr>
          <w:rFonts w:ascii="Arial Narrow;sans-serif" w:hAnsi="Arial Narrow;sans-serif"/>
          <w:b w:val="false"/>
          <w:color w:val="000000"/>
          <w:sz w:val="20"/>
        </w:rPr>
        <w:t xml:space="preserve">In December 2023, the FASB issued ASU 2023-09, </w:t>
      </w:r>
      <w:r>
        <w:rPr>
          <w:rFonts w:ascii="Arial Narrow;sans-serif" w:hAnsi="Arial Narrow;sans-serif"/>
          <w:b w:val="false"/>
          <w:i/>
          <w:color w:val="000000"/>
          <w:sz w:val="20"/>
        </w:rPr>
        <w:t xml:space="preserve">Income Taxes (Topic 740): Improvements to Income Tax Disclosures </w:t>
      </w:r>
      <w:r>
        <w:rPr>
          <w:rFonts w:ascii="Arial Narrow;sans-serif" w:hAnsi="Arial Narrow;sans-serif"/>
          <w:b w:val="false"/>
          <w:color w:val="000000"/>
          <w:sz w:val="20"/>
        </w:rPr>
        <w:t>(“ASU 2023-09”). ASU 2023-09 requires disclosure of specific categories and disaggregation of information in the rate reconciliation table. The ASU also requires disclosure of disaggregated information related to income taxes paid, income or loss from continuing operations before income tax expense or benefit and income tax expense or benefit from continuing operations. The requirements of this ASU 2023-09 are effective for the Company for fiscal years beginning after December 15, 2024. Early adoption is permitted, and the amendments should be applied on a prospective basis. Retrospective application is permitted. The adoption of this ASU is expected to only impact disclosures with respect to the Company’s consolidated financial statements.</w:t>
      </w:r>
    </w:p>
    <w:p>
      <w:pPr>
        <w:pStyle w:val="TextBody"/>
        <w:bidi w:val="0"/>
        <w:spacing w:lineRule="auto" w:line="288" w:before="180" w:after="283"/>
        <w:jc w:val="left"/>
        <w:rPr/>
      </w:pPr>
      <w:r>
        <w:rPr>
          <w:rFonts w:ascii="Arial Narrow;sans-serif" w:hAnsi="Arial Narrow;sans-serif"/>
          <w:b w:val="false"/>
          <w:color w:val="000000"/>
          <w:sz w:val="20"/>
        </w:rPr>
        <w:t>In March 2024, the FASB issued ASU 2024-02,</w:t>
      </w:r>
      <w:r>
        <w:rPr>
          <w:color w:val="000000"/>
        </w:rPr>
        <w:t xml:space="preserve"> </w:t>
      </w:r>
      <w:r>
        <w:rPr>
          <w:rFonts w:ascii="Arial Narrow;sans-serif" w:hAnsi="Arial Narrow;sans-serif"/>
          <w:b w:val="false"/>
          <w:i/>
          <w:color w:val="000000"/>
          <w:sz w:val="20"/>
        </w:rPr>
        <w:t xml:space="preserve">Codification Improvements—Amendments to Remove References to the Concepts Statements </w:t>
      </w:r>
      <w:r>
        <w:rPr>
          <w:rFonts w:ascii="Arial Narrow;sans-serif" w:hAnsi="Arial Narrow;sans-serif"/>
          <w:b w:val="false"/>
          <w:color w:val="000000"/>
          <w:sz w:val="20"/>
        </w:rPr>
        <w:t>(“ASU 2024-02”). ASU 2024-02 contains amendments to the Codification that remove references to various FASB Concepts Statements. The requirements of this ASU 2024-02 are effective for the Company for fiscal years beginning after December 15, 2024 and can be applied on a prospective or retrospective basis. This standard is not expected to have a significant impact on our consolidated financial statements and related disclosures.</w:t>
      </w:r>
    </w:p>
    <w:p>
      <w:pPr>
        <w:pStyle w:val="TextBody"/>
        <w:bidi w:val="0"/>
        <w:spacing w:lineRule="auto" w:line="288" w:before="180" w:after="283"/>
        <w:jc w:val="left"/>
        <w:rPr/>
      </w:pPr>
      <w:r>
        <w:rPr>
          <w:rFonts w:ascii="Arial Narrow;sans-serif" w:hAnsi="Arial Narrow;sans-serif"/>
          <w:b w:val="false"/>
          <w:color w:val="000000"/>
          <w:sz w:val="20"/>
        </w:rPr>
        <w:t>In November 2024, the FASB issued ASU 2024-03,</w:t>
      </w:r>
      <w:r>
        <w:rPr>
          <w:color w:val="000000"/>
        </w:rPr>
        <w:t xml:space="preserve"> </w:t>
      </w:r>
      <w:r>
        <w:rPr>
          <w:rFonts w:ascii="Arial Narrow;sans-serif" w:hAnsi="Arial Narrow;sans-serif"/>
          <w:b w:val="false"/>
          <w:i/>
          <w:color w:val="000000"/>
          <w:sz w:val="20"/>
        </w:rPr>
        <w:t xml:space="preserve">Income Statement—Reporting Comprehensive Income—Expense Disaggregation Disclosures (Subtopic 220-40): Disaggregation of Income Statement Expenses </w:t>
      </w:r>
      <w:r>
        <w:rPr>
          <w:rFonts w:ascii="Arial Narrow;sans-serif" w:hAnsi="Arial Narrow;sans-serif"/>
          <w:b w:val="false"/>
          <w:color w:val="000000"/>
          <w:sz w:val="20"/>
        </w:rPr>
        <w:t>(“ASU 2024-03”). Additionally, in January 2025, the FASB issued ASU 2025-01 to clarify the effective date of ASU 2024-03. ASU 2024-03 requires disclosure in the notes to the financial statements of specified information about certain costs and expenses. The requirements of ASU 2024-03 are effective for the Company for fiscal years beginning after December 15, 2026 and interim periods within fiscal years beginning after December 15, 2027. Early adoption is permitted and should be applied either prospectively to financial statements issued for reporting periods after the effective date of this ASU or retrospectively to any or all periods presented in the financial statements. We are currently evaluating the impact of this standard on our consolidated financial statements and related disclosures.</w:t>
      </w:r>
    </w:p>
    <w:p>
      <w:pPr>
        <w:pStyle w:val="TextBody"/>
        <w:bidi w:val="0"/>
        <w:spacing w:lineRule="auto" w:line="288" w:before="180" w:after="283"/>
        <w:jc w:val="left"/>
        <w:rPr/>
      </w:pPr>
      <w:r>
        <w:rPr>
          <w:rFonts w:ascii="Arial Narrow;sans-serif" w:hAnsi="Arial Narrow;sans-serif"/>
          <w:b w:val="false"/>
          <w:color w:val="000000"/>
          <w:sz w:val="20"/>
        </w:rPr>
        <w:t xml:space="preserve">In November 2024, the FASB issued ASU 2024-04, </w:t>
      </w:r>
      <w:r>
        <w:rPr>
          <w:rFonts w:ascii="Arial Narrow;sans-serif" w:hAnsi="Arial Narrow;sans-serif"/>
          <w:b w:val="false"/>
          <w:i/>
          <w:color w:val="000000"/>
          <w:sz w:val="20"/>
        </w:rPr>
        <w:t xml:space="preserve">Debt - Debt with Conversions and Other Options (Subtopic 470-20): Induced Conversions of Convertible Debt Instruments </w:t>
      </w:r>
      <w:r>
        <w:rPr>
          <w:rFonts w:ascii="Arial Narrow;sans-serif" w:hAnsi="Arial Narrow;sans-serif"/>
          <w:b w:val="false"/>
          <w:color w:val="000000"/>
          <w:sz w:val="20"/>
        </w:rPr>
        <w:t>(“ASU 2024-04”). ASU 2024-04 clarifies the requirements for determining whether certain settlements of convertible debt instruments, including convertible debt instruments with cash conversion features or convertible debt instruments that are not currently convertible, should be accounted for as an induced conversion. The requirements of ASU 2024-04 are effective for the Company for fiscal years beginning after December 15, 2025, and interim periods within those periods. Early adoption is permitted for all entities that have adopted the amendments in ASU 2020-06 and can be applied on a prospective or retrospective basis. We are currently evaluating the impact of this standard on our consolidated financial statements and related disclosures.</w:t>
      </w:r>
    </w:p>
    <w:p>
      <w:pPr>
        <w:pStyle w:val="TextBody"/>
        <w:bidi w:val="0"/>
        <w:spacing w:lineRule="auto" w:line="288" w:before="180" w:after="283"/>
        <w:jc w:val="left"/>
        <w:rPr/>
      </w:pPr>
      <w:r>
        <w:rPr>
          <w:rFonts w:ascii="Arial Narrow;sans-serif" w:hAnsi="Arial Narrow;sans-serif"/>
          <w:b w:val="false"/>
          <w:color w:val="000000"/>
          <w:sz w:val="20"/>
        </w:rPr>
        <w:t xml:space="preserve">In May 2025, the FASB issued ASU 2025-03, </w:t>
      </w:r>
      <w:r>
        <w:rPr>
          <w:rFonts w:ascii="Arial Narrow;sans-serif" w:hAnsi="Arial Narrow;sans-serif"/>
          <w:b w:val="false"/>
          <w:i/>
          <w:color w:val="000000"/>
          <w:sz w:val="20"/>
        </w:rPr>
        <w:t>Business Combinations (Topic 805) and Consolidation (Topic 810): Determining the Accounting Acquirer in the Acquisition of a Variable Interest Entity</w:t>
      </w:r>
      <w:r>
        <w:rPr>
          <w:color w:val="000000"/>
        </w:rPr>
        <w:t xml:space="preserve"> </w:t>
      </w:r>
      <w:r>
        <w:rPr>
          <w:rFonts w:ascii="Arial Narrow;sans-serif" w:hAnsi="Arial Narrow;sans-serif"/>
          <w:b w:val="false"/>
          <w:color w:val="000000"/>
          <w:sz w:val="20"/>
        </w:rPr>
        <w:t>(“ASU 2025-03”). ASU 2025-03 revises current guidance for determining the accounting acquirer for a transaction effected primarily by exchanging equity interests in which the legal acquiree is a variable interest entity that meets the definition of a business. The amendments require that an entity consider the same factors that are currently required for determining which entity is the accounting acquirer in other acquisition transactions. The requirements of ASU 2025-03 are effective for the Company for fiscal years beginning after December 15, 2026, and interim periods within those periods. Early adoption is permitted as of the beginning of an interim or annual reporting period. We are currently evaluating the impact of this standard on our consolidated financial statements and related disclosures.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July 2025, the One Big Beautiful Bill Act (OBBBA) was signed into law. This legislation includes changes to the United States federal tax law, which may be subject to further clarification and the issuance of interpretive guidance. We are currently evaluating the impact of the legislation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2: ACQUISITIONS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June 17, 2025, we acquired 40 pawn stores across 13 states in Mexico from Monte Primavera, S.A. de C.V. and Valuer, S.A. de C.V. The stores, operating under the names “Monte Providencia” and “Tu Empeño Efectivo,” offer traditional pawn loans, as well as auto pawn transactions, some of which are in stand-alone auto pawn stores. At closing, the Company also assumed management of 7 additional stores. We now operate a total of 1,336 pawn stores, 791 of which are in Latin America, including 604 in Mexico.</w:t>
      </w:r>
    </w:p>
    <w:p>
      <w:pPr>
        <w:pStyle w:val="TextBody"/>
        <w:bidi w:val="0"/>
        <w:spacing w:before="0" w:after="0"/>
        <w:jc w:val="left"/>
        <w:rPr/>
      </w:pPr>
      <w:r>
        <w:rPr/>
      </w:r>
    </w:p>
    <w:p>
      <w:pPr>
        <w:pStyle w:val="TextBody"/>
        <w:bidi w:val="0"/>
        <w:spacing w:lineRule="auto" w:line="276" w:before="0" w:after="0"/>
        <w:jc w:val="left"/>
        <w:rPr>
          <w:rFonts w:ascii="Arial Narrow;sans-serif" w:hAnsi="Arial Narrow;sans-serif"/>
          <w:b w:val="false"/>
          <w:color w:val="000000"/>
          <w:sz w:val="20"/>
        </w:rPr>
      </w:pPr>
      <w:r>
        <w:rPr>
          <w:rFonts w:ascii="Arial Narrow;sans-serif" w:hAnsi="Arial Narrow;sans-serif"/>
          <w:b w:val="false"/>
          <w:color w:val="000000"/>
          <w:sz w:val="20"/>
        </w:rPr>
        <w:t>At the time of acquisition, the total consideration was $20.3 million in cash, of which $6.4 million was held back for standard indemnification purposes and for later acquisition of the 7 managed stores. Approximately $5.4 million of the retained payment is expected to be paid over the next five years and is included in long-term restricted cash and the associated consideration payable is included in other long-term liabilities on our condensed consolidated balance sheet as of June 30, 2025. The remaining $1.0 million is expected to be paid in our next fiscal quarter and is included in cash and cash equivalents and the associated consideration payable is included in accounts payable, accrued expenses and other current liabilities on our condensed consolidated balance sheet as of June 30,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transaction qualifies as a business combination under ASC 805 due to the acquisition of an integrated set of inputs and processes that are capable of generating outputs. Although the transaction includes tangible assets such as loans and inventory, the inclusion of operating infrastructure, licenses, and a functioning workforce supports the conclusion that a business, rather than a group of assets, was acquired.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assets acquired and liabilities assumed are based upon the fair values at the date of acquisition. The excess purchase price over the estimated fair market value of the net assets acquired has been recorded as goodwill. The estimated fair value of Pawn Loans and Inventory assumed are provisional, as the Company is gathering additional information to finalize the valuation of pawn loans and completing final inventory counts. Any changes identified during the measurement period will be recorded as adjustments to the assets acquired, liabilities assumed, or 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preliminary purchase price allocation is as follows (in thousands):</w:t>
      </w:r>
    </w:p>
    <w:tbl>
      <w:tblPr>
        <w:tblW w:w="3931" w:type="dxa"/>
        <w:jc w:val="left"/>
        <w:tblInd w:w="0" w:type="dxa"/>
        <w:tblLayout w:type="fixed"/>
        <w:tblCellMar>
          <w:top w:w="28" w:type="dxa"/>
          <w:left w:w="28" w:type="dxa"/>
          <w:bottom w:w="28" w:type="dxa"/>
          <w:right w:w="28" w:type="dxa"/>
        </w:tblCellMar>
      </w:tblPr>
      <w:tblGrid>
        <w:gridCol w:w="1021"/>
        <w:gridCol w:w="897"/>
        <w:gridCol w:w="901"/>
        <w:gridCol w:w="109"/>
        <w:gridCol w:w="109"/>
        <w:gridCol w:w="109"/>
        <w:gridCol w:w="214"/>
        <w:gridCol w:w="398"/>
        <w:gridCol w:w="173"/>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5,878 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4,487 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11,556 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(4,463)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consideration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20,307 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(6,380)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13,927</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factors contributing to the recognition of goodwill, which is recorded in our Latin America Pawn segment, were based on several strategic benefits we expect to realize from the acquisition, including expansion of our store base and the ability to further leverage our pawn expertise. We expect none of the goodwill resulting from this business combination will be deductible for income tax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results of this acquisition have been included in our condensed consolidated financial statements from June 17, 2025 through June 30, 2025, and are reported in our Latin America Pawn segment. The acquired business contributed revenues of $0.7 million and net income of $0.2 million to us for the period from June 17, 2025 to June 30, 2025.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three and nine months ended June 30, 2025, we incurred total acquisition costs of $0.3 million. The acquisition costs were primarily related to legal, accounting and consulting services, were expensed as incurred through June 30, 2025 and are included in general and administrative expenses in the consolidated statements of operations.</w:t>
      </w:r>
    </w:p>
    <w:p>
      <w:pPr>
        <w:pStyle w:val="TextBody"/>
        <w:bidi w:val="0"/>
        <w:spacing w:lineRule="auto" w:line="288" w:before="180" w:after="283"/>
        <w:jc w:val="left"/>
        <w:rPr>
          <w:rFonts w:ascii="Arial Narrow;sans-serif" w:hAnsi="Arial Narrow;sans-serif"/>
          <w:b/>
          <w:color w:val="252525"/>
          <w:sz w:val="20"/>
        </w:rPr>
      </w:pPr>
      <w:r>
        <w:rPr>
          <w:rFonts w:ascii="Arial Narrow;sans-serif" w:hAnsi="Arial Narrow;sans-serif"/>
          <w:b/>
          <w:color w:val="252525"/>
          <w:sz w:val="20"/>
        </w:rPr>
        <w:t>Unaudited Supplementary Pro Forma Financial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unaudited pro forma summary presents consolidated information for us as if the business combination had occurred on October 1, 2023. The pro forma information is not necessarily indicative of our results of operations had the acquisitions been completed on the above date, nor is it necessarily indicative of our future results. The pro forma information does not reflect any cost savings from operating efficiencies or synergies that could result from the acquisitions, nor does it reflect additional revenues opportunities following the acquisition. The pro forma adjustments reflected in the table below are subject to change as additional analysis is performed.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tbl>
      <w:tblPr>
        <w:tblW w:w="7500" w:type="dxa"/>
        <w:jc w:val="left"/>
        <w:tblInd w:w="0" w:type="dxa"/>
        <w:tblLayout w:type="fixed"/>
        <w:tblCellMar>
          <w:top w:w="28" w:type="dxa"/>
          <w:left w:w="28" w:type="dxa"/>
          <w:bottom w:w="28" w:type="dxa"/>
          <w:right w:w="28" w:type="dxa"/>
        </w:tblCellMar>
      </w:tblPr>
      <w:tblGrid>
        <w:gridCol w:w="990"/>
        <w:gridCol w:w="868"/>
        <w:gridCol w:w="872"/>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54"/>
      </w:tblGrid>
      <w:tr>
        <w:trPr/>
        <w:tc>
          <w:tcPr>
            <w:tcW w:w="99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June 30,</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per share amounts)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315,820 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952,039 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882,443 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did not have any material, nonrecurring pro forma adjustments directly attributable to the business combination included in the reported pro forma net revenues and net income. These pro forma amounts have been calculated after applying the Company’s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3: GOODWILL</w:t>
      </w:r>
    </w:p>
    <w:p>
      <w:pPr>
        <w:pStyle w:val="TextBody"/>
        <w:bidi w:val="0"/>
        <w:spacing w:lineRule="auto" w:line="288" w:before="180" w:after="180"/>
        <w:jc w:val="both"/>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following table summarizes the changes in the carrying amount of goodwill by segment and in total:</w:t>
      </w:r>
    </w:p>
    <w:tbl>
      <w:tblPr>
        <w:tblW w:w="7140" w:type="dxa"/>
        <w:jc w:val="left"/>
        <w:tblInd w:w="0" w:type="dxa"/>
        <w:tblLayout w:type="fixed"/>
        <w:tblCellMar>
          <w:top w:w="28" w:type="dxa"/>
          <w:left w:w="28" w:type="dxa"/>
          <w:bottom w:w="28" w:type="dxa"/>
          <w:right w:w="28" w:type="dxa"/>
        </w:tblCellMar>
      </w:tblPr>
      <w:tblGrid>
        <w:gridCol w:w="1079"/>
        <w:gridCol w:w="951"/>
        <w:gridCol w:w="954"/>
        <w:gridCol w:w="181"/>
        <w:gridCol w:w="646"/>
        <w:gridCol w:w="109"/>
        <w:gridCol w:w="109"/>
        <w:gridCol w:w="109"/>
        <w:gridCol w:w="109"/>
        <w:gridCol w:w="315"/>
        <w:gridCol w:w="995"/>
        <w:gridCol w:w="190"/>
        <w:gridCol w:w="109"/>
        <w:gridCol w:w="109"/>
        <w:gridCol w:w="109"/>
        <w:gridCol w:w="196"/>
        <w:gridCol w:w="701"/>
        <w:gridCol w:w="16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 2025</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2024</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42,050 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306,478 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Acquisitions</w:t>
            </w:r>
            <w:r>
              <w:rPr>
                <w:rFonts w:ascii="Arial Narrow;sans-serif" w:hAnsi="Arial Narrow;sans-serif"/>
                <w:b w:val="false"/>
                <w:color w:val="000000"/>
                <w:sz w:val="12"/>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11,556 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foreign currency translation changes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June 30, 2025</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266,759 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55,148 </w:t>
            </w:r>
          </w:p>
        </w:tc>
        <w:tc>
          <w:tcPr>
            <w:tcW w:w="19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321,907 </w:t>
            </w:r>
          </w:p>
        </w:tc>
        <w:tc>
          <w:tcPr>
            <w:tcW w:w="16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both"/>
        <w:rPr>
          <w:rFonts w:ascii="Arial Narrow;sans-serif" w:hAnsi="Arial Narrow;sans-serif"/>
          <w:b w:val="false"/>
          <w:color w:val="000000"/>
          <w:sz w:val="16"/>
        </w:rPr>
      </w:pPr>
      <w:r>
        <w:rPr>
          <w:rFonts w:ascii="Arial Narrow;sans-serif" w:hAnsi="Arial Narrow;sans-serif"/>
          <w:b w:val="false"/>
          <w:color w:val="000000"/>
          <w:sz w:val="16"/>
        </w:rPr>
        <w:t>(a) Amount represents goodwill recognized in connection with acquisitions within the U.S. Pawn segment that were immaterial, individually and in the aggregate, and we have therefore omitted certain disclosures.</w:t>
      </w:r>
    </w:p>
    <w:tbl>
      <w:tblPr>
        <w:tblW w:w="7140" w:type="dxa"/>
        <w:jc w:val="left"/>
        <w:tblInd w:w="0" w:type="dxa"/>
        <w:tblLayout w:type="fixed"/>
        <w:tblCellMar>
          <w:top w:w="28" w:type="dxa"/>
          <w:left w:w="28" w:type="dxa"/>
          <w:bottom w:w="28" w:type="dxa"/>
          <w:right w:w="28" w:type="dxa"/>
        </w:tblCellMar>
      </w:tblPr>
      <w:tblGrid>
        <w:gridCol w:w="1079"/>
        <w:gridCol w:w="951"/>
        <w:gridCol w:w="954"/>
        <w:gridCol w:w="181"/>
        <w:gridCol w:w="646"/>
        <w:gridCol w:w="109"/>
        <w:gridCol w:w="109"/>
        <w:gridCol w:w="109"/>
        <w:gridCol w:w="109"/>
        <w:gridCol w:w="315"/>
        <w:gridCol w:w="995"/>
        <w:gridCol w:w="190"/>
        <w:gridCol w:w="109"/>
        <w:gridCol w:w="109"/>
        <w:gridCol w:w="109"/>
        <w:gridCol w:w="196"/>
        <w:gridCol w:w="701"/>
        <w:gridCol w:w="16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 2024</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2023</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46,430 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302,372 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Acquisitions </w:t>
            </w:r>
            <w:r>
              <w:rPr>
                <w:rFonts w:ascii="Arial Narrow;sans-serif" w:hAnsi="Arial Narrow;sans-serif"/>
                <w:b w:val="false"/>
                <w:color w:val="000000"/>
                <w:sz w:val="12"/>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foreign currency translation changes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(1,854)</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Balances as of June 30, 2024</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264,271 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44,576 </w:t>
            </w:r>
          </w:p>
        </w:tc>
        <w:tc>
          <w:tcPr>
            <w:tcW w:w="19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308,847 </w:t>
            </w:r>
          </w:p>
        </w:tc>
        <w:tc>
          <w:tcPr>
            <w:tcW w:w="16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rFonts w:ascii="Arial Narrow;sans-serif" w:hAnsi="Arial Narrow;sans-serif"/>
          <w:b w:val="false"/>
          <w:color w:val="000000"/>
          <w:sz w:val="16"/>
        </w:rPr>
      </w:pPr>
      <w:r>
        <w:rPr>
          <w:rFonts w:ascii="Arial Narrow;sans-serif" w:hAnsi="Arial Narrow;sans-serif"/>
          <w:b w:val="false"/>
          <w:color w:val="000000"/>
          <w:sz w:val="16"/>
        </w:rPr>
        <w:t>(a) Amount represents goodwill recognized in connection with acquisitions within the U.S. Pawn segment that were immaterial, individually and in the aggregate, and we have therefore omitted certain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 xml:space="preserve">NOTE 4: EARNINGS PER SHARE </w:t>
      </w:r>
    </w:p>
    <w:p>
      <w:pPr>
        <w:pStyle w:val="TextBody"/>
        <w:bidi w:val="0"/>
        <w:spacing w:lineRule="auto" w:line="288" w:before="180" w:after="283"/>
        <w:jc w:val="left"/>
        <w:rPr/>
      </w:pPr>
      <w:r>
        <w:rPr>
          <w:rFonts w:ascii="Arial Narrow;sans-serif" w:hAnsi="Arial Narrow;sans-serif"/>
          <w:b w:val="false"/>
          <w:color w:val="000000"/>
          <w:sz w:val="20"/>
        </w:rPr>
        <w:t xml:space="preserve">The following table reconciles the number of common shares used to compute basic and diluted </w:t>
      </w:r>
      <w:r>
        <w:rPr>
          <w:rFonts w:ascii="Arial Narrow;sans-serif" w:hAnsi="Arial Narrow;sans-serif"/>
          <w:b w:val="false"/>
          <w:color w:val="000000"/>
          <w:sz w:val="20"/>
          <w:shd w:fill="FFFFFF" w:val="clear"/>
        </w:rPr>
        <w:t>earnings</w:t>
      </w:r>
      <w:r>
        <w:rPr>
          <w:color w:val="000000"/>
        </w:rPr>
        <w:t xml:space="preserve"> </w:t>
      </w:r>
      <w:r>
        <w:rPr>
          <w:rFonts w:ascii="Arial Narrow;sans-serif" w:hAnsi="Arial Narrow;sans-serif"/>
          <w:b w:val="false"/>
          <w:color w:val="000000"/>
          <w:sz w:val="20"/>
        </w:rPr>
        <w:t>per share attributable to EZCORP Inc., shareholders:</w:t>
      </w:r>
    </w:p>
    <w:tbl>
      <w:tblPr>
        <w:tblW w:w="10205" w:type="dxa"/>
        <w:jc w:val="left"/>
        <w:tblInd w:w="0" w:type="dxa"/>
        <w:tblLayout w:type="fixed"/>
        <w:tblCellMar>
          <w:top w:w="28" w:type="dxa"/>
          <w:left w:w="28" w:type="dxa"/>
          <w:bottom w:w="28" w:type="dxa"/>
          <w:right w:w="28" w:type="dxa"/>
        </w:tblCellMar>
      </w:tblPr>
      <w:tblGrid>
        <w:gridCol w:w="1831"/>
        <w:gridCol w:w="1561"/>
        <w:gridCol w:w="1568"/>
        <w:gridCol w:w="109"/>
        <w:gridCol w:w="109"/>
        <w:gridCol w:w="143"/>
        <w:gridCol w:w="143"/>
        <w:gridCol w:w="237"/>
        <w:gridCol w:w="750"/>
        <w:gridCol w:w="143"/>
        <w:gridCol w:w="109"/>
        <w:gridCol w:w="109"/>
        <w:gridCol w:w="109"/>
        <w:gridCol w:w="181"/>
        <w:gridCol w:w="571"/>
        <w:gridCol w:w="109"/>
        <w:gridCol w:w="109"/>
        <w:gridCol w:w="109"/>
        <w:gridCol w:w="109"/>
        <w:gridCol w:w="181"/>
        <w:gridCol w:w="571"/>
        <w:gridCol w:w="109"/>
        <w:gridCol w:w="109"/>
        <w:gridCol w:w="109"/>
        <w:gridCol w:w="109"/>
        <w:gridCol w:w="181"/>
        <w:gridCol w:w="571"/>
        <w:gridCol w:w="156"/>
      </w:tblGrid>
      <w:tr>
        <w:trPr/>
        <w:tc>
          <w:tcPr>
            <w:tcW w:w="183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1235" w:type="dxa"/>
            <w:gridSpan w:val="6"/>
            <w:tcBorders/>
          </w:tcPr>
          <w:p>
            <w:pPr>
              <w:pStyle w:val="TableContents"/>
              <w:bidi w:val="0"/>
              <w:spacing w:before="0" w:after="283"/>
              <w:jc w:val="left"/>
              <w:rPr>
                <w:sz w:val="4"/>
                <w:szCs w:val="4"/>
              </w:rPr>
            </w:pPr>
            <w:r>
              <w:rPr>
                <w:sz w:val="4"/>
                <w:szCs w:val="4"/>
              </w:rPr>
            </w:r>
          </w:p>
        </w:tc>
      </w:tr>
      <w:tr>
        <w:trPr/>
        <w:tc>
          <w:tcPr>
            <w:tcW w:w="4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4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Basic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 basic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59,134 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Basic earnings per common share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0.45 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 Convertible Notes interest expense,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 diluted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28,569 </w:t>
            </w:r>
          </w:p>
        </w:tc>
        <w:tc>
          <w:tcPr>
            <w:tcW w:w="14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20,377 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89,818 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75,400 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59,134 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54,898 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55,022 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 awards - effect of dilution**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Convertible Notes - effect of dilution***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22,551 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82,918 </w:t>
            </w:r>
          </w:p>
        </w:tc>
        <w:tc>
          <w:tcPr>
            <w:tcW w:w="14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83,144 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84,309 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0.34 </w:t>
            </w:r>
          </w:p>
        </w:tc>
        <w:tc>
          <w:tcPr>
            <w:tcW w:w="14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0.89 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Potential common shares excluded from the calculation of diluted earnings per common share above: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4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0" w:type="dxa"/>
            <w:gridSpan w:val="3"/>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1,693 </w:t>
            </w:r>
          </w:p>
        </w:tc>
        <w:tc>
          <w:tcPr>
            <w:tcW w:w="143" w:type="dxa"/>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1,917 </w:t>
            </w:r>
          </w:p>
        </w:tc>
        <w:tc>
          <w:tcPr>
            <w:tcW w:w="109" w:type="dxa"/>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1,731 </w:t>
            </w:r>
          </w:p>
        </w:tc>
        <w:tc>
          <w:tcPr>
            <w:tcW w:w="109" w:type="dxa"/>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1,913 </w:t>
            </w:r>
          </w:p>
        </w:tc>
        <w:tc>
          <w:tcPr>
            <w:tcW w:w="156" w:type="dxa"/>
            <w:tcBorders>
              <w:top w:val="single" w:sz="8" w:space="0" w:color="929292"/>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color w:val="000000"/>
        </w:rPr>
      </w:pPr>
      <w:r>
        <w:rPr>
          <w:color w:val="000000"/>
        </w:rPr>
        <w:t>    </w:t>
      </w:r>
    </w:p>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The Company’s debt (collectively, the “Convertible Notes”) includes the 3.750% Convertible Senior Notes Due 2029 (the “2029 Convertible Notes”) and the 2.375% Convertible Senior Notes Due 2025 (the “2025 Convertible Notes”), which were settled in a combination of cash and shares during the three months ended June 30, 2025. The nine months ended June 30, 2024 also includes the 2.875% Convertible Senior Notes Due 2024 (the “2024 Convertible Notes”). Effective January 1, 2024, we were required to combination settle the 2024 Convertible Notes. As such, no interest expense is included in the diluted earnings per share computation for the three months ended June 30, 2024 and only the first quarter of 2024 interest expense is included for the nine months ended June 30, 2024. See Note 8: Debt for conversion price, initial conversion rate and additional information.</w:t>
      </w:r>
    </w:p>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Includes time-based share-based awards and performance-based awards for which targets for fiscal year tranches have been achieved and vesting is subject only to achievement of service conditions.</w:t>
      </w:r>
    </w:p>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As the 2025 Notes were settled during the fiscal quarter, approximately 2.1 million and 5.0 million of weighted average shares were included for the three and nine months ended June 30, 2025, respectively. As we were required to combination settle the 2024 Convertible Notes effective January 1, 2024, the 3.4 million principal shares are not included for the three months ended June 30, 2024 and only the weighted average shares of 1.2 million are included for the nine months ended June 30, 2024. Additionally, 75,854 and 25,192 potential common shares related to the accreted value of the 2024 Convertible Notes are included for the three or nine months ended June 30, 2024 as the average market rate was not above the initial conversion price of $10.00 per share for the noted reporting periods. See Note 8: Debt for conversion price, initial conversion rate and additional information on the 2024 Convertible Notes, 2025 Convertible Notes, and 2029 Convertible Notes.</w:t>
      </w:r>
    </w:p>
    <w:p>
      <w:pPr>
        <w:pStyle w:val="TextBody"/>
        <w:bidi w:val="0"/>
        <w:spacing w:lineRule="auto" w:line="288" w:before="0" w:after="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    Includes antidilutive share-based awards as well as performance-based share-based awards that are contingently issuable, but for which the condition for issuance has not been met as of the end of the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5: LEASES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determine if a contract contains a lease at inception. Our lease portfolio consists primarily of operating leases for pawn store locations and corporate offices with lease terms ranging from three to ten years and finance leases for vehicles with lease terms ranging from two to five years.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presents balances of our lease assets and liabilities and their balance sheet locations for both operating and financing leases:</w:t>
      </w:r>
    </w:p>
    <w:tbl>
      <w:tblPr>
        <w:tblW w:w="10205" w:type="dxa"/>
        <w:jc w:val="left"/>
        <w:tblInd w:w="0" w:type="dxa"/>
        <w:tblLayout w:type="fixed"/>
        <w:tblCellMar>
          <w:top w:w="28" w:type="dxa"/>
          <w:left w:w="28" w:type="dxa"/>
          <w:bottom w:w="28" w:type="dxa"/>
          <w:right w:w="28" w:type="dxa"/>
        </w:tblCellMar>
      </w:tblPr>
      <w:tblGrid>
        <w:gridCol w:w="781"/>
        <w:gridCol w:w="678"/>
        <w:gridCol w:w="680"/>
        <w:gridCol w:w="1255"/>
        <w:gridCol w:w="1234"/>
        <w:gridCol w:w="1239"/>
        <w:gridCol w:w="109"/>
        <w:gridCol w:w="109"/>
        <w:gridCol w:w="109"/>
        <w:gridCol w:w="194"/>
        <w:gridCol w:w="696"/>
        <w:gridCol w:w="116"/>
        <w:gridCol w:w="109"/>
        <w:gridCol w:w="109"/>
        <w:gridCol w:w="109"/>
        <w:gridCol w:w="194"/>
        <w:gridCol w:w="696"/>
        <w:gridCol w:w="116"/>
        <w:gridCol w:w="109"/>
        <w:gridCol w:w="109"/>
        <w:gridCol w:w="109"/>
        <w:gridCol w:w="207"/>
        <w:gridCol w:w="742"/>
        <w:gridCol w:w="124"/>
        <w:gridCol w:w="109"/>
        <w:gridCol w:w="163"/>
      </w:tblGrid>
      <w:tr>
        <w:trPr/>
        <w:tc>
          <w:tcPr>
            <w:tcW w:w="78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Lease assets:</w:t>
            </w:r>
          </w:p>
        </w:tc>
        <w:tc>
          <w:tcPr>
            <w:tcW w:w="3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w:t>
            </w:r>
          </w:p>
        </w:tc>
        <w:tc>
          <w:tcPr>
            <w:tcW w:w="3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236,064 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235,030 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226,602 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assets</w:t>
            </w:r>
          </w:p>
        </w:tc>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assets</w:t>
            </w:r>
          </w:p>
        </w:tc>
        <w:tc>
          <w:tcPr>
            <w:tcW w:w="37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237,274 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236,862 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228,161 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vAlign w:val="center"/>
          </w:tcPr>
          <w:p>
            <w:pPr>
              <w:pStyle w:val="TableContents"/>
              <w:bidi w:val="0"/>
              <w:spacing w:before="0" w:after="283"/>
              <w:jc w:val="left"/>
              <w:rPr>
                <w:sz w:val="4"/>
                <w:szCs w:val="4"/>
              </w:rPr>
            </w:pPr>
            <w:r>
              <w:rPr>
                <w:sz w:val="4"/>
                <w:szCs w:val="4"/>
              </w:rPr>
            </w:r>
          </w:p>
        </w:tc>
        <w:tc>
          <w:tcPr>
            <w:tcW w:w="3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Lease liabilities:</w:t>
            </w:r>
          </w:p>
        </w:tc>
        <w:tc>
          <w:tcPr>
            <w:tcW w:w="3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w:t>
            </w:r>
          </w:p>
        </w:tc>
        <w:tc>
          <w:tcPr>
            <w:tcW w:w="3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60,183 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liabilities</w:t>
            </w:r>
          </w:p>
        </w:tc>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lease liabilities</w:t>
            </w:r>
          </w:p>
        </w:tc>
        <w:tc>
          <w:tcPr>
            <w:tcW w:w="37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60,840 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59,501 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59,568 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w:t>
            </w:r>
          </w:p>
        </w:tc>
        <w:tc>
          <w:tcPr>
            <w:tcW w:w="3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184,295 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188,996 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180,616 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liabilities</w:t>
            </w:r>
          </w:p>
        </w:tc>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non-current lease liabilities</w:t>
            </w:r>
          </w:p>
        </w:tc>
        <w:tc>
          <w:tcPr>
            <w:tcW w:w="37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184,990 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190,348 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181,726 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liabilities</w:t>
            </w:r>
          </w:p>
        </w:tc>
        <w:tc>
          <w:tcPr>
            <w:tcW w:w="3728"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245,830 </w:t>
            </w:r>
          </w:p>
        </w:tc>
        <w:tc>
          <w:tcPr>
            <w:tcW w:w="11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249,849 </w:t>
            </w:r>
          </w:p>
        </w:tc>
        <w:tc>
          <w:tcPr>
            <w:tcW w:w="11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2"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241,294 </w:t>
            </w:r>
          </w:p>
        </w:tc>
        <w:tc>
          <w:tcPr>
            <w:tcW w:w="124"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provides major components of our lease costs:</w:t>
      </w:r>
    </w:p>
    <w:tbl>
      <w:tblPr>
        <w:tblW w:w="7892" w:type="dxa"/>
        <w:jc w:val="left"/>
        <w:tblInd w:w="0" w:type="dxa"/>
        <w:tblLayout w:type="fixed"/>
        <w:tblCellMar>
          <w:top w:w="28" w:type="dxa"/>
          <w:left w:w="28" w:type="dxa"/>
          <w:bottom w:w="28" w:type="dxa"/>
          <w:right w:w="28" w:type="dxa"/>
        </w:tblCellMar>
      </w:tblPr>
      <w:tblGrid>
        <w:gridCol w:w="911"/>
        <w:gridCol w:w="804"/>
        <w:gridCol w:w="805"/>
        <w:gridCol w:w="109"/>
        <w:gridCol w:w="109"/>
        <w:gridCol w:w="156"/>
        <w:gridCol w:w="156"/>
        <w:gridCol w:w="259"/>
        <w:gridCol w:w="818"/>
        <w:gridCol w:w="156"/>
        <w:gridCol w:w="109"/>
        <w:gridCol w:w="109"/>
        <w:gridCol w:w="109"/>
        <w:gridCol w:w="181"/>
        <w:gridCol w:w="571"/>
        <w:gridCol w:w="109"/>
        <w:gridCol w:w="109"/>
        <w:gridCol w:w="109"/>
        <w:gridCol w:w="109"/>
        <w:gridCol w:w="181"/>
        <w:gridCol w:w="571"/>
        <w:gridCol w:w="109"/>
        <w:gridCol w:w="109"/>
        <w:gridCol w:w="109"/>
        <w:gridCol w:w="109"/>
        <w:gridCol w:w="181"/>
        <w:gridCol w:w="571"/>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1233" w:type="dxa"/>
            <w:gridSpan w:val="6"/>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25,512 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72,777 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72,488 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financing lease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on financing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financing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8"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25,705 </w:t>
            </w:r>
          </w:p>
        </w:tc>
        <w:tc>
          <w:tcPr>
            <w:tcW w:w="156"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24,913 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73,337 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73,120 </w:t>
            </w:r>
          </w:p>
        </w:tc>
        <w:tc>
          <w:tcPr>
            <w:tcW w:w="154"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pPr>
      <w:r>
        <w:rPr>
          <w:rFonts w:ascii="Arial Narrow;sans-serif" w:hAnsi="Arial Narrow;sans-serif"/>
          <w:b w:val="false"/>
          <w:color w:val="000000"/>
          <w:sz w:val="20"/>
        </w:rPr>
        <w:br/>
      </w:r>
      <w:r>
        <w:rPr>
          <w:rFonts w:ascii="Arial Narrow;sans-serif" w:hAnsi="Arial Narrow;sans-serif"/>
          <w:b w:val="false"/>
          <w:color w:val="000000"/>
          <w:sz w:val="16"/>
        </w:rPr>
        <w:t>*Includes a reduction for sublease rental income of $0.7 million and $0.7 million for both the three months ended June 30, 2025 and 2024, respectively, and $2.0 million and $2.4 million for the nine months ended June 30, 2025 and 2024 respectively.</w:t>
      </w:r>
    </w:p>
    <w:p>
      <w:pPr>
        <w:pStyle w:val="TextBody"/>
        <w:bidi w:val="0"/>
        <w:spacing w:lineRule="auto" w:line="288" w:before="240" w:after="283"/>
        <w:jc w:val="left"/>
        <w:rPr>
          <w:rFonts w:ascii="Arial Narrow;sans-serif" w:hAnsi="Arial Narrow;sans-serif"/>
          <w:b w:val="false"/>
          <w:color w:val="000000"/>
          <w:sz w:val="20"/>
        </w:rPr>
      </w:pPr>
      <w:r>
        <w:rPr>
          <w:rFonts w:ascii="Arial Narrow;sans-serif" w:hAnsi="Arial Narrow;sans-serif"/>
          <w:b w:val="false"/>
          <w:color w:val="000000"/>
          <w:sz w:val="20"/>
        </w:rPr>
        <w:t>Lease expense is recognized on a straight-line basis over the lease term with variable lease expense recognized in the period in which the costs are incurred. The components of lease expense are included in “Store expenses” and “General and administrative” under operating expenses, based on the underlying lease use. Cash paid for operating leases was $20.3 million and $15.9 million for the three months ended June 30, 2025 and 2024, respectively, and $60.3 million and $60.5 million for the nine months ended June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weighted-average term and discount rates for leases are as follows:</w:t>
      </w:r>
    </w:p>
    <w:tbl>
      <w:tblPr>
        <w:tblW w:w="5114" w:type="dxa"/>
        <w:jc w:val="left"/>
        <w:tblInd w:w="0" w:type="dxa"/>
        <w:tblLayout w:type="fixed"/>
        <w:tblCellMar>
          <w:top w:w="28" w:type="dxa"/>
          <w:left w:w="28" w:type="dxa"/>
          <w:bottom w:w="28" w:type="dxa"/>
          <w:right w:w="28" w:type="dxa"/>
        </w:tblCellMar>
      </w:tblPr>
      <w:tblGrid>
        <w:gridCol w:w="1129"/>
        <w:gridCol w:w="994"/>
        <w:gridCol w:w="996"/>
        <w:gridCol w:w="247"/>
        <w:gridCol w:w="249"/>
        <w:gridCol w:w="283"/>
        <w:gridCol w:w="128"/>
        <w:gridCol w:w="128"/>
        <w:gridCol w:w="128"/>
        <w:gridCol w:w="247"/>
        <w:gridCol w:w="249"/>
        <w:gridCol w:w="336"/>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remaining lease term (years):</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leases</w:t>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4.88</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leases</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discount rate:</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8.77 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leases</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11.14 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11.14 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 Narrow;sans-serif" w:hAnsi="Arial Narrow;sans-serif"/>
          <w:b w:val="false"/>
          <w:color w:val="000000"/>
          <w:sz w:val="16"/>
        </w:rPr>
        <w:br/>
      </w:r>
      <w:r>
        <w:rPr>
          <w:rFonts w:ascii="Arial Narrow;sans-serif" w:hAnsi="Arial Narrow;sans-serif"/>
          <w:b w:val="false"/>
          <w:color w:val="000000"/>
          <w:sz w:val="20"/>
        </w:rPr>
        <w:t>As of June 30, 2025, maturities of lease liabilities under ASC 842 by fiscal year were as follows:</w:t>
      </w:r>
    </w:p>
    <w:tbl>
      <w:tblPr>
        <w:tblW w:w="5770" w:type="dxa"/>
        <w:jc w:val="left"/>
        <w:tblInd w:w="0" w:type="dxa"/>
        <w:tblLayout w:type="fixed"/>
        <w:tblCellMar>
          <w:top w:w="28" w:type="dxa"/>
          <w:left w:w="28" w:type="dxa"/>
          <w:bottom w:w="28" w:type="dxa"/>
          <w:right w:w="28" w:type="dxa"/>
        </w:tblCellMar>
      </w:tblPr>
      <w:tblGrid>
        <w:gridCol w:w="1009"/>
        <w:gridCol w:w="888"/>
        <w:gridCol w:w="892"/>
        <w:gridCol w:w="252"/>
        <w:gridCol w:w="901"/>
        <w:gridCol w:w="152"/>
        <w:gridCol w:w="109"/>
        <w:gridCol w:w="109"/>
        <w:gridCol w:w="109"/>
        <w:gridCol w:w="293"/>
        <w:gridCol w:w="804"/>
        <w:gridCol w:w="252"/>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Financing Leases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Remaining 2025</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19,813 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194 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2026</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76,814 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2027</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62,927 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2028</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46,718 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2029</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32,926 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66,958 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liabilities</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306,156 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1,520 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portion representing imputed interest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61,678 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net lease liabilities</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244,478 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1,352 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current portion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60,183 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Total long-term net lease liabilities</w:t>
            </w:r>
          </w:p>
        </w:tc>
        <w:tc>
          <w:tcPr>
            <w:tcW w:w="25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184,295 </w:t>
            </w:r>
          </w:p>
        </w:tc>
        <w:tc>
          <w:tcPr>
            <w:tcW w:w="15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695 </w:t>
            </w:r>
          </w:p>
        </w:tc>
        <w:tc>
          <w:tcPr>
            <w:tcW w:w="25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recorded $51.2 million and $46.1 million in non-cash additions to our operating right-of-use assets and lease liabilities for the nine months ended June 30,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6: STRATEGIC INVESTMENTS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Cash Converters International Limited</w:t>
      </w:r>
    </w:p>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As of June 30, 2025, we owned 273,939,157 shares, or approximately 43.7%, of Cash Converters. We acquired our original investment in November 2009 and have increased our ownership through the acquisition of additional shares periodically since that time.</w:t>
      </w:r>
    </w:p>
    <w:p>
      <w:pPr>
        <w:pStyle w:val="TextBody"/>
        <w:bidi w:val="0"/>
        <w:spacing w:lineRule="auto" w:line="288" w:before="180" w:after="283"/>
        <w:jc w:val="left"/>
        <w:rPr/>
      </w:pPr>
      <w:r>
        <w:rPr>
          <w:rFonts w:ascii="Arial Narrow;sans-serif" w:hAnsi="Arial Narrow;sans-serif"/>
          <w:b w:val="false"/>
          <w:color w:val="000000"/>
          <w:sz w:val="20"/>
          <w:shd w:fill="FFFFFF" w:val="clear"/>
        </w:rPr>
        <w:t>We received cash dividends from Cash Conver</w:t>
      </w:r>
      <w:r>
        <w:rPr>
          <w:rFonts w:ascii="Arial Narrow;sans-serif" w:hAnsi="Arial Narrow;sans-serif"/>
          <w:b w:val="false"/>
          <w:color w:val="000000"/>
          <w:sz w:val="20"/>
        </w:rPr>
        <w:t>ters of $3.6 million</w:t>
      </w:r>
      <w:r>
        <w:rPr>
          <w:color w:val="000000"/>
          <w:shd w:fill="FFFFFF" w:val="clear"/>
        </w:rPr>
        <w:t xml:space="preserve"> </w:t>
      </w:r>
      <w:r>
        <w:rPr>
          <w:rFonts w:ascii="Arial Narrow;sans-serif" w:hAnsi="Arial Narrow;sans-serif"/>
          <w:b w:val="false"/>
          <w:color w:val="000000"/>
          <w:sz w:val="20"/>
          <w:shd w:fill="FFFFFF" w:val="clear"/>
        </w:rPr>
        <w:t xml:space="preserve">and </w:t>
      </w:r>
      <w:r>
        <w:rPr>
          <w:rFonts w:ascii="Arial Narrow;sans-serif" w:hAnsi="Arial Narrow;sans-serif"/>
          <w:b w:val="false"/>
          <w:color w:val="000000"/>
          <w:sz w:val="20"/>
        </w:rPr>
        <w:t>$3.5 million</w:t>
      </w:r>
      <w:r>
        <w:rPr>
          <w:color w:val="000000"/>
          <w:shd w:fill="FFFFFF" w:val="clear"/>
        </w:rPr>
        <w:t xml:space="preserve"> </w:t>
      </w:r>
      <w:r>
        <w:rPr>
          <w:rFonts w:ascii="Arial Narrow;sans-serif" w:hAnsi="Arial Narrow;sans-serif"/>
          <w:b w:val="false"/>
          <w:color w:val="000000"/>
          <w:sz w:val="20"/>
          <w:shd w:fill="FFFFFF" w:val="clear"/>
        </w:rPr>
        <w:t>during th</w:t>
      </w:r>
      <w:r>
        <w:rPr>
          <w:rFonts w:ascii="Arial Narrow;sans-serif" w:hAnsi="Arial Narrow;sans-serif"/>
          <w:b w:val="false"/>
          <w:color w:val="000000"/>
          <w:sz w:val="20"/>
        </w:rPr>
        <w:t>e nine mon</w:t>
      </w:r>
      <w:r>
        <w:rPr>
          <w:rFonts w:ascii="Arial Narrow;sans-serif" w:hAnsi="Arial Narrow;sans-serif"/>
          <w:b w:val="false"/>
          <w:color w:val="000000"/>
          <w:sz w:val="20"/>
          <w:shd w:fill="FFFFFF" w:val="clear"/>
        </w:rPr>
        <w:t>ths ended June 30, 2025 and 2024, respectively.</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tables present summary financial information for Cash Converters’ most recently reported results as applicable after translation to U.S. dollars:</w:t>
      </w:r>
    </w:p>
    <w:tbl>
      <w:tblPr>
        <w:tblW w:w="4809" w:type="dxa"/>
        <w:jc w:val="left"/>
        <w:tblInd w:w="0" w:type="dxa"/>
        <w:tblLayout w:type="fixed"/>
        <w:tblCellMar>
          <w:top w:w="28" w:type="dxa"/>
          <w:left w:w="28" w:type="dxa"/>
          <w:bottom w:w="28" w:type="dxa"/>
          <w:right w:w="28" w:type="dxa"/>
        </w:tblCellMar>
      </w:tblPr>
      <w:tblGrid>
        <w:gridCol w:w="928"/>
        <w:gridCol w:w="816"/>
        <w:gridCol w:w="821"/>
        <w:gridCol w:w="181"/>
        <w:gridCol w:w="646"/>
        <w:gridCol w:w="109"/>
        <w:gridCol w:w="109"/>
        <w:gridCol w:w="109"/>
        <w:gridCol w:w="109"/>
        <w:gridCol w:w="181"/>
        <w:gridCol w:w="64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December 31,</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 xml:space="preserve">2023 </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289,968 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323,843 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Shareholders’ equity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shareholders’ equity</w:t>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289,968 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323,843 </w:t>
            </w:r>
          </w:p>
        </w:tc>
        <w:tc>
          <w:tcPr>
            <w:tcW w:w="15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tbl>
      <w:tblPr>
        <w:tblW w:w="3373" w:type="dxa"/>
        <w:jc w:val="left"/>
        <w:tblInd w:w="0" w:type="dxa"/>
        <w:tblLayout w:type="fixed"/>
        <w:tblCellMar>
          <w:top w:w="28" w:type="dxa"/>
          <w:left w:w="28" w:type="dxa"/>
          <w:bottom w:w="28" w:type="dxa"/>
          <w:right w:w="28" w:type="dxa"/>
        </w:tblCellMar>
      </w:tblPr>
      <w:tblGrid>
        <w:gridCol w:w="407"/>
        <w:gridCol w:w="358"/>
        <w:gridCol w:w="360"/>
        <w:gridCol w:w="181"/>
        <w:gridCol w:w="648"/>
        <w:gridCol w:w="109"/>
        <w:gridCol w:w="109"/>
        <w:gridCol w:w="109"/>
        <w:gridCol w:w="109"/>
        <w:gridCol w:w="181"/>
        <w:gridCol w:w="648"/>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Half-Year Ended December 31,</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 xml:space="preserve">2023 </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revenues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profit</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color w:val="212529"/>
          <w:sz w:val="20"/>
          <w:shd w:fill="FFFFFF" w:val="clear"/>
        </w:rPr>
        <w:t xml:space="preserve">During the </w:t>
      </w:r>
      <w:r>
        <w:rPr>
          <w:rFonts w:ascii="Arial Narrow;sans-serif" w:hAnsi="Arial Narrow;sans-serif"/>
          <w:b w:val="false"/>
          <w:color w:val="000000"/>
          <w:sz w:val="20"/>
        </w:rPr>
        <w:t>three and nine</w:t>
      </w:r>
      <w:r>
        <w:rPr>
          <w:color w:val="212529"/>
        </w:rPr>
        <w:t xml:space="preserve"> </w:t>
      </w:r>
      <w:r>
        <w:rPr>
          <w:rFonts w:ascii="Arial Narrow;sans-serif" w:hAnsi="Arial Narrow;sans-serif"/>
          <w:b w:val="false"/>
          <w:color w:val="212529"/>
          <w:sz w:val="20"/>
          <w:shd w:fill="FFFFFF" w:val="clear"/>
        </w:rPr>
        <w:t>m</w:t>
      </w:r>
      <w:r>
        <w:rPr>
          <w:rFonts w:ascii="Arial Narrow;sans-serif" w:hAnsi="Arial Narrow;sans-serif"/>
          <w:b w:val="false"/>
          <w:color w:val="212529"/>
          <w:sz w:val="20"/>
        </w:rPr>
        <w:t xml:space="preserve">onths ended June 30, 2025, we recorded our share of income of $1.4 million and $4.9 million, respectively, from Cash Converters, included in </w:t>
      </w:r>
      <w:r>
        <w:rPr>
          <w:color w:val="000000"/>
        </w:rPr>
        <w:t>“</w:t>
      </w:r>
      <w:r>
        <w:rPr>
          <w:rFonts w:ascii="Arial Narrow;sans-serif" w:hAnsi="Arial Narrow;sans-serif"/>
          <w:b w:val="false"/>
          <w:color w:val="000000"/>
          <w:sz w:val="20"/>
        </w:rPr>
        <w:t xml:space="preserve">Equity in net income of unconsolidated affiliates” </w:t>
      </w:r>
      <w:r>
        <w:rPr>
          <w:rFonts w:ascii="Arial Narrow;sans-serif" w:hAnsi="Arial Narrow;sans-serif"/>
          <w:b w:val="false"/>
          <w:color w:val="212529"/>
          <w:sz w:val="20"/>
        </w:rPr>
        <w:t xml:space="preserve">in the condensed consolidated statements of operations. During the </w:t>
      </w:r>
      <w:r>
        <w:rPr>
          <w:rFonts w:ascii="Arial Narrow;sans-serif" w:hAnsi="Arial Narrow;sans-serif"/>
          <w:b w:val="false"/>
          <w:color w:val="000000"/>
          <w:sz w:val="20"/>
        </w:rPr>
        <w:t>three and nine</w:t>
      </w:r>
      <w:r>
        <w:rPr>
          <w:color w:val="212529"/>
        </w:rPr>
        <w:t xml:space="preserve"> </w:t>
      </w:r>
      <w:r>
        <w:rPr>
          <w:rFonts w:ascii="Arial Narrow;sans-serif" w:hAnsi="Arial Narrow;sans-serif"/>
          <w:b w:val="false"/>
          <w:color w:val="212529"/>
          <w:sz w:val="20"/>
        </w:rPr>
        <w:t xml:space="preserve">months ended </w:t>
      </w:r>
      <w:r>
        <w:rPr>
          <w:rFonts w:ascii="Arial Narrow;sans-serif" w:hAnsi="Arial Narrow;sans-serif"/>
          <w:b w:val="false"/>
          <w:color w:val="000000"/>
          <w:sz w:val="20"/>
        </w:rPr>
        <w:t>June 30, 2024</w:t>
      </w:r>
      <w:r>
        <w:rPr>
          <w:rFonts w:ascii="Arial Narrow;sans-serif" w:hAnsi="Arial Narrow;sans-serif"/>
          <w:b w:val="false"/>
          <w:color w:val="212529"/>
          <w:sz w:val="20"/>
        </w:rPr>
        <w:t xml:space="preserve">, we recorded our share of income of $1.4 million and $4.3 million, respectively, from Cash Converters, included in </w:t>
      </w:r>
      <w:r>
        <w:rPr>
          <w:rFonts w:ascii="Arial Narrow;sans-serif" w:hAnsi="Arial Narrow;sans-serif"/>
          <w:b w:val="false"/>
          <w:color w:val="000000"/>
          <w:sz w:val="20"/>
        </w:rPr>
        <w:t>Equity in net income of unconsolidated affiliates in the condensed consolidated statement of operations.</w:t>
      </w:r>
    </w:p>
    <w:p>
      <w:pPr>
        <w:pStyle w:val="TextBody"/>
        <w:bidi w:val="0"/>
        <w:spacing w:lineRule="auto" w:line="288" w:before="140" w:after="283"/>
        <w:jc w:val="left"/>
        <w:rPr>
          <w:rFonts w:ascii="Arial Narrow;sans-serif" w:hAnsi="Arial Narrow;sans-serif"/>
          <w:b w:val="false"/>
          <w:color w:val="212529"/>
          <w:sz w:val="20"/>
        </w:rPr>
      </w:pPr>
      <w:r>
        <w:rPr>
          <w:rFonts w:ascii="Arial Narrow;sans-serif" w:hAnsi="Arial Narrow;sans-serif"/>
          <w:b w:val="false"/>
          <w:color w:val="212529"/>
          <w:sz w:val="20"/>
        </w:rPr>
        <w:t>See Note 7: Fair Value Measurements for the fair value and carrying value of our investment in Cash Converters.</w:t>
      </w:r>
    </w:p>
    <w:p>
      <w:pPr>
        <w:pStyle w:val="TextBody"/>
        <w:bidi w:val="0"/>
        <w:spacing w:lineRule="auto" w:line="288" w:before="180" w:after="283"/>
        <w:jc w:val="left"/>
        <w:rPr>
          <w:rFonts w:ascii="Arial Narrow;sans-serif" w:hAnsi="Arial Narrow;sans-serif"/>
          <w:b/>
          <w:color w:val="212529"/>
          <w:sz w:val="20"/>
        </w:rPr>
      </w:pPr>
      <w:r>
        <w:rPr>
          <w:rFonts w:ascii="Arial Narrow;sans-serif" w:hAnsi="Arial Narrow;sans-serif"/>
          <w:b/>
          <w:color w:val="212529"/>
          <w:sz w:val="20"/>
        </w:rPr>
        <w:t>Founders One, LLC</w:t>
      </w:r>
    </w:p>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In fiscal 2022, we invested $15.0 million in exchange for a non-redeemable voting participating preferred equity interest in Founders One, LLC (“Founders”), a then newly-formed entity with one other member. In fiscal 2023, we contributed an additional $15.0 million associated with our preferred interest and loaned Founders $15.0 million in exchange for a Demand Promissory Note secured by the common interest held by the other member. In fiscal 2024, we contributed an additional $15.0 million associated with our preferred interest, bringing our total preferred equity investment in Founders to $45.0 million.</w:t>
      </w:r>
    </w:p>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We have an interest in Founders, a variable interest entity, but because the Company is not the primary beneficiary, we do not consolidate Founders. Further, as we are not the appointed manager, we do not have the ability to direct the activities of the investment entity that most significantly impact its economic performance. Consequently, our preferred equity investment in Founders is accounted for utilizing the measurement alternative within ASC 321, Investments — Equity Securities. As of June 30, 2025, our $45.0 million carrying value of the preferred equity investment and $15.0 million Demand Promissory Note are included in “Other investments” and “Prepaid expenses and other current assets” in our condensed consolidated balance sheets, respectively. As of June 30, 2025, our maximum exposure for losses related to our investment in Founders was our $45.0 million preferred equity investment and $15.0 million Demand Promissory Note plus accrued and unpaid interest.</w:t>
      </w:r>
    </w:p>
    <w:p>
      <w:pPr>
        <w:pStyle w:val="TextBody"/>
        <w:bidi w:val="0"/>
        <w:spacing w:lineRule="auto" w:line="288" w:before="180" w:after="180"/>
        <w:jc w:val="left"/>
        <w:rPr>
          <w:rFonts w:ascii="Arial Narrow;sans-serif" w:hAnsi="Arial Narrow;sans-serif"/>
          <w:b w:val="false"/>
          <w:color w:val="212529"/>
          <w:sz w:val="20"/>
        </w:rPr>
      </w:pPr>
      <w:r>
        <w:rPr>
          <w:rFonts w:ascii="Arial Narrow;sans-serif" w:hAnsi="Arial Narrow;sans-serif"/>
          <w:b w:val="false"/>
          <w:color w:val="212529"/>
          <w:sz w:val="20"/>
        </w:rPr>
        <w:t>See Note 7: Fair Value Measurements for the fair value and carrying value of our loan to Founders.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7: FAIR VALUE MEASUREMENTS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Level 1 — Quoted market prices in active markets for identical assets or liabilities.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Level 2 — Other observable market-based inputs or unobservable inputs that are corroborated by market data.</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Level 3 — Unobservable inputs that are not corroborated by market data.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elected not to measure at fair value any eligible items for which fair value measurement is optional.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There were no transfers in or out of Level 1, Level 2 or Level 3 for financial assets or liabilities measured at fair value on a recurring basis during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Financial Assets and Liabilities Not Measured at Fair Value</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tables below present our estimates of fair value of financial assets and liabilities that were not measured at fair value:</w:t>
      </w:r>
    </w:p>
    <w:tbl>
      <w:tblPr>
        <w:tblW w:w="8940" w:type="dxa"/>
        <w:jc w:val="left"/>
        <w:tblInd w:w="0" w:type="dxa"/>
        <w:tblLayout w:type="fixed"/>
        <w:tblCellMar>
          <w:top w:w="28" w:type="dxa"/>
          <w:left w:w="28" w:type="dxa"/>
          <w:bottom w:w="28" w:type="dxa"/>
          <w:right w:w="28" w:type="dxa"/>
        </w:tblCellMar>
      </w:tblPr>
      <w:tblGrid>
        <w:gridCol w:w="1008"/>
        <w:gridCol w:w="888"/>
        <w:gridCol w:w="893"/>
        <w:gridCol w:w="109"/>
        <w:gridCol w:w="109"/>
        <w:gridCol w:w="109"/>
        <w:gridCol w:w="239"/>
        <w:gridCol w:w="756"/>
        <w:gridCol w:w="144"/>
        <w:gridCol w:w="109"/>
        <w:gridCol w:w="109"/>
        <w:gridCol w:w="109"/>
        <w:gridCol w:w="214"/>
        <w:gridCol w:w="677"/>
        <w:gridCol w:w="129"/>
        <w:gridCol w:w="109"/>
        <w:gridCol w:w="109"/>
        <w:gridCol w:w="109"/>
        <w:gridCol w:w="181"/>
        <w:gridCol w:w="406"/>
        <w:gridCol w:w="109"/>
        <w:gridCol w:w="109"/>
        <w:gridCol w:w="109"/>
        <w:gridCol w:w="109"/>
        <w:gridCol w:w="199"/>
        <w:gridCol w:w="447"/>
        <w:gridCol w:w="109"/>
        <w:gridCol w:w="109"/>
        <w:gridCol w:w="109"/>
        <w:gridCol w:w="109"/>
        <w:gridCol w:w="181"/>
        <w:gridCol w:w="571"/>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Promissory note receivable from Founders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17,525 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13,753 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50,657 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224,982 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330,050 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2032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292,619 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316,406 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tbl>
      <w:tblPr>
        <w:tblW w:w="9046" w:type="dxa"/>
        <w:jc w:val="left"/>
        <w:tblInd w:w="0" w:type="dxa"/>
        <w:tblLayout w:type="fixed"/>
        <w:tblCellMar>
          <w:top w:w="28" w:type="dxa"/>
          <w:left w:w="28" w:type="dxa"/>
          <w:bottom w:w="28" w:type="dxa"/>
          <w:right w:w="28" w:type="dxa"/>
        </w:tblCellMar>
      </w:tblPr>
      <w:tblGrid>
        <w:gridCol w:w="1008"/>
        <w:gridCol w:w="888"/>
        <w:gridCol w:w="893"/>
        <w:gridCol w:w="109"/>
        <w:gridCol w:w="109"/>
        <w:gridCol w:w="109"/>
        <w:gridCol w:w="239"/>
        <w:gridCol w:w="756"/>
        <w:gridCol w:w="144"/>
        <w:gridCol w:w="109"/>
        <w:gridCol w:w="109"/>
        <w:gridCol w:w="109"/>
        <w:gridCol w:w="214"/>
        <w:gridCol w:w="677"/>
        <w:gridCol w:w="129"/>
        <w:gridCol w:w="109"/>
        <w:gridCol w:w="109"/>
        <w:gridCol w:w="109"/>
        <w:gridCol w:w="181"/>
        <w:gridCol w:w="406"/>
        <w:gridCol w:w="109"/>
        <w:gridCol w:w="109"/>
        <w:gridCol w:w="109"/>
        <w:gridCol w:w="109"/>
        <w:gridCol w:w="181"/>
        <w:gridCol w:w="571"/>
        <w:gridCol w:w="109"/>
        <w:gridCol w:w="109"/>
        <w:gridCol w:w="109"/>
        <w:gridCol w:w="109"/>
        <w:gridCol w:w="181"/>
        <w:gridCol w:w="571"/>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Promissory note receivable from Founders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16,186 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16,186 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12,297 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40,762 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34,690 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102,940 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99,238 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223,998 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262,564 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tbl>
      <w:tblPr>
        <w:tblW w:w="9840" w:type="dxa"/>
        <w:jc w:val="left"/>
        <w:tblInd w:w="0" w:type="dxa"/>
        <w:tblLayout w:type="fixed"/>
        <w:tblCellMar>
          <w:top w:w="28" w:type="dxa"/>
          <w:left w:w="28" w:type="dxa"/>
          <w:bottom w:w="28" w:type="dxa"/>
          <w:right w:w="28" w:type="dxa"/>
        </w:tblCellMar>
      </w:tblPr>
      <w:tblGrid>
        <w:gridCol w:w="1008"/>
        <w:gridCol w:w="888"/>
        <w:gridCol w:w="893"/>
        <w:gridCol w:w="109"/>
        <w:gridCol w:w="109"/>
        <w:gridCol w:w="109"/>
        <w:gridCol w:w="278"/>
        <w:gridCol w:w="995"/>
        <w:gridCol w:w="166"/>
        <w:gridCol w:w="109"/>
        <w:gridCol w:w="109"/>
        <w:gridCol w:w="109"/>
        <w:gridCol w:w="278"/>
        <w:gridCol w:w="994"/>
        <w:gridCol w:w="167"/>
        <w:gridCol w:w="109"/>
        <w:gridCol w:w="109"/>
        <w:gridCol w:w="109"/>
        <w:gridCol w:w="181"/>
        <w:gridCol w:w="406"/>
        <w:gridCol w:w="109"/>
        <w:gridCol w:w="109"/>
        <w:gridCol w:w="109"/>
        <w:gridCol w:w="109"/>
        <w:gridCol w:w="181"/>
        <w:gridCol w:w="646"/>
        <w:gridCol w:w="109"/>
        <w:gridCol w:w="109"/>
        <w:gridCol w:w="109"/>
        <w:gridCol w:w="109"/>
        <w:gridCol w:w="181"/>
        <w:gridCol w:w="571"/>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Promissory note receivable from Founders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42,496 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100,401 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224,256 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273,700 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Based primarily on the short-term nature of cash and cash equivalents, pawn loans, pawn service charges receivable and other liabilities, we estimate that their carrying value approximates fair value. We consider our cash and cash equivalents, including money market accounts, to be measured using Level 1 inputs and our pawn loans, pawn service charges receivable and other liabilities to be measured using Level 3 inputs. Significant increases or decreases in the underlying assumptions used to value pawn loans, pawn service charges receivable, fees and interest receivable and other debt could significantly increase or decrease these fair value estimates.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In fiscal 2023, we loaned $15.0 million to Founders in exchange for a Demand Promissory Note secured by the common interest in Founders held by the other member. As of June 30, 2025, the interest rate on the note was 15.0% per annum, and all principal and accrued interest is due on demand. Based primarily on the short-term nature of the note, we estimate that its carrying value approximates fair value as of June 30, 2025.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In fiscal 2019, we received $1.1 million in previously escrowed seller funds as a result of settling certain indemnification claims with the seller of GPMX. In April 2019, we loaned the $1.1 million back to the seller of GPMX in exchange for a promissory note. The interest rate on the note was 2.89% per annum and was secured by certain marketable securities owned by the seller and held in a U.S. brokerage account. All principal and accrued interest was received in April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use the equity method of accounting to account for our ownership interest in Cash Converters. The inputs used to generate the fair value of the investment in Cash Converters were considered Level 1 inputs. These inputs consist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We measured the fair value of the 2024, 2025 and 2029 Convertible Notes and 2032 Senior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8: DEBT</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debt instruments outstanding:</w:t>
      </w:r>
    </w:p>
    <w:tbl>
      <w:tblPr>
        <w:tblW w:w="11556" w:type="dxa"/>
        <w:jc w:val="left"/>
        <w:tblInd w:w="0" w:type="dxa"/>
        <w:tblLayout w:type="fixed"/>
        <w:tblCellMar>
          <w:top w:w="28" w:type="dxa"/>
          <w:left w:w="28" w:type="dxa"/>
          <w:bottom w:w="28" w:type="dxa"/>
          <w:right w:w="28" w:type="dxa"/>
        </w:tblCellMar>
      </w:tblPr>
      <w:tblGrid>
        <w:gridCol w:w="337"/>
        <w:gridCol w:w="244"/>
        <w:gridCol w:w="245"/>
        <w:gridCol w:w="181"/>
        <w:gridCol w:w="646"/>
        <w:gridCol w:w="109"/>
        <w:gridCol w:w="109"/>
        <w:gridCol w:w="109"/>
        <w:gridCol w:w="109"/>
        <w:gridCol w:w="181"/>
        <w:gridCol w:w="571"/>
        <w:gridCol w:w="109"/>
        <w:gridCol w:w="109"/>
        <w:gridCol w:w="109"/>
        <w:gridCol w:w="109"/>
        <w:gridCol w:w="181"/>
        <w:gridCol w:w="646"/>
        <w:gridCol w:w="109"/>
        <w:gridCol w:w="109"/>
        <w:gridCol w:w="109"/>
        <w:gridCol w:w="109"/>
        <w:gridCol w:w="181"/>
        <w:gridCol w:w="646"/>
        <w:gridCol w:w="109"/>
        <w:gridCol w:w="109"/>
        <w:gridCol w:w="109"/>
        <w:gridCol w:w="109"/>
        <w:gridCol w:w="181"/>
        <w:gridCol w:w="506"/>
        <w:gridCol w:w="109"/>
        <w:gridCol w:w="109"/>
        <w:gridCol w:w="109"/>
        <w:gridCol w:w="109"/>
        <w:gridCol w:w="181"/>
        <w:gridCol w:w="646"/>
        <w:gridCol w:w="109"/>
        <w:gridCol w:w="109"/>
        <w:gridCol w:w="109"/>
        <w:gridCol w:w="109"/>
        <w:gridCol w:w="181"/>
        <w:gridCol w:w="646"/>
        <w:gridCol w:w="109"/>
        <w:gridCol w:w="109"/>
        <w:gridCol w:w="109"/>
        <w:gridCol w:w="109"/>
        <w:gridCol w:w="181"/>
        <w:gridCol w:w="506"/>
        <w:gridCol w:w="109"/>
        <w:gridCol w:w="109"/>
        <w:gridCol w:w="109"/>
        <w:gridCol w:w="109"/>
        <w:gridCol w:w="181"/>
        <w:gridCol w:w="646"/>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2024</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Deferred Financing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Deferred Financing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Deferred Financing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Amount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2032 Senior Notes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(12,399)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517,601 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367,762 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(6,438)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361,324 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333,373 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(6,045)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327,328 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current portion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long-term debt</w:t>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530,000 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(12,399)</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517,601 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(6,002)</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223,998 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(5,744)</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224,256 </w:t>
            </w:r>
          </w:p>
        </w:tc>
        <w:tc>
          <w:tcPr>
            <w:tcW w:w="15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interest expense related to its debt for the three and nine months ended June 30, 2025 and 2024:</w:t>
      </w:r>
    </w:p>
    <w:tbl>
      <w:tblPr>
        <w:tblW w:w="7768" w:type="dxa"/>
        <w:jc w:val="left"/>
        <w:tblInd w:w="0" w:type="dxa"/>
        <w:tblLayout w:type="fixed"/>
        <w:tblCellMar>
          <w:top w:w="28" w:type="dxa"/>
          <w:left w:w="28" w:type="dxa"/>
          <w:bottom w:w="28" w:type="dxa"/>
          <w:right w:w="28" w:type="dxa"/>
        </w:tblCellMar>
      </w:tblPr>
      <w:tblGrid>
        <w:gridCol w:w="950"/>
        <w:gridCol w:w="835"/>
        <w:gridCol w:w="839"/>
        <w:gridCol w:w="109"/>
        <w:gridCol w:w="109"/>
        <w:gridCol w:w="167"/>
        <w:gridCol w:w="167"/>
        <w:gridCol w:w="278"/>
        <w:gridCol w:w="763"/>
        <w:gridCol w:w="167"/>
        <w:gridCol w:w="109"/>
        <w:gridCol w:w="109"/>
        <w:gridCol w:w="109"/>
        <w:gridCol w:w="181"/>
        <w:gridCol w:w="496"/>
        <w:gridCol w:w="109"/>
        <w:gridCol w:w="109"/>
        <w:gridCol w:w="109"/>
        <w:gridCol w:w="109"/>
        <w:gridCol w:w="181"/>
        <w:gridCol w:w="496"/>
        <w:gridCol w:w="109"/>
        <w:gridCol w:w="109"/>
        <w:gridCol w:w="109"/>
        <w:gridCol w:w="109"/>
        <w:gridCol w:w="181"/>
        <w:gridCol w:w="49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1158" w:type="dxa"/>
            <w:gridSpan w:val="6"/>
            <w:tcBorders/>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2032 Senior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5,532 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5,737 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2,416 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7,183 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863 </w:t>
            </w:r>
          </w:p>
        </w:tc>
        <w:tc>
          <w:tcPr>
            <w:tcW w:w="15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pPr>
      <w:r>
        <w:rPr>
          <w:rFonts w:ascii="Arial Narrow;sans-serif" w:hAnsi="Arial Narrow;sans-serif"/>
          <w:b w:val="false"/>
          <w:color w:val="000000"/>
          <w:sz w:val="20"/>
        </w:rPr>
        <w:br/>
        <w:br/>
      </w:r>
      <w:r>
        <w:rPr>
          <w:rFonts w:ascii="Arial Narrow;sans-serif" w:hAnsi="Arial Narrow;sans-serif"/>
          <w:b/>
          <w:color w:val="252525"/>
          <w:sz w:val="20"/>
        </w:rPr>
        <w:t>2032 Senior Notes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In March 2025, we issued $300.0 million aggregate principal amount of the Company’s 7.375% senior notes due 2032, for which $300.0 million remains outstanding as of June 30, 2025. The 2032 Senior Notes were issued pursuant to an indenture, dated March 28, 2025 (the “2025 Indenture”), by and among the Company, certain of the Company’s wholly-owned domestic subsidiaries and Truist Bank, as trustee in a private placement under Rule 144A and Regulation S under the Securities Act of 1933 (the “Securities Act”). The 2032 Senior Notes have not been and will not be registered under the federal securities laws or the securities laws of any state or any other jurisdiction. The Company is not required to register the 2032 Senior Notes for resale under the Securities Act, or the securities laws of any other jurisdiction, and is not required to exchange the 2032 Senior Notes for notes registered under the Securities Act or the securities laws of any other jurisdiction and has no present intention to do so. As a result, Rule 3-10 of Regulation S-X promulgated by the SEC is not applicable and no separate financial statements are required for the guarantor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net proceeds from the offering were approximately $292.6 million, after deducting the initial purchasers’ discounts and estimated offering expenses payable by us. The Company capitalized $7.6 million in debt issuance costs, which consisted primarily of the initial purchaser’s discount and fees and legal and other professional expenses. The debt issuance costs are being amortized over the life of the 2032 Senior Notes as a component of interest expense and are carried as a direct deduction from the carrying amount of the 2032 Senior Notes in the accompanying condensed consolidated balance sheets.</w:t>
      </w:r>
    </w:p>
    <w:p>
      <w:pPr>
        <w:pStyle w:val="TextBody"/>
        <w:bidi w:val="0"/>
        <w:spacing w:lineRule="auto" w:line="316"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2032 Senior Notes pay interest semi-annually in arrears at a rate of 7.375% per annum on April 1st and October 1st of each year, commencing October 1, 2025, and mature on April 1, 2032, unless earlier redeemed or repurchased in accordance with the terms prior to such date. The effective interest rate for the three and nine months ended June 30, 2025 was approximately 7.85%. The 2025 Indenture contains certain customary affirmative covenants, negative covenants and events of default. As of June 30, 2025, the Company was in compliance with all covenants relating to the 2032 Senior Notes.</w:t>
      </w:r>
    </w:p>
    <w:p>
      <w:pPr>
        <w:pStyle w:val="TextBody"/>
        <w:bidi w:val="0"/>
        <w:spacing w:before="0" w:after="0"/>
        <w:jc w:val="left"/>
        <w:rPr/>
      </w:pPr>
      <w:r>
        <w:rPr/>
      </w:r>
    </w:p>
    <w:p>
      <w:pPr>
        <w:pStyle w:val="TextBody"/>
        <w:bidi w:val="0"/>
        <w:spacing w:lineRule="auto" w:line="316" w:before="0" w:after="0"/>
        <w:jc w:val="left"/>
        <w:rPr>
          <w:rFonts w:ascii="Arial Narrow;sans-serif" w:hAnsi="Arial Narrow;sans-serif"/>
          <w:b w:val="false"/>
          <w:color w:val="000000"/>
          <w:sz w:val="20"/>
        </w:rPr>
      </w:pPr>
      <w:r>
        <w:rPr>
          <w:rFonts w:ascii="Arial Narrow;sans-serif" w:hAnsi="Arial Narrow;sans-serif"/>
          <w:b w:val="false"/>
          <w:color w:val="000000"/>
          <w:sz w:val="20"/>
        </w:rPr>
        <w:t>The 2032 Senior Notes are senior unsecured obligations of the Company and are fully and unconditionally guaranteed by certain of the Company’s wholly-owned domestic subsidiaries. The Company may redeem some or all of the 2032 Senior Notes at any time on or after April 1, 2028, at the redemption prices set forth in the 2025 Indenture, plus accrued and unpaid interest, if any. Additionally, the Company may redeem some or all of the 2032 Senior Notes at a price equal to 100% of principal amount, plus accrued and unpaid interest, if any, plus a “make-whole” premium set forth in the Indenture prior to April 1, 2028. The Company may redeem up to 40% of the 2032 Senior Notes prior to April 1, 2028 with the proceeds of certain equity offerings at the redemption price set forth in the 2025 Indenture. If the Company sells certain assets or if the Company consummates certain change in control transactions, the Company will be required to make an offer to repurchase the 2032 Senior Notes.</w:t>
      </w:r>
    </w:p>
    <w:p>
      <w:pPr>
        <w:pStyle w:val="TextBody"/>
        <w:bidi w:val="0"/>
        <w:spacing w:before="0" w:after="0"/>
        <w:jc w:val="left"/>
        <w:rPr/>
      </w:pPr>
      <w:r>
        <w:rPr/>
      </w:r>
    </w:p>
    <w:p>
      <w:pPr>
        <w:pStyle w:val="TextBody"/>
        <w:bidi w:val="0"/>
        <w:spacing w:lineRule="auto" w:line="316" w:before="0" w:after="180"/>
        <w:jc w:val="left"/>
        <w:rPr>
          <w:rFonts w:ascii="Arial Narrow;sans-serif" w:hAnsi="Arial Narrow;sans-serif"/>
          <w:b/>
          <w:color w:val="252525"/>
          <w:sz w:val="20"/>
        </w:rPr>
      </w:pPr>
      <w:r>
        <w:rPr>
          <w:rFonts w:ascii="Arial Narrow;sans-serif" w:hAnsi="Arial Narrow;sans-serif"/>
          <w:b/>
          <w:color w:val="252525"/>
          <w:sz w:val="20"/>
        </w:rPr>
        <w:t>2029 Convertible Notes</w:t>
      </w:r>
    </w:p>
    <w:p>
      <w:pPr>
        <w:pStyle w:val="TextBody"/>
        <w:bidi w:val="0"/>
        <w:spacing w:lineRule="auto" w:line="316" w:before="0" w:after="0"/>
        <w:jc w:val="left"/>
        <w:rPr>
          <w:rFonts w:ascii="Arial Narrow;sans-serif" w:hAnsi="Arial Narrow;sans-serif"/>
          <w:b w:val="false"/>
          <w:color w:val="000000"/>
          <w:sz w:val="20"/>
        </w:rPr>
      </w:pPr>
      <w:r>
        <w:rPr>
          <w:rFonts w:ascii="Arial Narrow;sans-serif" w:hAnsi="Arial Narrow;sans-serif"/>
          <w:b w:val="false"/>
          <w:color w:val="000000"/>
          <w:sz w:val="20"/>
        </w:rPr>
        <w:t>In December 2022, we issued $230.0 million aggregate principal amount of the 2029 Convertible Notes, for which $230.0 million remains outstanding as of June 30, 2025. The 2029 Convertible Notes were issued pursuant to an indenture dated December 12, 2022 (the “2022 Indenture”) by and between the Company and Truist Bank, as trustee. The 2029 Convertible Notes were issued in a private offering under Rule 144A under the Securities Act.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2029 Convertible Notes pay interest semi-annually in arrears at a rate of 3.750% per annum on June 15 and December 15 of each year, commencing June 15, 2023, and mature on December 15, 2029 (the “2029 Maturity Date”), unless converted, redeemed or repurchased in accordance with the terms prior to such date. At maturity, the holders of the 2029 Convertible Notes will be entitled to receive cash, securities, or combination at the Company’s election equal to the principal of the 2029 Convertible Notes plus accrued interest. The effective interest rate for the three and nine months ended June 30, 2025 was approximately 4.28%. As of June 30, 2025, the remaining unamortized debt issuance costs will be amortized using the effective interest method through the 2029 Maturity Date assuming no early conversion.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2029 Convertible Notes are convertible based on an initial conversion rate of 89.0313 shares of Class A Common Stock per $1,000 principal amount (equivalent to an initial conversion price of $11.232 per share). The conversion rate will not be adjusted for any accrued and unpaid interest. The 2029 Convertible Notes contain certain make-whole fundamental change premiums and customary anti-dilution adjustments. Upon conversion, we may settle in cash, shares of Class A Common Stock or any combination thereof, at our election.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Prior to June 15, 2029, the 2029 Convertible Notes will be convertible only under the following circumstances: (1) during any fiscal quarter commencing after the fiscal quarter ending on March 31, 2023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2022 Indenture, per $1,000 principal amount of notes for each trading day of the measurement period was less than 98% of the product of the last reported sale price of our Class A Common Stock and the conversion rate on such trading day; (3) if we call any or all of the 2029 Convertible Notes for redemption, at any time prior to the close of business on the business day immediately preceding the redemption date; or (4) upon the occurrence of specified corporate events, as defined in the 2022 Indenture. On or after June 15, 2029 until the close of business on the business day immediately preceding the 2029 Maturity Date, holders of 2029 Convertible Notes may, at their option, convert their 2029 Convertible Notes at any time, regardless of the foregoing circumstances.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may not redeem the 2029 Convertible Notes prior to December 21, 2026. At our option, we may redeem for cash all or any portion of the 2029 Convertible Notes on or after December 21, 2026,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2029 Convertible Notes to be redeemed, plus accrued and unpaid interest to, but excluding, the redemption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June 30, 2025, the 2029 Convertible Notes were not convertible as no conditions of conversion had been met. Accordingly, the net balance of the 2029 Convertible Notes was classified as a non-current liability in our condensed consolidated balance sheets as of June 30, 2025. The classification of the 2029 Convertible Notes as current or non-current in the condensed consolidated balance sheets is evaluated at each balance sheet date and may change from time to time depending on whether any of the conversion conditions has been met.</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If one of the conversion conditions is met in any future fiscal quarter, we will classify our net liability under the 2029 Convertible Notes as a current liability in the condensed consolidated balance sheets as of the end of that fiscal quarter. If none of the conversion conditions have been met in a future fiscal quarter prior to the one-year period immediately preceding the 2029 Maturity Date, we will classify our net liability under the 2029 Convertible Notes as a non-current liability in the condensed consolidated balance sheets as of the end of that fiscal quarter. If the note holders elect to convert their 2029 Convertible Notes prior to maturity, any unamortized debt issuance costs will be recognized as expense at the time of conversion. If the entire outstanding principal amount had been converted on June 30, 2025, we would have recorded an expense associated with the conversion, comprised of $5.0 million of unamortized debt issuance costs. The stock trading price condition and other triggers are measured on a quarter-by-quarter basis and were not met as of June 30, 2025. As of June 30, 2025, the if-converted value of the 2029 Convertible Notes did not exceed the principal amount.</w:t>
      </w:r>
    </w:p>
    <w:p>
      <w:pPr>
        <w:pStyle w:val="TextBody"/>
        <w:bidi w:val="0"/>
        <w:spacing w:lineRule="auto" w:line="288" w:before="180" w:after="283"/>
        <w:jc w:val="left"/>
        <w:rPr>
          <w:rFonts w:ascii="Arial Narrow;sans-serif" w:hAnsi="Arial Narrow;sans-serif"/>
          <w:b/>
          <w:color w:val="252525"/>
          <w:sz w:val="20"/>
        </w:rPr>
      </w:pPr>
      <w:r>
        <w:rPr>
          <w:rFonts w:ascii="Arial Narrow;sans-serif" w:hAnsi="Arial Narrow;sans-serif"/>
          <w:b/>
          <w:color w:val="252525"/>
          <w:sz w:val="20"/>
        </w:rPr>
        <w:t>2025 Convertible Notes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April 2025, holders converted approximately $97.0 million in principal amount of the 2025 Convertible Notes into approximately 6.1 million shares of our Class A Common Stock, and with payments of cash in lieu of any fractional shares. On May 1, 2025, the Company repaid the remaining $6.4 million principal balance of the 2025 Convertible Notes using cash.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May 2018, we issued $172.5 million aggregate principal amount of the 2025 Convertible Notes. The 2025 Convertible Notes were issued pursuant to an indenture dated May 14, 2018 (the “2018 Indenture”) by and between the Company and Wells Fargo Bank, National Association, as the original trustee. Effective October 1, 2019, Truist (formerly BB&amp;T) assumed the duties and responsibilities as trustee under the 2018 Indenture. The 2025 Convertible Notes were issued in a private offering under Rule 144A under the Securities Act. In December 2022, we repurchased approximately $69.1 million aggregate principal amount of the 2025 Convertible Notes for approximately $62.9 million plus accrued interest.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2025 Convertible Notes paid interest semi-annually in arrears at a rate of 2.375% per annum on May 1 and November 1 of each year, commencing November 1, 2018, and matured on May 1, 2025 (the “2025 Maturity Date”), unless converted, redeemed or repurchased in accordance with the terms prior to such date. The 2025 Convertible Notes were convertible based on an initial conversion rate of 62.8931 shares of Class A Common Stock per $1,000 principal amount (equivalent to an initial conversion price of $15.90 per share). Until the close of business on the business day immediately preceding the 2025 Maturity Date, holders of 2025 Convertible Notes could, at their option, convert their 2025 Convertible Notes at any time. Pursuant to the terms of the 2018 Indenture, we had elected to settle any conversions of the 2025 Convertible Notes using shares of Class A Common Stock (physical settlement). </w:t>
      </w:r>
    </w:p>
    <w:p>
      <w:pPr>
        <w:pStyle w:val="TextBody"/>
        <w:bidi w:val="0"/>
        <w:spacing w:lineRule="auto" w:line="288" w:before="180" w:after="283"/>
        <w:jc w:val="left"/>
        <w:rPr>
          <w:rFonts w:ascii="Arial Narrow;sans-serif" w:hAnsi="Arial Narrow;sans-serif"/>
          <w:b/>
          <w:color w:val="252525"/>
          <w:sz w:val="20"/>
        </w:rPr>
      </w:pPr>
      <w:r>
        <w:rPr>
          <w:rFonts w:ascii="Arial Narrow;sans-serif" w:hAnsi="Arial Narrow;sans-serif"/>
          <w:b/>
          <w:color w:val="252525"/>
          <w:sz w:val="20"/>
        </w:rPr>
        <w:t>2024 Convertible Notes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On July 1, 2024, the $34.4 million aggregate principal amount outstanding plus accrued interest was repaid using cash on hand and 77,328 Class A Common Stock shares, equal to the accreted value, were issued as part of the 2024 Convertible Notes conversion.</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In July 2017, we issued $143.75 million aggregate principal amount of the 2024 Convertible Notes. The 2024 Convertible Notes were issued pursuant to an indenture dated July 5, 2017 (the “2017 Indenture”) by and between the Company and Wells Fargo Bank, National Association, as the original trustee. Effective October 1, 2019, Truist (formerly BB&amp;T) assumed the duties and responsibilities as trustee under the 2017 Indenture. The 2024 Convertible Notes were issued in a private offering under Rule 144A under the Securities Act. In December 2022, we repurchased approximately $109.4 million aggregate principal amount of the 2024 Convertible Notes for approximately $117.5 million plus accrued interest.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2024 Convertible Notes paid interest semi-annually in arrears at a rate of 2.875% per annum on January 1 and July 1 of each year, commencing January 1, 2018, and matured on July 1, 2024 (the “2024 Maturity Date”). The 2024 Convertible Notes were convertible based on an initial conversion rate of 100 shares of Class A Common Stock per $1,000 principal amount (equivalent to an initial conversion price of $10.00 per share). Until the close of business on the business day immediately preceding the 2024 Maturity Date, holders of 2024 Convertible Notes could, at their option, convert their 2024 Convertible Notes at any time. Because we did not elect an alternative settlement method prior to January 1, 2024, conversions were settled by combination settlement, which was $1,000 cash (per the $1,000 principal value) plus stock equal to the accreted value as defined in the 2017 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9: COMMON STOCK AND STOCK COMPENSATION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Common Stock Repurchase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On May 3, 2022, the Company’s Board of Directors (the “Board”) authorized the repurchase of up to $50 million of our Class A Common Stock over three years (the “Common Stock Repurchase Program”). Execution of the program was responsive to fluctuating market conditions and valuations, liquidity needs and the expected return on investment compared to other opportunities.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amount and timing of purchases was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As of June 30, 2025, we had repurchased and retired 3,178,147 shares of our Class A Common Stock for $30.0 million under the Common Stock Repurchase Program, of which 332,599 shares were repurchased and retired for $4.0 million during the nine months ended June 30, 2025. There were no shares repurchased under the Common Stock Repurchase Program for the three months ended June 30, 2025. During the three and nine months ended June 30, 2024, 285,392 and 945,749 shares were repurchased and retired for $3.0 million and $9.0 million, respectively, under the Common Stock Repurchase Program. The repurchase amount is allocated between “Additional paid-in capital” and “Retained earnings” in our condensed consolidated balance sheets.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Common Stock Repurchase Program expired on May 3, 2025.</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Common Stock Repurchases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three months ended June 30, 2025, the Company used approximately $2.0 million to repurchase for cash 148,921 shares of its Class A Common Stock. Such transactions were authorized separately from, and not considered a part of the Common Stock Repurchase Program. The repurchase amount is allocated between “Additional paid-in capital” and “Retained earnings” in our condensed consolidated balance sheets.</w:t>
      </w:r>
    </w:p>
    <w:p>
      <w:pPr>
        <w:pStyle w:val="TextBody"/>
        <w:bidi w:val="0"/>
        <w:spacing w:lineRule="auto" w:line="288" w:before="180" w:after="283"/>
        <w:ind w:left="0" w:right="0" w:hanging="360"/>
        <w:jc w:val="left"/>
        <w:rPr>
          <w:rFonts w:ascii="Arial Narrow;sans-serif" w:hAnsi="Arial Narrow;sans-serif"/>
          <w:b/>
          <w:color w:val="000000"/>
          <w:sz w:val="20"/>
        </w:rPr>
      </w:pPr>
      <w:r>
        <w:rPr>
          <w:rFonts w:ascii="Arial Narrow;sans-serif" w:hAnsi="Arial Narrow;sans-serif"/>
          <w:b/>
          <w:color w:val="000000"/>
          <w:sz w:val="20"/>
        </w:rPr>
        <w:t>Stock Compensation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maintain a Board-approved incentive plan to retain the services of our valued officers, directors and employees and to incentivize such persons to make contributions to our company and motivate excellent performance (the “Incentive Plan”). Under the Incentive Plan, we grant awards of restricted stock or restricted stock units to employees and non-employee directors. Awards granted to employees are typically subject to performance and service conditions. Awards granted to non-employee directors are time-based awards subject only to service conditions. Awards granted under the Incentive Plan are measured at the grant date fair value with compensation costs associated with the awards recognized over the requisite service period, usually the vesting period, on a straight-line basis.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a summary of stock compensation activity:</w:t>
      </w:r>
    </w:p>
    <w:tbl>
      <w:tblPr>
        <w:tblW w:w="5982" w:type="dxa"/>
        <w:jc w:val="left"/>
        <w:tblInd w:w="0" w:type="dxa"/>
        <w:tblLayout w:type="fixed"/>
        <w:tblCellMar>
          <w:top w:w="28" w:type="dxa"/>
          <w:left w:w="28" w:type="dxa"/>
          <w:bottom w:w="28" w:type="dxa"/>
          <w:right w:w="28" w:type="dxa"/>
        </w:tblCellMar>
      </w:tblPr>
      <w:tblGrid>
        <w:gridCol w:w="1042"/>
        <w:gridCol w:w="918"/>
        <w:gridCol w:w="920"/>
        <w:gridCol w:w="471"/>
        <w:gridCol w:w="474"/>
        <w:gridCol w:w="196"/>
        <w:gridCol w:w="109"/>
        <w:gridCol w:w="109"/>
        <w:gridCol w:w="109"/>
        <w:gridCol w:w="392"/>
        <w:gridCol w:w="934"/>
        <w:gridCol w:w="308"/>
      </w:tblGrid>
      <w:tr>
        <w:trPr/>
        <w:tc>
          <w:tcPr>
            <w:tcW w:w="104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Weighted Average</w:t>
              <w:br/>
              <w:t>Grant Date Fair Value</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Outstanding as of September 30, 2024</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2,699,914 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Granted </w:t>
            </w:r>
            <w:r>
              <w:rPr>
                <w:rFonts w:ascii="Arial Narrow;sans-serif" w:hAnsi="Arial Narrow;sans-serif"/>
                <w:b w:val="false"/>
                <w:color w:val="000000"/>
                <w:sz w:val="13"/>
              </w:rPr>
              <w:t>(a)</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1,263,685 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Released </w:t>
            </w:r>
            <w:r>
              <w:rPr>
                <w:rFonts w:ascii="Arial Narrow;sans-serif" w:hAnsi="Arial Narrow;sans-serif"/>
                <w:b w:val="false"/>
                <w:color w:val="000000"/>
                <w:sz w:val="13"/>
              </w:rPr>
              <w:t>(b)</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(1,130,921)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7.89 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Cancelled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(141,421)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Outstanding as of June 30, 2025</w:t>
            </w:r>
          </w:p>
        </w:tc>
        <w:tc>
          <w:tcPr>
            <w:tcW w:w="945"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2,691,257 </w:t>
            </w:r>
          </w:p>
        </w:tc>
        <w:tc>
          <w:tcPr>
            <w:tcW w:w="1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9.68 </w:t>
            </w:r>
          </w:p>
        </w:tc>
        <w:tc>
          <w:tcPr>
            <w:tcW w:w="308"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rFonts w:ascii="Arial Narrow;sans-serif" w:hAnsi="Arial Narrow;sans-serif"/>
          <w:b w:val="false"/>
          <w:color w:val="000000"/>
          <w:sz w:val="16"/>
        </w:rPr>
      </w:pPr>
      <w:r>
        <w:rPr>
          <w:rFonts w:ascii="Arial Narrow;sans-serif" w:hAnsi="Arial Narrow;sans-serif"/>
          <w:b w:val="false"/>
          <w:color w:val="000000"/>
          <w:sz w:val="16"/>
        </w:rPr>
        <w:t xml:space="preserve">(a) Includes performance adjustment of 320,076 shares awarded above their target grants resulting from the achievement of performance targets established at the grant date. </w:t>
      </w:r>
    </w:p>
    <w:p>
      <w:pPr>
        <w:pStyle w:val="TextBody"/>
        <w:bidi w:val="0"/>
        <w:spacing w:lineRule="auto" w:line="288" w:before="60" w:after="180"/>
        <w:ind w:left="0" w:right="0" w:hanging="360"/>
        <w:jc w:val="left"/>
        <w:rPr>
          <w:rFonts w:ascii="Arial Narrow;sans-serif" w:hAnsi="Arial Narrow;sans-serif"/>
          <w:b w:val="false"/>
          <w:color w:val="000000"/>
          <w:sz w:val="16"/>
        </w:rPr>
      </w:pPr>
      <w:r>
        <w:rPr>
          <w:rFonts w:ascii="Arial Narrow;sans-serif" w:hAnsi="Arial Narrow;sans-serif"/>
          <w:b w:val="false"/>
          <w:color w:val="000000"/>
          <w:sz w:val="16"/>
        </w:rPr>
        <w:t>(b) 337,481 shares were withheld to satisfy related income tax withholding.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10: COMMITMENTS AND CONTINGENCIES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Currently, and from time to time, we are involved in various claims, disputes, lawsuits, investigations, and legal and regulatory proceedings.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and the amount of resulting loss may differ from these estimates. We do not believe the resolution of any particular matter will have a material adverse effect on our financial condition,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11: SEGMENT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operations are primarily managed on a geographical basis and are comprised of three reportable segments. The factors for determining our reportable segments include the manner in which our chief operating decision maker evaluates performance for purposes of allocating resources and assessing performance.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currently report our segments as follows: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U.S. Pawn — all pawn activities in the United States;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Latin America Pawn — all pawn activities in Mexico and other parts of Latin America; and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Other Investments — primarily our equity interest in Cash Converters and our investment in and notes receivable from Founders.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There are no inter-segment revenues presented below, and the amounts below were determined in accordance with the same accounting principles used in our condensed consolidated financial statements.</w:t>
      </w:r>
    </w:p>
    <w:p>
      <w:pPr>
        <w:pStyle w:val="TextBody"/>
        <w:bidi w:val="0"/>
        <w:spacing w:lineRule="auto" w:line="288" w:before="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income (loss) before income taxes tables present revenues for each reportable segment, disaggregated revenues within our reportable segments and Corporate, segment profits and segment contribution.</w:t>
      </w:r>
    </w:p>
    <w:tbl>
      <w:tblPr>
        <w:tblW w:w="10205" w:type="dxa"/>
        <w:jc w:val="left"/>
        <w:tblInd w:w="0" w:type="dxa"/>
        <w:tblLayout w:type="fixed"/>
        <w:tblCellMar>
          <w:top w:w="28" w:type="dxa"/>
          <w:left w:w="28" w:type="dxa"/>
          <w:bottom w:w="28" w:type="dxa"/>
          <w:right w:w="28" w:type="dxa"/>
        </w:tblCellMar>
      </w:tblPr>
      <w:tblGrid>
        <w:gridCol w:w="858"/>
        <w:gridCol w:w="685"/>
        <w:gridCol w:w="654"/>
        <w:gridCol w:w="181"/>
        <w:gridCol w:w="646"/>
        <w:gridCol w:w="109"/>
        <w:gridCol w:w="109"/>
        <w:gridCol w:w="109"/>
        <w:gridCol w:w="109"/>
        <w:gridCol w:w="243"/>
        <w:gridCol w:w="768"/>
        <w:gridCol w:w="146"/>
        <w:gridCol w:w="109"/>
        <w:gridCol w:w="109"/>
        <w:gridCol w:w="109"/>
        <w:gridCol w:w="260"/>
        <w:gridCol w:w="714"/>
        <w:gridCol w:w="157"/>
        <w:gridCol w:w="109"/>
        <w:gridCol w:w="109"/>
        <w:gridCol w:w="109"/>
        <w:gridCol w:w="203"/>
        <w:gridCol w:w="726"/>
        <w:gridCol w:w="122"/>
        <w:gridCol w:w="109"/>
        <w:gridCol w:w="109"/>
        <w:gridCol w:w="109"/>
        <w:gridCol w:w="209"/>
        <w:gridCol w:w="689"/>
        <w:gridCol w:w="126"/>
        <w:gridCol w:w="109"/>
        <w:gridCol w:w="109"/>
        <w:gridCol w:w="109"/>
        <w:gridCol w:w="196"/>
        <w:gridCol w:w="701"/>
        <w:gridCol w:w="177"/>
      </w:tblGrid>
      <w:tr>
        <w:trPr/>
        <w:tc>
          <w:tcPr>
            <w:tcW w:w="85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08"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 2025</w:t>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56,375 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168,624 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168,624 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31,409 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115,339 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115,339 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219,960 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91,021 </w:t>
            </w:r>
          </w:p>
        </w:tc>
        <w:tc>
          <w:tcPr>
            <w:tcW w:w="1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310,981 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310,981 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108,226 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134,062 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49,577 </w:t>
            </w:r>
          </w:p>
        </w:tc>
        <w:tc>
          <w:tcPr>
            <w:tcW w:w="1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183,639 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183,639 </w:t>
            </w:r>
          </w:p>
        </w:tc>
        <w:tc>
          <w:tcPr>
            <w:tcW w:w="1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35,345 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119,123 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119,123 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21,780 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(4,409)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(5,440)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Other expense (income)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47,633 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12,444 </w:t>
            </w:r>
          </w:p>
        </w:tc>
        <w:tc>
          <w:tcPr>
            <w:tcW w:w="1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2,013 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62,090 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62,090 </w:t>
            </w:r>
          </w:p>
        </w:tc>
        <w:tc>
          <w:tcPr>
            <w:tcW w:w="12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(27,377)</w:t>
            </w:r>
          </w:p>
        </w:tc>
        <w:tc>
          <w:tcPr>
            <w:tcW w:w="12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34,713 </w:t>
            </w:r>
          </w:p>
        </w:tc>
        <w:tc>
          <w:tcPr>
            <w:tcW w:w="17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58"/>
        <w:gridCol w:w="685"/>
        <w:gridCol w:w="654"/>
        <w:gridCol w:w="181"/>
        <w:gridCol w:w="646"/>
        <w:gridCol w:w="109"/>
        <w:gridCol w:w="109"/>
        <w:gridCol w:w="109"/>
        <w:gridCol w:w="109"/>
        <w:gridCol w:w="243"/>
        <w:gridCol w:w="768"/>
        <w:gridCol w:w="146"/>
        <w:gridCol w:w="109"/>
        <w:gridCol w:w="109"/>
        <w:gridCol w:w="109"/>
        <w:gridCol w:w="260"/>
        <w:gridCol w:w="714"/>
        <w:gridCol w:w="157"/>
        <w:gridCol w:w="109"/>
        <w:gridCol w:w="109"/>
        <w:gridCol w:w="109"/>
        <w:gridCol w:w="203"/>
        <w:gridCol w:w="726"/>
        <w:gridCol w:w="122"/>
        <w:gridCol w:w="109"/>
        <w:gridCol w:w="109"/>
        <w:gridCol w:w="109"/>
        <w:gridCol w:w="209"/>
        <w:gridCol w:w="689"/>
        <w:gridCol w:w="126"/>
        <w:gridCol w:w="109"/>
        <w:gridCol w:w="109"/>
        <w:gridCol w:w="109"/>
        <w:gridCol w:w="196"/>
        <w:gridCol w:w="701"/>
        <w:gridCol w:w="177"/>
      </w:tblGrid>
      <w:tr>
        <w:trPr/>
        <w:tc>
          <w:tcPr>
            <w:tcW w:w="85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08"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 2024</w:t>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50,291 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158,140 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158,140 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15,395 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30,414 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107,830 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107,830 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199,050 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82,371 </w:t>
            </w:r>
          </w:p>
        </w:tc>
        <w:tc>
          <w:tcPr>
            <w:tcW w:w="1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281,421 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281,421 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101,211 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101,211 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13,483 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13,483 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119,934 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46,793 </w:t>
            </w:r>
          </w:p>
        </w:tc>
        <w:tc>
          <w:tcPr>
            <w:tcW w:w="1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166,727 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166,727 </w:t>
            </w:r>
          </w:p>
        </w:tc>
        <w:tc>
          <w:tcPr>
            <w:tcW w:w="1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34,894 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116,335 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116,335 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20,060 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loss on sale or disposal of assets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36,087 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10,341 </w:t>
            </w:r>
          </w:p>
        </w:tc>
        <w:tc>
          <w:tcPr>
            <w:tcW w:w="1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1,999 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48,427 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48,427 </w:t>
            </w:r>
          </w:p>
        </w:tc>
        <w:tc>
          <w:tcPr>
            <w:tcW w:w="12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(25,427)</w:t>
            </w:r>
          </w:p>
        </w:tc>
        <w:tc>
          <w:tcPr>
            <w:tcW w:w="12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23,000 </w:t>
            </w:r>
          </w:p>
        </w:tc>
        <w:tc>
          <w:tcPr>
            <w:tcW w:w="17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50"/>
        <w:gridCol w:w="677"/>
        <w:gridCol w:w="646"/>
        <w:gridCol w:w="181"/>
        <w:gridCol w:w="646"/>
        <w:gridCol w:w="109"/>
        <w:gridCol w:w="109"/>
        <w:gridCol w:w="109"/>
        <w:gridCol w:w="109"/>
        <w:gridCol w:w="230"/>
        <w:gridCol w:w="823"/>
        <w:gridCol w:w="138"/>
        <w:gridCol w:w="109"/>
        <w:gridCol w:w="109"/>
        <w:gridCol w:w="109"/>
        <w:gridCol w:w="259"/>
        <w:gridCol w:w="712"/>
        <w:gridCol w:w="157"/>
        <w:gridCol w:w="109"/>
        <w:gridCol w:w="109"/>
        <w:gridCol w:w="109"/>
        <w:gridCol w:w="202"/>
        <w:gridCol w:w="724"/>
        <w:gridCol w:w="122"/>
        <w:gridCol w:w="109"/>
        <w:gridCol w:w="109"/>
        <w:gridCol w:w="109"/>
        <w:gridCol w:w="208"/>
        <w:gridCol w:w="687"/>
        <w:gridCol w:w="125"/>
        <w:gridCol w:w="109"/>
        <w:gridCol w:w="109"/>
        <w:gridCol w:w="109"/>
        <w:gridCol w:w="196"/>
        <w:gridCol w:w="701"/>
        <w:gridCol w:w="177"/>
      </w:tblGrid>
      <w:tr>
        <w:trPr/>
        <w:tc>
          <w:tcPr>
            <w:tcW w:w="85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2"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 2025</w:t>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166,470 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524,434 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524,434 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64,640 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64,640 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88,908 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348,262 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348,262 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673,546 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263,921 </w:t>
            </w:r>
          </w:p>
        </w:tc>
        <w:tc>
          <w:tcPr>
            <w:tcW w:w="1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937,467 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937,467 </w:t>
            </w:r>
          </w:p>
        </w:tc>
        <w:tc>
          <w:tcPr>
            <w:tcW w:w="1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116,193 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341,605 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341,605 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48,367 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406,117 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141,378 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547,495 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547,495 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101,702 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352,101 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352,101 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60,089 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6,191 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(9,408)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147,658 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34,592 </w:t>
            </w:r>
          </w:p>
        </w:tc>
        <w:tc>
          <w:tcPr>
            <w:tcW w:w="1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6,701 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188,951 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188,951 </w:t>
            </w:r>
          </w:p>
        </w:tc>
        <w:tc>
          <w:tcPr>
            <w:tcW w:w="122" w:type="dxa"/>
            <w:tcBorders>
              <w:bottom w:val="single" w:sz="1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(78,442)</w:t>
            </w:r>
          </w:p>
        </w:tc>
        <w:tc>
          <w:tcPr>
            <w:tcW w:w="125" w:type="dxa"/>
            <w:tcBorders>
              <w:bottom w:val="single" w:sz="1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110,509 </w:t>
            </w:r>
          </w:p>
        </w:tc>
        <w:tc>
          <w:tcPr>
            <w:tcW w:w="177" w:type="dxa"/>
            <w:tcBorders>
              <w:bottom w:val="single" w:sz="12"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color w:val="000000"/>
        </w:rPr>
      </w:pPr>
      <w:r>
        <w:rPr>
          <w:color w:val="000000"/>
        </w:rPr>
        <w:t>    </w:t>
      </w:r>
    </w:p>
    <w:p>
      <w:pPr>
        <w:pStyle w:val="TextBody"/>
        <w:bidi w:val="0"/>
        <w:spacing w:before="0" w:after="0"/>
        <w:ind w:left="0" w:right="0" w:firstLine="7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51"/>
        <w:gridCol w:w="677"/>
        <w:gridCol w:w="645"/>
        <w:gridCol w:w="181"/>
        <w:gridCol w:w="646"/>
        <w:gridCol w:w="109"/>
        <w:gridCol w:w="109"/>
        <w:gridCol w:w="109"/>
        <w:gridCol w:w="109"/>
        <w:gridCol w:w="230"/>
        <w:gridCol w:w="823"/>
        <w:gridCol w:w="138"/>
        <w:gridCol w:w="109"/>
        <w:gridCol w:w="109"/>
        <w:gridCol w:w="109"/>
        <w:gridCol w:w="259"/>
        <w:gridCol w:w="712"/>
        <w:gridCol w:w="157"/>
        <w:gridCol w:w="109"/>
        <w:gridCol w:w="109"/>
        <w:gridCol w:w="109"/>
        <w:gridCol w:w="202"/>
        <w:gridCol w:w="724"/>
        <w:gridCol w:w="122"/>
        <w:gridCol w:w="109"/>
        <w:gridCol w:w="109"/>
        <w:gridCol w:w="109"/>
        <w:gridCol w:w="208"/>
        <w:gridCol w:w="687"/>
        <w:gridCol w:w="125"/>
        <w:gridCol w:w="109"/>
        <w:gridCol w:w="109"/>
        <w:gridCol w:w="109"/>
        <w:gridCol w:w="196"/>
        <w:gridCol w:w="701"/>
        <w:gridCol w:w="177"/>
      </w:tblGrid>
      <w:tr>
        <w:trPr/>
        <w:tc>
          <w:tcPr>
            <w:tcW w:w="85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2"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 2024</w:t>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154,019 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502,230 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502,230 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3,933 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43,191 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43,191 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321,442 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321,442 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624,062 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242,954 </w:t>
            </w:r>
          </w:p>
        </w:tc>
        <w:tc>
          <w:tcPr>
            <w:tcW w:w="1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867,051 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867,051 </w:t>
            </w:r>
          </w:p>
        </w:tc>
        <w:tc>
          <w:tcPr>
            <w:tcW w:w="1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103,944 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322,680 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322,680 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37,479 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37,479 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371,361 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135,496 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506,892 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506,892 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101,936 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341,472 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341,472 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54,869 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24,942 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loss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10,381 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10,381 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Other (income) expense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124,283 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28,608 </w:t>
            </w:r>
          </w:p>
        </w:tc>
        <w:tc>
          <w:tcPr>
            <w:tcW w:w="1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6,097 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158,988 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158,988 </w:t>
            </w:r>
          </w:p>
        </w:tc>
        <w:tc>
          <w:tcPr>
            <w:tcW w:w="12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(69,632)</w:t>
            </w:r>
          </w:p>
        </w:tc>
        <w:tc>
          <w:tcPr>
            <w:tcW w:w="12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89,356 </w:t>
            </w:r>
          </w:p>
        </w:tc>
        <w:tc>
          <w:tcPr>
            <w:tcW w:w="17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separately identified segment assets:</w:t>
      </w:r>
    </w:p>
    <w:tbl>
      <w:tblPr>
        <w:tblW w:w="9345" w:type="dxa"/>
        <w:jc w:val="left"/>
        <w:tblInd w:w="0" w:type="dxa"/>
        <w:tblLayout w:type="fixed"/>
        <w:tblCellMar>
          <w:top w:w="28" w:type="dxa"/>
          <w:left w:w="28" w:type="dxa"/>
          <w:bottom w:w="28" w:type="dxa"/>
          <w:right w:w="28" w:type="dxa"/>
        </w:tblCellMar>
      </w:tblPr>
      <w:tblGrid>
        <w:gridCol w:w="895"/>
        <w:gridCol w:w="788"/>
        <w:gridCol w:w="792"/>
        <w:gridCol w:w="181"/>
        <w:gridCol w:w="646"/>
        <w:gridCol w:w="109"/>
        <w:gridCol w:w="109"/>
        <w:gridCol w:w="109"/>
        <w:gridCol w:w="109"/>
        <w:gridCol w:w="315"/>
        <w:gridCol w:w="995"/>
        <w:gridCol w:w="190"/>
        <w:gridCol w:w="109"/>
        <w:gridCol w:w="109"/>
        <w:gridCol w:w="109"/>
        <w:gridCol w:w="242"/>
        <w:gridCol w:w="543"/>
        <w:gridCol w:w="146"/>
        <w:gridCol w:w="109"/>
        <w:gridCol w:w="109"/>
        <w:gridCol w:w="109"/>
        <w:gridCol w:w="316"/>
        <w:gridCol w:w="708"/>
        <w:gridCol w:w="190"/>
        <w:gridCol w:w="109"/>
        <w:gridCol w:w="109"/>
        <w:gridCol w:w="109"/>
        <w:gridCol w:w="181"/>
        <w:gridCol w:w="64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Other</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June 30, 2025</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70,575 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291,634 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6,278 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59,115 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1,348,466 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367,625 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81,649 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85,328 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1,883,068 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June 30, 2024</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62,443 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5,149 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49,996 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317,888 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78,136 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83,568 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1,510,163 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September 30, 2024</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59,778 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53,299 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311,824 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79,421 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92,766 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12: SUPPLEMENTAL CONSOLIDATED FINANCIAL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supplemental information on net amounts included in our condensed consolidated balance sheets:</w:t>
      </w:r>
    </w:p>
    <w:tbl>
      <w:tblPr>
        <w:tblW w:w="8332" w:type="dxa"/>
        <w:jc w:val="left"/>
        <w:tblInd w:w="0" w:type="dxa"/>
        <w:tblLayout w:type="fixed"/>
        <w:tblCellMar>
          <w:top w:w="28" w:type="dxa"/>
          <w:left w:w="28" w:type="dxa"/>
          <w:bottom w:w="28" w:type="dxa"/>
          <w:right w:w="28" w:type="dxa"/>
        </w:tblCellMar>
      </w:tblPr>
      <w:tblGrid>
        <w:gridCol w:w="1502"/>
        <w:gridCol w:w="1325"/>
        <w:gridCol w:w="1328"/>
        <w:gridCol w:w="197"/>
        <w:gridCol w:w="704"/>
        <w:gridCol w:w="118"/>
        <w:gridCol w:w="109"/>
        <w:gridCol w:w="109"/>
        <w:gridCol w:w="109"/>
        <w:gridCol w:w="197"/>
        <w:gridCol w:w="704"/>
        <w:gridCol w:w="118"/>
        <w:gridCol w:w="109"/>
        <w:gridCol w:w="109"/>
        <w:gridCol w:w="109"/>
        <w:gridCol w:w="274"/>
        <w:gridCol w:w="978"/>
        <w:gridCol w:w="233"/>
      </w:tblGrid>
      <w:tr>
        <w:trPr/>
        <w:tc>
          <w:tcPr>
            <w:tcW w:w="150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2024</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pawn service charges receivable</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59,297 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53,532 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57,544 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 for uncollectible pawn service charges receivable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(13,887)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(12,894)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(13,531)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45,410 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40,638 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44,013 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inventory</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228,769 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175,187 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194,657 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reserves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(2,734)</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225,489 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171,937 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191,923 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receivable and other</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16,482 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Notes receivable</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16,332 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 prepaid and receivable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43,417 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40,391 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39,171 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gross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296,294 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278,231 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280,714 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depreciation</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(228,855)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(218,305)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(214,741)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67,439 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59,926 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65,973 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20,850 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payroll</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13,541 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Incentive accrual</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19,883 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payroll related expenses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sales and VAT taxes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3,954 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income taxes payable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current liabilities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17,576 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19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78,756 </w:t>
            </w:r>
          </w:p>
        </w:tc>
        <w:tc>
          <w:tcPr>
            <w:tcW w:w="11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69,742 </w:t>
            </w:r>
          </w:p>
        </w:tc>
        <w:tc>
          <w:tcPr>
            <w:tcW w:w="11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85,737 </w:t>
            </w:r>
          </w:p>
        </w:tc>
        <w:tc>
          <w:tcPr>
            <w:tcW w:w="233"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supplemental disclosure of condensed consolidated statements of cash flows information:</w:t>
      </w:r>
    </w:p>
    <w:tbl>
      <w:tblPr>
        <w:tblW w:w="7014" w:type="dxa"/>
        <w:jc w:val="left"/>
        <w:tblInd w:w="0" w:type="dxa"/>
        <w:tblLayout w:type="fixed"/>
        <w:tblCellMar>
          <w:top w:w="28" w:type="dxa"/>
          <w:left w:w="28" w:type="dxa"/>
          <w:bottom w:w="28" w:type="dxa"/>
          <w:right w:w="28" w:type="dxa"/>
        </w:tblCellMar>
      </w:tblPr>
      <w:tblGrid>
        <w:gridCol w:w="1725"/>
        <w:gridCol w:w="1520"/>
        <w:gridCol w:w="1525"/>
        <w:gridCol w:w="181"/>
        <w:gridCol w:w="646"/>
        <w:gridCol w:w="109"/>
        <w:gridCol w:w="109"/>
        <w:gridCol w:w="109"/>
        <w:gridCol w:w="109"/>
        <w:gridCol w:w="181"/>
        <w:gridCol w:w="646"/>
        <w:gridCol w:w="154"/>
      </w:tblGrid>
      <w:tr>
        <w:trPr/>
        <w:tc>
          <w:tcPr>
            <w:tcW w:w="172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Supplemental disclosure of cash flow information</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beginning of period</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Short-term restricted cash at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cash and cash equivalents and restricted cash at beginning of period</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228,968 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end of period</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Short-term restricted cash at end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restricted cash at end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cash and cash equivalents and restricted cash at end of period</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487,077 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227,242 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investing and financing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 forfeited and transferred to inventory</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Settlement of 2025 Convertible Notes in shares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acquisition consideration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2. MANAGEMENT’S DISCUSSION AND ANALYSIS OF FINANCIAL CONDITION AND RESULTS OF OPERATIONS</w:t>
      </w:r>
    </w:p>
    <w:p>
      <w:pPr>
        <w:pStyle w:val="TextBody"/>
        <w:bidi w:val="0"/>
        <w:spacing w:lineRule="auto" w:line="288" w:before="180" w:after="283"/>
        <w:jc w:val="left"/>
        <w:rPr/>
      </w:pPr>
      <w:r>
        <w:rPr>
          <w:rFonts w:ascii="Arial Narrow;sans-serif" w:hAnsi="Arial Narrow;sans-serif"/>
          <w:b w:val="false"/>
          <w:color w:val="000000"/>
          <w:sz w:val="20"/>
        </w:rPr>
        <w:t>Management’s Discussion and Analysis of Financial Condition and Results of Operations is intended to inform the reader about matters affecting the financial condition and results of operations of EZCORP, Inc. and its subsidiaries (collectively, “we,” “us”, “our”, “EZCORP” or the “Company”). The following discussion should be read together with our condensed consolidated financial statements and related notes included elsewhere within this report. This discussion contains forward-looking statements. Our actual results could differ materially from those anticipated in these forward-looking statements. See “</w:t>
      </w:r>
      <w:hyperlink r:id="rId5">
        <w:r>
          <w:rPr>
            <w:rStyle w:val="InternetLink"/>
            <w:rFonts w:ascii="Arial Narrow;sans-serif" w:hAnsi="Arial Narrow;sans-serif"/>
            <w:b w:val="false"/>
            <w:strike w:val="false"/>
            <w:dstrike w:val="false"/>
            <w:color w:val="000000"/>
            <w:sz w:val="20"/>
            <w:u w:val="none"/>
            <w:effect w:val="none"/>
          </w:rPr>
          <w:t>Part I, Item 1A — Risk Factors</w:t>
        </w:r>
      </w:hyperlink>
      <w:r>
        <w:rPr>
          <w:rFonts w:ascii="Arial Narrow;sans-serif" w:hAnsi="Arial Narrow;sans-serif"/>
          <w:b w:val="false"/>
          <w:color w:val="000000"/>
          <w:sz w:val="20"/>
        </w:rPr>
        <w:t>”</w:t>
      </w:r>
      <w:hyperlink r:id="rId6">
        <w:r>
          <w:rPr>
            <w:rStyle w:val="InternetLink"/>
            <w:rFonts w:ascii="Arial Narrow;sans-serif" w:hAnsi="Arial Narrow;sans-serif"/>
            <w:b w:val="false"/>
            <w:strike w:val="false"/>
            <w:dstrike w:val="false"/>
            <w:color w:val="000000"/>
            <w:sz w:val="20"/>
            <w:u w:val="none"/>
            <w:effect w:val="none"/>
          </w:rPr>
          <w:t xml:space="preserve"> of our Annual Report on Form 10-K for the year ended September 30, </w:t>
        </w:r>
      </w:hyperlink>
      <w:r>
        <w:rPr>
          <w:rFonts w:ascii="Arial Narrow;sans-serif" w:hAnsi="Arial Narrow;sans-serif"/>
          <w:b w:val="false"/>
          <w:color w:val="000000"/>
          <w:sz w:val="20"/>
        </w:rPr>
        <w:t>2024, as supplemented by the information set forth in “Part I, Item 3 — Quantitative and Qualitative Disclosures about Market Risk” and “Part II, Item 1A — Risk Factors” of this Report, for a discussion of certain risks, uncertainties and assumptions associated with these statements.</w:t>
      </w: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Business Developments</w:t>
      </w:r>
    </w:p>
    <w:p>
      <w:pPr>
        <w:pStyle w:val="TextBody"/>
        <w:bidi w:val="0"/>
        <w:spacing w:lineRule="auto" w:line="288" w:before="260" w:after="283"/>
        <w:jc w:val="left"/>
        <w:rPr>
          <w:rFonts w:ascii="Arial Narrow;sans-serif" w:hAnsi="Arial Narrow;sans-serif"/>
          <w:b/>
          <w:color w:val="000000"/>
          <w:sz w:val="24"/>
        </w:rPr>
      </w:pPr>
      <w:r>
        <w:rPr>
          <w:rFonts w:ascii="Arial Narrow;sans-serif" w:hAnsi="Arial Narrow;sans-serif"/>
          <w:b/>
          <w:color w:val="000000"/>
          <w:sz w:val="24"/>
        </w:rPr>
        <w:t>2025 Convertible Notes</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April 2025, holders converted approximately $97.0 million in principal amount of the 2025 Convertible Notes into approximately 6.1 million shares of our Class A common Stock, with payments of cash in lieu of any fractional shares. On May 1, 2025, the Company repaid the remaining principal balance, $6.4 million, with cash. See Note 8 of Notes to Condensed Consolidated Financial Statements included in "Part I, Item 1 — Financial Statements" of this Report for further discussion.</w:t>
      </w:r>
    </w:p>
    <w:p>
      <w:pPr>
        <w:pStyle w:val="TextBody"/>
        <w:bidi w:val="0"/>
        <w:spacing w:lineRule="auto" w:line="288" w:before="260" w:after="283"/>
        <w:jc w:val="left"/>
        <w:rPr>
          <w:rFonts w:ascii="Arial Narrow;sans-serif" w:hAnsi="Arial Narrow;sans-serif"/>
          <w:b/>
          <w:color w:val="000000"/>
          <w:sz w:val="24"/>
        </w:rPr>
      </w:pPr>
      <w:r>
        <w:rPr>
          <w:rFonts w:ascii="Arial Narrow;sans-serif" w:hAnsi="Arial Narrow;sans-serif"/>
          <w:b/>
          <w:color w:val="000000"/>
          <w:sz w:val="24"/>
        </w:rPr>
        <w:t>Acquisition Agreement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June 17, 2025, the Company closed the acquisition of 40 stores across 13 states in Mexico. The stores, operating under the names “Monte Providencia” and “Tu Empeño Efectivo” offer traditional pawn loans, as well as auto pawn transactions, some of which are in stand-alone auto pawn stores. With this acquisition, the Company also takes over the management of 7 additional Monte Providencia stores, which we plan to acquire in the coming months. See Note 2 of Notes to Condensed Consolidated Financial Statements included in "Part I, Item 1 — Financial Statements" of this Report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Business Overview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EZCORP is a Delaware corporation headquartered in Austin, Texas. We are a leading provider of pawn services in the United States and Latin America. Pawn loans are nonrecourse loans collateralized by personal property. We also sell merchandise, primarily collateral forfeited from unpaid loans and pre-owned merchandise purchased from customers.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exist to serve our customers’ short-term cash needs, helping them to live and enjoy their lives. We are focused on three strategic pillars:</w:t>
      </w:r>
    </w:p>
    <w:tbl>
      <w:tblPr>
        <w:tblW w:w="10205" w:type="dxa"/>
        <w:jc w:val="left"/>
        <w:tblInd w:w="0" w:type="dxa"/>
        <w:tblLayout w:type="fixed"/>
        <w:tblCellMar>
          <w:top w:w="28" w:type="dxa"/>
          <w:left w:w="28" w:type="dxa"/>
          <w:bottom w:w="28" w:type="dxa"/>
          <w:right w:w="28" w:type="dxa"/>
        </w:tblCellMar>
      </w:tblPr>
      <w:tblGrid>
        <w:gridCol w:w="1007"/>
        <w:gridCol w:w="886"/>
        <w:gridCol w:w="891"/>
        <w:gridCol w:w="2167"/>
        <w:gridCol w:w="2167"/>
        <w:gridCol w:w="3087"/>
      </w:tblGrid>
      <w:tr>
        <w:trPr/>
        <w:tc>
          <w:tcPr>
            <w:tcW w:w="100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r>
      <w:tr>
        <w:trPr/>
        <w:tc>
          <w:tcPr>
            <w:tcW w:w="2784"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Strengthen the Core</w:t>
            </w:r>
          </w:p>
        </w:tc>
        <w:tc>
          <w:tcPr>
            <w:tcW w:w="7421" w:type="dxa"/>
            <w:gridSpan w:val="3"/>
            <w:tcBorders>
              <w:top w:val="single" w:sz="8" w:space="0" w:color="FFFFFF"/>
              <w:left w:val="single" w:sz="8" w:space="0" w:color="FFFFFF"/>
              <w:right w:val="single" w:sz="8" w:space="0" w:color="FFFFFF"/>
            </w:tcBorders>
            <w:shd w:fill="80C9FF" w:val="clear"/>
            <w:tcMar>
              <w:top w:w="30" w:type="dxa"/>
              <w:bottom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Relentless focus on superior execution and operational excellence in our pawn business</w:t>
            </w:r>
          </w:p>
        </w:tc>
      </w:tr>
      <w:tr>
        <w:trPr/>
        <w:tc>
          <w:tcPr>
            <w:tcW w:w="2784"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Cost Efficiency and Simplification</w:t>
            </w:r>
          </w:p>
        </w:tc>
        <w:tc>
          <w:tcPr>
            <w:tcW w:w="7421" w:type="dxa"/>
            <w:gridSpan w:val="3"/>
            <w:tcBorders>
              <w:top w:val="single" w:sz="8" w:space="0" w:color="FFFFFF"/>
              <w:left w:val="single" w:sz="8" w:space="0" w:color="FFFFFF"/>
              <w:right w:val="single" w:sz="8" w:space="0" w:color="FFFFFF"/>
            </w:tcBorders>
            <w:shd w:fill="80C9FF" w:val="clear"/>
            <w:tcMar>
              <w:top w:w="30" w:type="dxa"/>
              <w:bottom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Shape a culture of cost efficiency through ongoing focus on simplification and optimization</w:t>
            </w:r>
          </w:p>
        </w:tc>
      </w:tr>
      <w:tr>
        <w:trPr/>
        <w:tc>
          <w:tcPr>
            <w:tcW w:w="2784" w:type="dxa"/>
            <w:gridSpan w:val="3"/>
            <w:tcBorders>
              <w:top w:val="single" w:sz="8" w:space="0" w:color="FFFFFF"/>
              <w:left w:val="single" w:sz="8" w:space="0" w:color="FFFFFF"/>
              <w:bottom w:val="single" w:sz="8" w:space="0" w:color="FFFFFF"/>
            </w:tcBorders>
            <w:shd w:fill="026DCE" w:val="clear"/>
            <w:tcMar>
              <w:top w:w="30" w:type="dxa"/>
              <w:bottom w:w="30" w:type="dxa"/>
              <w:right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Innovate and Grow</w:t>
            </w:r>
          </w:p>
        </w:tc>
        <w:tc>
          <w:tcPr>
            <w:tcW w:w="7421" w:type="dxa"/>
            <w:gridSpan w:val="3"/>
            <w:tcBorders>
              <w:top w:val="single" w:sz="8" w:space="0" w:color="FFFFFF"/>
              <w:left w:val="single" w:sz="8" w:space="0" w:color="FFFFFF"/>
              <w:bottom w:val="single" w:sz="8" w:space="0" w:color="FFFFFF"/>
              <w:right w:val="single" w:sz="8" w:space="0" w:color="FFFFFF"/>
            </w:tcBorders>
            <w:shd w:fill="80C9FF" w:val="clear"/>
            <w:tcMar>
              <w:top w:w="30" w:type="dxa"/>
              <w:bottom w:w="3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Broaden customer engagement to service more customers more frequently in more locations</w:t>
            </w:r>
          </w:p>
        </w:tc>
      </w:tr>
    </w:tbl>
    <w:p>
      <w:pPr>
        <w:pStyle w:val="TextBody"/>
        <w:bidi w:val="0"/>
        <w:spacing w:lineRule="auto" w:line="288" w:before="260" w:after="283"/>
        <w:jc w:val="left"/>
        <w:rPr>
          <w:rFonts w:ascii="Arial Narrow;sans-serif" w:hAnsi="Arial Narrow;sans-serif"/>
          <w:b/>
          <w:color w:val="000000"/>
          <w:sz w:val="24"/>
        </w:rPr>
      </w:pPr>
      <w:r>
        <w:rPr>
          <w:rFonts w:ascii="Arial Narrow;sans-serif" w:hAnsi="Arial Narrow;sans-serif"/>
          <w:b/>
          <w:color w:val="000000"/>
          <w:sz w:val="24"/>
        </w:rPr>
        <w:t>Pawn Activities</w:t>
      </w:r>
    </w:p>
    <w:p>
      <w:pPr>
        <w:pStyle w:val="TextBody"/>
        <w:bidi w:val="0"/>
        <w:spacing w:lineRule="auto" w:line="288" w:before="180" w:after="60"/>
        <w:jc w:val="left"/>
        <w:rPr>
          <w:rFonts w:ascii="Arial Narrow;sans-serif" w:hAnsi="Arial Narrow;sans-serif"/>
          <w:b w:val="false"/>
          <w:color w:val="000000"/>
          <w:sz w:val="20"/>
        </w:rPr>
      </w:pPr>
      <w:r>
        <w:rPr>
          <w:rFonts w:ascii="Arial Narrow;sans-serif" w:hAnsi="Arial Narrow;sans-serif"/>
          <w:b w:val="false"/>
          <w:color w:val="000000"/>
          <w:sz w:val="20"/>
        </w:rPr>
        <w:t>At our pawn stores, we advance cash against the value of collateralized tangible personal property. We earn pawn service charges (“PSC”) for those cash advances, and the PSC rate varies by state and transaction size. At the time of the transaction, we take possession of the pawned collateral, which consists of tangible personal property, generally jewelry, consumer electronics, tools, sporting goods and musical instruments. If the customer chooses to redeem their pawn, they will repay the amount advanced plus any accrued PSC. If the customer chooses not to redeem their pawn, the pawned collateral becomes our inventory, which we sell in our retail merchandise sales activities or, in some cases, scrap for its inherent gold or precious stone content. Consequently, the success of our pawn business is largely dependent on our ability to accurately assess the probability of pawn redemption and the estimated resale or scrap value of the collateralized personal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ability to offer quality pre-owned goods at prices significantly lower than original retail prices attracts value-conscious customers. The gross profit on sales of inventory depends primarily on our assessment of the estimated resale or scrap value at the time the property is either accepted as pawn collateral or purchased and our ability to sell that merchandise in a timely manner. As a significant portion of our inventory and sales involve gold and jewelry, our results can be influenced by the market price of gold and diamonds.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Growth and Expansion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strategy is to expand the number of locations we operate through opening new (“de novo”) locations and through acquisitions and investments in both Latin America, the United States and potential new markets. Our ability to open de novo stores, acquire new stores and make other related investments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the availability of qualified personnel. </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Seasonality and Quarterly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United States, PSC is historically highest in our fourth fiscal quarter (July through September) due to a higher average loan balance during the summer lending season. PSC is historically lowest in our third fiscal quarter (April through June) following the tax refund season and merchandise sales are highest in our first and second fiscal quarters (October through March) due to the holiday season, jewelry sales surrounding Valentine’s Day and the availability of tax refunds. In Latin America, most of our customers receive additional compensation from their employers in December, and many receive additional compensation in June or July, applying downward pressure on loan balances and fueling some merchandise sales in those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 Narrow;sans-serif" w:hAnsi="Arial Narrow;sans-serif"/>
          <w:b/>
          <w:color w:val="365F91"/>
          <w:sz w:val="28"/>
        </w:rPr>
      </w:pPr>
      <w:r>
        <w:rPr>
          <w:rFonts w:ascii="Arial Narrow;sans-serif" w:hAnsi="Arial Narrow;sans-serif"/>
          <w:b/>
          <w:color w:val="365F91"/>
          <w:sz w:val="28"/>
        </w:rPr>
        <w:t>Financial Highlights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remain focused on optimizing our balance of pawn loans outstanding (“PLO”) and the resulting higher PSC. The following chart presents sources of gross profit, including PSC, merchandise sales gross profit (“Merchandise sales GP”) and jewelry scrapping gross profit (“Jewelry Scrapping GP”) for the three and nine months ended June 30, 2025 and 2024:</w:t>
      </w:r>
    </w:p>
    <w:p>
      <w:pPr>
        <w:pStyle w:val="TextBody"/>
        <w:bidi w:val="0"/>
        <w:spacing w:before="120" w:after="283"/>
        <w:jc w:val="center"/>
        <w:rPr/>
      </w:pPr>
      <w:r>
        <w:rPr/>
        <w:drawing>
          <wp:inline distT="0" distB="0" distL="0" distR="0">
            <wp:extent cx="6381750" cy="3095625"/>
            <wp:effectExtent l="0" t="0" r="0" b="0"/>
            <wp:docPr id="2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 descr=""/>
                    <pic:cNvPicPr>
                      <a:picLocks noChangeAspect="1" noChangeArrowheads="1"/>
                    </pic:cNvPicPr>
                  </pic:nvPicPr>
                  <pic:blipFill>
                    <a:blip r:embed="rId7"/>
                    <a:stretch>
                      <a:fillRect/>
                    </a:stretch>
                  </pic:blipFill>
                  <pic:spPr bwMode="auto">
                    <a:xfrm>
                      <a:off x="0" y="0"/>
                      <a:ext cx="6381750" cy="3095625"/>
                    </a:xfrm>
                    <a:prstGeom prst="rect">
                      <a:avLst/>
                    </a:prstGeom>
                  </pic:spPr>
                </pic:pic>
              </a:graphicData>
            </a:graphic>
          </wp:inline>
        </w:drawing>
      </w:r>
      <w:bookmarkStart w:id="1" w:name="i-2"/>
      <w:bookmarkEnd w:id="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8"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chart presents sources of gross profit by geographic disbursement for the three and nine months ended June 30, 2025 and 2024:</w:t>
      </w:r>
    </w:p>
    <w:p>
      <w:pPr>
        <w:pStyle w:val="TextBody"/>
        <w:bidi w:val="0"/>
        <w:spacing w:before="120" w:after="283"/>
        <w:jc w:val="center"/>
        <w:rPr/>
      </w:pPr>
      <w:r>
        <w:rPr/>
        <w:drawing>
          <wp:inline distT="0" distB="0" distL="0" distR="0">
            <wp:extent cx="6381750" cy="3095625"/>
            <wp:effectExtent l="0" t="0" r="0" b="0"/>
            <wp:docPr id="2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3" descr=""/>
                    <pic:cNvPicPr>
                      <a:picLocks noChangeAspect="1" noChangeArrowheads="1"/>
                    </pic:cNvPicPr>
                  </pic:nvPicPr>
                  <pic:blipFill>
                    <a:blip r:embed="rId8"/>
                    <a:stretch>
                      <a:fillRect/>
                    </a:stretch>
                  </pic:blipFill>
                  <pic:spPr bwMode="auto">
                    <a:xfrm>
                      <a:off x="0" y="0"/>
                      <a:ext cx="6381750" cy="3095625"/>
                    </a:xfrm>
                    <a:prstGeom prst="rect">
                      <a:avLst/>
                    </a:prstGeom>
                  </pic:spPr>
                </pic:pic>
              </a:graphicData>
            </a:graphic>
          </wp:inline>
        </w:drawing>
      </w:r>
      <w:bookmarkStart w:id="2" w:name="i-3"/>
      <w:bookmarkEnd w:id="2"/>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365F91"/>
          <w:sz w:val="28"/>
        </w:rPr>
      </w:pPr>
      <w:r>
        <w:rPr>
          <w:rFonts w:ascii="Arial Narrow;sans-serif" w:hAnsi="Arial Narrow;sans-serif"/>
          <w:b/>
          <w:color w:val="365F91"/>
          <w:sz w:val="28"/>
        </w:rPr>
        <w:t>Results of Operations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Non-GAAP Constant Currency and Same-Store Financial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supplement our condensed consolidated financial statements, which are prepared and presented in accordance with GAAP, we provide certain other non-GAAP financial information on a constant currency basis (“constant currency”) and “same-store” basis. We use constant currency results to evaluate our Latin America Pawn operations, which are denominated primarily in Mexican pesos, Guatemalan quetzales and other Latin American currencies. We analyze results on a same-store basis (which is defined as stores open during the entirety of the comparable periods) to better understand existing store performance without the influence of increases or decreases resulting solely from changes in store count. We believe presentation of constant currency and same-store results is meaningful and useful in understanding the activities and business metrics of our Latin America Pawn operations and reflects an additional way of viewing aspects of our business that, when viewed with GAAP results, provides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 Constant currency results, where presented, also exclude the foreign currency gain or loss. The end-of-period and approximate average exchange rates for each applicable currency as compared to U.S. dollars as of and for the three and nine months ended June 30, 2025 and 2024 were as follows:</w:t>
      </w:r>
    </w:p>
    <w:tbl>
      <w:tblPr>
        <w:tblW w:w="7309" w:type="dxa"/>
        <w:jc w:val="left"/>
        <w:tblInd w:w="0" w:type="dxa"/>
        <w:tblLayout w:type="fixed"/>
        <w:tblCellMar>
          <w:top w:w="28" w:type="dxa"/>
          <w:left w:w="28" w:type="dxa"/>
          <w:bottom w:w="28" w:type="dxa"/>
          <w:right w:w="28" w:type="dxa"/>
        </w:tblCellMar>
      </w:tblPr>
      <w:tblGrid>
        <w:gridCol w:w="499"/>
        <w:gridCol w:w="438"/>
        <w:gridCol w:w="442"/>
        <w:gridCol w:w="210"/>
        <w:gridCol w:w="211"/>
        <w:gridCol w:w="136"/>
        <w:gridCol w:w="109"/>
        <w:gridCol w:w="109"/>
        <w:gridCol w:w="109"/>
        <w:gridCol w:w="210"/>
        <w:gridCol w:w="211"/>
        <w:gridCol w:w="136"/>
        <w:gridCol w:w="109"/>
        <w:gridCol w:w="109"/>
        <w:gridCol w:w="109"/>
        <w:gridCol w:w="242"/>
        <w:gridCol w:w="179"/>
        <w:gridCol w:w="171"/>
        <w:gridCol w:w="171"/>
        <w:gridCol w:w="171"/>
        <w:gridCol w:w="171"/>
        <w:gridCol w:w="242"/>
        <w:gridCol w:w="179"/>
        <w:gridCol w:w="171"/>
        <w:gridCol w:w="109"/>
        <w:gridCol w:w="109"/>
        <w:gridCol w:w="109"/>
        <w:gridCol w:w="231"/>
        <w:gridCol w:w="190"/>
        <w:gridCol w:w="163"/>
        <w:gridCol w:w="163"/>
        <w:gridCol w:w="163"/>
        <w:gridCol w:w="163"/>
        <w:gridCol w:w="231"/>
        <w:gridCol w:w="190"/>
        <w:gridCol w:w="163"/>
        <w:gridCol w:w="109"/>
        <w:gridCol w:w="109"/>
        <w:gridCol w:w="109"/>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Mexican peso</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Guatemalan quetzal</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Honduran lempira</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Australian dollar</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76" w:before="0" w:after="0"/>
        <w:jc w:val="left"/>
        <w:rPr>
          <w:rFonts w:ascii="Arial Narrow;sans-serif" w:hAnsi="Arial Narrow;sans-serif"/>
          <w:b/>
          <w:color w:val="000000"/>
          <w:sz w:val="24"/>
        </w:rPr>
      </w:pPr>
      <w:r>
        <w:rPr>
          <w:rFonts w:ascii="Arial Narrow;sans-serif" w:hAnsi="Arial Narrow;sans-serif"/>
          <w:b/>
          <w:color w:val="000000"/>
          <w:sz w:val="24"/>
        </w:rPr>
        <w:t>Operating Results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manage our business and report our financial results in three reportable segments: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U.S. Pawn — Represents all pawn activities in the United States;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Latin America Pawn — Represents all pawn activities in Mexico and other parts of Latin America; and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Other Investments — Represents our equity interest in Cash Converters and our investment in and notes receivable from Founders.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Store Count by Segment</w:t>
      </w:r>
    </w:p>
    <w:tbl>
      <w:tblPr>
        <w:tblW w:w="6837" w:type="dxa"/>
        <w:jc w:val="left"/>
        <w:tblInd w:w="0" w:type="dxa"/>
        <w:tblLayout w:type="fixed"/>
        <w:tblCellMar>
          <w:top w:w="28" w:type="dxa"/>
          <w:left w:w="28" w:type="dxa"/>
          <w:bottom w:w="28" w:type="dxa"/>
          <w:right w:w="28" w:type="dxa"/>
        </w:tblCellMar>
      </w:tblPr>
      <w:tblGrid>
        <w:gridCol w:w="718"/>
        <w:gridCol w:w="629"/>
        <w:gridCol w:w="632"/>
        <w:gridCol w:w="280"/>
        <w:gridCol w:w="280"/>
        <w:gridCol w:w="280"/>
        <w:gridCol w:w="192"/>
        <w:gridCol w:w="192"/>
        <w:gridCol w:w="192"/>
        <w:gridCol w:w="499"/>
        <w:gridCol w:w="499"/>
        <w:gridCol w:w="501"/>
        <w:gridCol w:w="192"/>
        <w:gridCol w:w="192"/>
        <w:gridCol w:w="192"/>
        <w:gridCol w:w="192"/>
        <w:gridCol w:w="109"/>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83"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 2025</w:t>
            </w:r>
          </w:p>
        </w:tc>
        <w:tc>
          <w:tcPr>
            <w:tcW w:w="1175" w:type="dxa"/>
            <w:gridSpan w:val="4"/>
            <w:tcBorders/>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2025</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742 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1,284 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June 30, 2025</w:t>
            </w:r>
          </w:p>
        </w:tc>
        <w:tc>
          <w:tcPr>
            <w:tcW w:w="560"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545 </w:t>
            </w:r>
          </w:p>
        </w:tc>
        <w:tc>
          <w:tcPr>
            <w:tcW w:w="28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791 </w:t>
            </w:r>
          </w:p>
        </w:tc>
        <w:tc>
          <w:tcPr>
            <w:tcW w:w="50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1,336 </w:t>
            </w:r>
          </w:p>
        </w:tc>
        <w:tc>
          <w:tcPr>
            <w:tcW w:w="442"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58" w:type="dxa"/>
        <w:jc w:val="left"/>
        <w:tblInd w:w="0" w:type="dxa"/>
        <w:tblLayout w:type="fixed"/>
        <w:tblCellMar>
          <w:top w:w="28" w:type="dxa"/>
          <w:left w:w="28" w:type="dxa"/>
          <w:bottom w:w="28" w:type="dxa"/>
          <w:right w:w="28" w:type="dxa"/>
        </w:tblCellMar>
      </w:tblPr>
      <w:tblGrid>
        <w:gridCol w:w="544"/>
        <w:gridCol w:w="477"/>
        <w:gridCol w:w="479"/>
        <w:gridCol w:w="280"/>
        <w:gridCol w:w="280"/>
        <w:gridCol w:w="280"/>
        <w:gridCol w:w="192"/>
        <w:gridCol w:w="192"/>
        <w:gridCol w:w="192"/>
        <w:gridCol w:w="499"/>
        <w:gridCol w:w="499"/>
        <w:gridCol w:w="501"/>
        <w:gridCol w:w="192"/>
        <w:gridCol w:w="192"/>
        <w:gridCol w:w="192"/>
        <w:gridCol w:w="192"/>
        <w:gridCol w:w="109"/>
        <w:gridCol w:w="312"/>
        <w:gridCol w:w="312"/>
        <w:gridCol w:w="442"/>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83"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 2024</w:t>
            </w:r>
          </w:p>
        </w:tc>
        <w:tc>
          <w:tcPr>
            <w:tcW w:w="1175" w:type="dxa"/>
            <w:gridSpan w:val="4"/>
            <w:tcBorders/>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March 31, 2024</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1,246 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June 30, 2024</w:t>
            </w:r>
          </w:p>
        </w:tc>
        <w:tc>
          <w:tcPr>
            <w:tcW w:w="560"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541 </w:t>
            </w:r>
          </w:p>
        </w:tc>
        <w:tc>
          <w:tcPr>
            <w:tcW w:w="280"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717 </w:t>
            </w:r>
          </w:p>
        </w:tc>
        <w:tc>
          <w:tcPr>
            <w:tcW w:w="50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1,258 </w:t>
            </w:r>
          </w:p>
        </w:tc>
        <w:tc>
          <w:tcPr>
            <w:tcW w:w="442"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803" w:type="dxa"/>
        <w:jc w:val="left"/>
        <w:tblInd w:w="0" w:type="dxa"/>
        <w:tblLayout w:type="fixed"/>
        <w:tblCellMar>
          <w:top w:w="28" w:type="dxa"/>
          <w:left w:w="28" w:type="dxa"/>
          <w:bottom w:w="28" w:type="dxa"/>
          <w:right w:w="28" w:type="dxa"/>
        </w:tblCellMar>
      </w:tblPr>
      <w:tblGrid>
        <w:gridCol w:w="718"/>
        <w:gridCol w:w="630"/>
        <w:gridCol w:w="632"/>
        <w:gridCol w:w="280"/>
        <w:gridCol w:w="280"/>
        <w:gridCol w:w="280"/>
        <w:gridCol w:w="187"/>
        <w:gridCol w:w="187"/>
        <w:gridCol w:w="187"/>
        <w:gridCol w:w="499"/>
        <w:gridCol w:w="499"/>
        <w:gridCol w:w="501"/>
        <w:gridCol w:w="187"/>
        <w:gridCol w:w="187"/>
        <w:gridCol w:w="187"/>
        <w:gridCol w:w="187"/>
        <w:gridCol w:w="109"/>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8"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 2025</w:t>
            </w:r>
          </w:p>
        </w:tc>
        <w:tc>
          <w:tcPr>
            <w:tcW w:w="1175" w:type="dxa"/>
            <w:gridSpan w:val="4"/>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2024</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1,279 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June 30, 2025</w:t>
            </w:r>
          </w:p>
        </w:tc>
        <w:tc>
          <w:tcPr>
            <w:tcW w:w="560"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545 </w:t>
            </w:r>
          </w:p>
        </w:tc>
        <w:tc>
          <w:tcPr>
            <w:tcW w:w="28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791 </w:t>
            </w:r>
          </w:p>
        </w:tc>
        <w:tc>
          <w:tcPr>
            <w:tcW w:w="50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1,336 </w:t>
            </w:r>
          </w:p>
        </w:tc>
        <w:tc>
          <w:tcPr>
            <w:tcW w:w="442"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03" w:type="dxa"/>
        <w:jc w:val="left"/>
        <w:tblInd w:w="0" w:type="dxa"/>
        <w:tblLayout w:type="fixed"/>
        <w:tblCellMar>
          <w:top w:w="28" w:type="dxa"/>
          <w:left w:w="28" w:type="dxa"/>
          <w:bottom w:w="28" w:type="dxa"/>
          <w:right w:w="28" w:type="dxa"/>
        </w:tblCellMar>
      </w:tblPr>
      <w:tblGrid>
        <w:gridCol w:w="718"/>
        <w:gridCol w:w="630"/>
        <w:gridCol w:w="632"/>
        <w:gridCol w:w="280"/>
        <w:gridCol w:w="280"/>
        <w:gridCol w:w="280"/>
        <w:gridCol w:w="187"/>
        <w:gridCol w:w="187"/>
        <w:gridCol w:w="187"/>
        <w:gridCol w:w="499"/>
        <w:gridCol w:w="499"/>
        <w:gridCol w:w="501"/>
        <w:gridCol w:w="187"/>
        <w:gridCol w:w="187"/>
        <w:gridCol w:w="187"/>
        <w:gridCol w:w="187"/>
        <w:gridCol w:w="109"/>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8"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 2024</w:t>
            </w:r>
          </w:p>
        </w:tc>
        <w:tc>
          <w:tcPr>
            <w:tcW w:w="1175" w:type="dxa"/>
            <w:gridSpan w:val="4"/>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2023</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702 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1,231 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June 30, 2024</w:t>
            </w:r>
          </w:p>
        </w:tc>
        <w:tc>
          <w:tcPr>
            <w:tcW w:w="56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541 </w:t>
            </w:r>
          </w:p>
        </w:tc>
        <w:tc>
          <w:tcPr>
            <w:tcW w:w="2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717 </w:t>
            </w:r>
          </w:p>
        </w:tc>
        <w:tc>
          <w:tcPr>
            <w:tcW w:w="5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1,258 </w:t>
            </w:r>
          </w:p>
        </w:tc>
        <w:tc>
          <w:tcPr>
            <w:tcW w:w="4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76" w:before="180" w:after="283"/>
        <w:jc w:val="left"/>
        <w:rPr/>
      </w:pPr>
      <w:r>
        <w:rPr>
          <w:rFonts w:ascii="Arial Narrow;sans-serif" w:hAnsi="Arial Narrow;sans-serif"/>
          <w:b/>
          <w:i/>
          <w:color w:val="000000"/>
          <w:sz w:val="20"/>
        </w:rPr>
        <w:t>Three Months Ended June 30, 2025 vs. Three Months Ended June 30, 2024</w:t>
        <w:br/>
        <w:br/>
      </w:r>
      <w:r>
        <w:rPr>
          <w:rFonts w:ascii="Arial Narrow;sans-serif" w:hAnsi="Arial Narrow;sans-serif"/>
          <w:b w:val="false"/>
          <w:color w:val="000000"/>
          <w:sz w:val="20"/>
        </w:rPr>
        <w:t xml:space="preserve">These tables, as well as the discussion that follows, should be read in conjunction with the accompanying Condensed Consolidated Financial Statements and related notes. </w:t>
      </w:r>
    </w:p>
    <w:p>
      <w:pPr>
        <w:pStyle w:val="TextBody"/>
        <w:bidi w:val="0"/>
        <w:spacing w:lineRule="auto" w:line="276" w:before="180" w:after="283"/>
        <w:jc w:val="left"/>
        <w:rPr>
          <w:rFonts w:ascii="Arial Narrow;sans-serif" w:hAnsi="Arial Narrow;sans-serif"/>
          <w:b/>
          <w:color w:val="000000"/>
          <w:sz w:val="20"/>
        </w:rPr>
      </w:pPr>
      <w:r>
        <w:rPr>
          <w:rFonts w:ascii="Arial Narrow;sans-serif" w:hAnsi="Arial Narrow;sans-serif"/>
          <w:b/>
          <w:color w:val="000000"/>
          <w:sz w:val="20"/>
        </w:rPr>
        <w:t>U.S. Pawn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for our U.S. Pawn segment:</w:t>
      </w:r>
    </w:p>
    <w:tbl>
      <w:tblPr>
        <w:tblW w:w="7155" w:type="dxa"/>
        <w:jc w:val="left"/>
        <w:tblInd w:w="0" w:type="dxa"/>
        <w:tblLayout w:type="fixed"/>
        <w:tblCellMar>
          <w:top w:w="28" w:type="dxa"/>
          <w:left w:w="28" w:type="dxa"/>
          <w:bottom w:w="28" w:type="dxa"/>
          <w:right w:w="28" w:type="dxa"/>
        </w:tblCellMar>
      </w:tblPr>
      <w:tblGrid>
        <w:gridCol w:w="1318"/>
        <w:gridCol w:w="1162"/>
        <w:gridCol w:w="1164"/>
        <w:gridCol w:w="181"/>
        <w:gridCol w:w="646"/>
        <w:gridCol w:w="241"/>
        <w:gridCol w:w="109"/>
        <w:gridCol w:w="109"/>
        <w:gridCol w:w="109"/>
        <w:gridCol w:w="181"/>
        <w:gridCol w:w="646"/>
        <w:gridCol w:w="241"/>
        <w:gridCol w:w="109"/>
        <w:gridCol w:w="109"/>
        <w:gridCol w:w="109"/>
        <w:gridCol w:w="211"/>
        <w:gridCol w:w="211"/>
        <w:gridCol w:w="299"/>
      </w:tblGrid>
      <w:tr>
        <w:trPr/>
        <w:tc>
          <w:tcPr>
            <w:tcW w:w="131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83,930 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77,416 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112,249 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107,849 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43,165 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40,620 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bps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73%</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6,936 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1,870 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271%</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1,500bps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134,062 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119,934 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83,778 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81,441 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47,633 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36,087 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w:t>
            </w:r>
          </w:p>
        </w:tc>
      </w:tr>
      <w:tr>
        <w:trPr/>
        <w:tc>
          <w:tcPr>
            <w:tcW w:w="3644"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earning assets (a)</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387,433 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321,218 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turnover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(19)%</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merchandise as a % of PLO</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as a % of PLO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bl>
    <w:tbl>
      <w:tblPr>
        <w:tblW w:w="7136" w:type="dxa"/>
        <w:jc w:val="left"/>
        <w:tblInd w:w="0" w:type="dxa"/>
        <w:tblLayout w:type="fixed"/>
        <w:tblCellMar>
          <w:top w:w="28" w:type="dxa"/>
          <w:left w:w="28" w:type="dxa"/>
          <w:bottom w:w="28" w:type="dxa"/>
          <w:right w:w="28" w:type="dxa"/>
        </w:tblCellMar>
      </w:tblPr>
      <w:tblGrid>
        <w:gridCol w:w="124"/>
        <w:gridCol w:w="109"/>
        <w:gridCol w:w="109"/>
        <w:gridCol w:w="1986"/>
        <w:gridCol w:w="1986"/>
        <w:gridCol w:w="28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includes pawn loans and inventory.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w:t>
            </w:r>
          </w:p>
        </w:tc>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bl>
    <w:p>
      <w:pPr>
        <w:pStyle w:val="TextBody"/>
        <w:bidi w:val="0"/>
        <w:spacing w:lineRule="auto" w:line="288" w:before="300" w:after="180"/>
        <w:jc w:val="left"/>
        <w:rPr/>
      </w:pPr>
      <w:r>
        <w:rPr>
          <w:rFonts w:ascii="Arial Narrow;sans-serif" w:hAnsi="Arial Narrow;sans-serif"/>
          <w:b w:val="false"/>
          <w:color w:val="000000"/>
          <w:sz w:val="20"/>
          <w:shd w:fill="FFFF00" w:val="clear"/>
        </w:rPr>
        <w:br/>
        <w:br/>
      </w:r>
      <w:r>
        <w:rPr>
          <w:rFonts w:ascii="Arial Narrow;sans-serif" w:hAnsi="Arial Narrow;sans-serif"/>
          <w:b w:val="false"/>
          <w:color w:val="000000"/>
          <w:sz w:val="20"/>
        </w:rPr>
        <w:t xml:space="preserve">PLO ended the quarter at $221.1 million, an increase of 11% on a total and same-store basis due to increase in average loan size, increased loan demand and improved operational performance.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increased 11% and gross profit increased 12%, driven by increased PSC, merchandise sales and scrap sales.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PSC increased 8% as a result of higher average PLO, partially offset by lower PLO yield.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Merchandise sales increased 4%, on a total and same-store basis, and sales gross margin increased by 80 bps to 38%. Aged general merchandise, which is inventory over one year old, decreased by 260 basis points to 2.5%, or $1.2 million of total general merchandise inventory. Excluding our Max Pawn luxury stores, aged general merchandise was 1.8%.</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inventory increased 36%, due to the increase in PLO, layaways and purchases and a decrease in inventory turnover to 2.1x, from 2.6x.</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Store expenses increased 3% on a total and same-store basis.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increased 32% to $47.6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store count increased by 3 to 545, due to acquisitions, including one luxury store in Miami.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Arial Narrow;sans-serif" w:hAnsi="Arial Narrow;sans-serif"/>
          <w:b/>
          <w:color w:val="000000"/>
          <w:sz w:val="20"/>
        </w:rPr>
        <w:t>Latin America Pawn</w:t>
      </w:r>
      <w:r>
        <w:rPr>
          <w:color w:val="000000"/>
        </w:rPr>
        <w:t xml:space="preser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for the Latin America Pawn segment, including constant currency results, after translation to U.S. dollars from its functional currencies noted above under “Results of Operations — Non-GAAP Constant Currency and Same-Store Financial Information.”</w:t>
      </w:r>
    </w:p>
    <w:tbl>
      <w:tblPr>
        <w:tblW w:w="10205" w:type="dxa"/>
        <w:jc w:val="left"/>
        <w:tblInd w:w="0" w:type="dxa"/>
        <w:tblLayout w:type="fixed"/>
        <w:tblCellMar>
          <w:top w:w="28" w:type="dxa"/>
          <w:left w:w="28" w:type="dxa"/>
          <w:bottom w:w="28" w:type="dxa"/>
          <w:right w:w="28" w:type="dxa"/>
        </w:tblCellMar>
      </w:tblPr>
      <w:tblGrid>
        <w:gridCol w:w="983"/>
        <w:gridCol w:w="816"/>
        <w:gridCol w:w="818"/>
        <w:gridCol w:w="181"/>
        <w:gridCol w:w="646"/>
        <w:gridCol w:w="241"/>
        <w:gridCol w:w="109"/>
        <w:gridCol w:w="109"/>
        <w:gridCol w:w="109"/>
        <w:gridCol w:w="181"/>
        <w:gridCol w:w="646"/>
        <w:gridCol w:w="241"/>
        <w:gridCol w:w="109"/>
        <w:gridCol w:w="109"/>
        <w:gridCol w:w="109"/>
        <w:gridCol w:w="338"/>
        <w:gridCol w:w="321"/>
        <w:gridCol w:w="323"/>
        <w:gridCol w:w="109"/>
        <w:gridCol w:w="109"/>
        <w:gridCol w:w="109"/>
        <w:gridCol w:w="261"/>
        <w:gridCol w:w="933"/>
        <w:gridCol w:w="348"/>
        <w:gridCol w:w="109"/>
        <w:gridCol w:w="109"/>
        <w:gridCol w:w="109"/>
        <w:gridCol w:w="471"/>
        <w:gridCol w:w="471"/>
        <w:gridCol w:w="678"/>
      </w:tblGrid>
      <w:tr>
        <w:trPr/>
        <w:tc>
          <w:tcPr>
            <w:tcW w:w="98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8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w:t>
            </w:r>
          </w:p>
        </w:tc>
      </w:tr>
      <w:tr>
        <w:trPr/>
        <w:tc>
          <w:tcPr>
            <w:tcW w:w="2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2024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 (Constant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(Constant Currency)</w:t>
            </w:r>
          </w:p>
        </w:tc>
      </w:tr>
      <w:tr>
        <w:trPr/>
        <w:tc>
          <w:tcPr>
            <w:tcW w:w="2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31,409 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30,414 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34,298 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50,291 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62,056 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w:t>
            </w:r>
          </w:p>
        </w:tc>
      </w:tr>
      <w:tr>
        <w:trPr/>
        <w:tc>
          <w:tcPr>
            <w:tcW w:w="261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17,233 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16,309 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19,031 </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w:t>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116%</w:t>
            </w:r>
          </w:p>
        </w:tc>
      </w:tr>
      <w:tr>
        <w:trPr/>
        <w:tc>
          <w:tcPr>
            <w:tcW w:w="261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918 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1,018 </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2,600bps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2,600bps</w:t>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(29)%</w:t>
            </w:r>
          </w:p>
        </w:tc>
      </w:tr>
      <w:tr>
        <w:trPr/>
        <w:tc>
          <w:tcPr>
            <w:tcW w:w="261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49,577 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46,793 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54,367 </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w:t>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38,989 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261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2,373 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261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261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contribution</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12,076 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9,787 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13,005 </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33%</w:t>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(459)</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w:t>
            </w:r>
          </w:p>
        </w:tc>
      </w:tr>
      <w:tr>
        <w:trPr/>
        <w:tc>
          <w:tcPr>
            <w:tcW w:w="261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Segment contribution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12,444 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10,341 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13,464 </w:t>
            </w:r>
          </w:p>
        </w:tc>
        <w:tc>
          <w:tcPr>
            <w:tcW w:w="34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30%</w:t>
            </w:r>
          </w:p>
        </w:tc>
      </w:tr>
      <w:tr>
        <w:trPr/>
        <w:tc>
          <w:tcPr>
            <w:tcW w:w="261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earning assets (a)</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129,690 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112,439 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132,586 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turnover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(b)</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bps</w:t>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merchandise as a % of PLO</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(500)bps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(2,500)bps</w:t>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as a % of PLO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500bps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2,500bps</w:t>
            </w:r>
          </w:p>
        </w:tc>
      </w:tr>
      <w:tr>
        <w:trPr/>
        <w:tc>
          <w:tcPr>
            <w:tcW w:w="261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bl>
    <w:tbl>
      <w:tblPr>
        <w:tblW w:w="7137" w:type="dxa"/>
        <w:jc w:val="left"/>
        <w:tblInd w:w="0" w:type="dxa"/>
        <w:tblLayout w:type="fixed"/>
        <w:tblCellMar>
          <w:top w:w="28" w:type="dxa"/>
          <w:left w:w="28" w:type="dxa"/>
          <w:bottom w:w="28" w:type="dxa"/>
          <w:right w:w="28" w:type="dxa"/>
        </w:tblCellMar>
      </w:tblPr>
      <w:tblGrid>
        <w:gridCol w:w="124"/>
        <w:gridCol w:w="109"/>
        <w:gridCol w:w="109"/>
        <w:gridCol w:w="1990"/>
        <w:gridCol w:w="1990"/>
        <w:gridCol w:w="2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includes pawn loans and inventory.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5" w:type="dxa"/>
            <w:gridSpan w:val="3"/>
            <w:tcBorders/>
            <w:vAlign w:val="center"/>
          </w:tcPr>
          <w:p>
            <w:pPr>
              <w:pStyle w:val="TableContents"/>
              <w:bidi w:val="0"/>
              <w:spacing w:before="0" w:after="283"/>
              <w:jc w:val="left"/>
              <w:rPr>
                <w:sz w:val="4"/>
                <w:szCs w:val="4"/>
              </w:rPr>
            </w:pPr>
            <w:r>
              <w:rPr>
                <w:sz w:val="4"/>
                <w:szCs w:val="4"/>
              </w:rPr>
            </w:r>
          </w:p>
        </w:tc>
      </w:tr>
    </w:tbl>
    <w:tbl>
      <w:tblPr>
        <w:tblW w:w="5080" w:type="dxa"/>
        <w:jc w:val="left"/>
        <w:tblInd w:w="0" w:type="dxa"/>
        <w:tblLayout w:type="fixed"/>
        <w:tblCellMar>
          <w:top w:w="28" w:type="dxa"/>
          <w:left w:w="28" w:type="dxa"/>
          <w:bottom w:w="28" w:type="dxa"/>
          <w:right w:w="28" w:type="dxa"/>
        </w:tblCellMar>
      </w:tblPr>
      <w:tblGrid>
        <w:gridCol w:w="793"/>
        <w:gridCol w:w="695"/>
        <w:gridCol w:w="701"/>
        <w:gridCol w:w="344"/>
        <w:gridCol w:w="344"/>
        <w:gridCol w:w="346"/>
        <w:gridCol w:w="109"/>
        <w:gridCol w:w="109"/>
        <w:gridCol w:w="109"/>
        <w:gridCol w:w="447"/>
        <w:gridCol w:w="447"/>
        <w:gridCol w:w="636"/>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 Narrow;sans-serif" w:hAnsi="Arial Narrow;sans-serif"/>
                <w:b/>
                <w:color w:val="000000"/>
                <w:sz w:val="18"/>
              </w:rPr>
              <w:t>2025 Change</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 Narrow;sans-serif" w:hAnsi="Arial Narrow;sans-serif"/>
                <w:b/>
                <w:color w:val="000000"/>
                <w:sz w:val="18"/>
              </w:rPr>
              <w:t>2025 Change</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(Constant Currency)</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Same-store data: </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PLO </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PSC </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Gross Profit </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13%</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PLO improved to $70.6 million, an increase of 13% (16% on constant currency basis). On a same-store basis, PLO increased 2% (4% increase on a constant currency basis). The difference is primarily driven by our recent acquisition.</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increased 11% (21% on constant currency basis), and gross profit increased 6% (16% on a constant currency basis), primarily due to increased merchandise sales and pawn service charges.</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PSC increased to $31.4 million, an increase of 3% (13% on a constant currency basis) as a result of higher average PLO.</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Merchandise sales increased 12% (23% on constant currency basis) and increased 8% on a same-store basis (19% increase on a constant currency basis). Merchandise sales gross margin decreased to 31% from 32%. Aged general merchandise increased to 2.2% from 0.9% of total general merchandise inventory.</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inventory increased 18% (21% on a constant currency basis) due to an increase in PLO and decrease in inventory turnover to 3.0x, from 3.1x. On a same-store basis, net inventory increased by 10% (13% on a constant currency basis). The difference is driven primarily by our recent acquisition.</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Store expenses increased 1% (12% increase on a constant currency basis) and decreased 3% on a same-store basis (7% increase on a constant currency basis). The constant currency increase was primarily due to increased labor, in line with store activity and minimum wage increases.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increased 20% to $12.4 million (30% on a constant currency basis)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store count increased by 49 to 791, primarily due the acquisition of 40 stores, the addition of ten de novo stores, and the consolidation of one store.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Investments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financial data for our Other Investments segment after translation to U.S. dollars from its functional currency of primarily Australian dollars:</w:t>
      </w:r>
    </w:p>
    <w:tbl>
      <w:tblPr>
        <w:tblW w:w="6281" w:type="dxa"/>
        <w:jc w:val="left"/>
        <w:tblInd w:w="0" w:type="dxa"/>
        <w:tblLayout w:type="fixed"/>
        <w:tblCellMar>
          <w:top w:w="28" w:type="dxa"/>
          <w:left w:w="28" w:type="dxa"/>
          <w:bottom w:w="28" w:type="dxa"/>
          <w:right w:w="28" w:type="dxa"/>
        </w:tblCellMar>
      </w:tblPr>
      <w:tblGrid>
        <w:gridCol w:w="1128"/>
        <w:gridCol w:w="994"/>
        <w:gridCol w:w="998"/>
        <w:gridCol w:w="205"/>
        <w:gridCol w:w="564"/>
        <w:gridCol w:w="124"/>
        <w:gridCol w:w="124"/>
        <w:gridCol w:w="124"/>
        <w:gridCol w:w="124"/>
        <w:gridCol w:w="205"/>
        <w:gridCol w:w="564"/>
        <w:gridCol w:w="124"/>
        <w:gridCol w:w="109"/>
        <w:gridCol w:w="109"/>
        <w:gridCol w:w="109"/>
        <w:gridCol w:w="198"/>
        <w:gridCol w:w="198"/>
        <w:gridCol w:w="280"/>
      </w:tblGrid>
      <w:tr>
        <w:trPr/>
        <w:tc>
          <w:tcPr>
            <w:tcW w:w="112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loan fees, interest and other</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7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312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contribution</w:t>
            </w:r>
          </w:p>
        </w:tc>
        <w:tc>
          <w:tcPr>
            <w:tcW w:w="7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2,013 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2,011 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loss</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120"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20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2,013 </w:t>
            </w:r>
          </w:p>
        </w:tc>
        <w:tc>
          <w:tcPr>
            <w:tcW w:w="12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1,999 </w:t>
            </w:r>
          </w:p>
        </w:tc>
        <w:tc>
          <w:tcPr>
            <w:tcW w:w="12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w:t>
            </w:r>
          </w:p>
        </w:tc>
      </w:tr>
    </w:tbl>
    <w:p>
      <w:pPr>
        <w:pStyle w:val="TextBody"/>
        <w:bidi w:val="0"/>
        <w:spacing w:lineRule="auto" w:line="288" w:before="14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was $2.0 million, consistent with prior quarter, primarily due to the increase in our share of equity in net income of Cash Converters.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Items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table reconciles our consolidated segment contribution discussed above to net income attributable to EZCORP, Inc., including items that affect our consolidated financial results but are not allocated among segments:</w:t>
      </w:r>
    </w:p>
    <w:tbl>
      <w:tblPr>
        <w:tblW w:w="6890" w:type="dxa"/>
        <w:jc w:val="left"/>
        <w:tblInd w:w="0" w:type="dxa"/>
        <w:tblLayout w:type="fixed"/>
        <w:tblCellMar>
          <w:top w:w="28" w:type="dxa"/>
          <w:left w:w="28" w:type="dxa"/>
          <w:bottom w:w="28" w:type="dxa"/>
          <w:right w:w="28" w:type="dxa"/>
        </w:tblCellMar>
      </w:tblPr>
      <w:tblGrid>
        <w:gridCol w:w="1058"/>
        <w:gridCol w:w="933"/>
        <w:gridCol w:w="934"/>
        <w:gridCol w:w="190"/>
        <w:gridCol w:w="602"/>
        <w:gridCol w:w="114"/>
        <w:gridCol w:w="114"/>
        <w:gridCol w:w="114"/>
        <w:gridCol w:w="114"/>
        <w:gridCol w:w="190"/>
        <w:gridCol w:w="602"/>
        <w:gridCol w:w="114"/>
        <w:gridCol w:w="109"/>
        <w:gridCol w:w="109"/>
        <w:gridCol w:w="109"/>
        <w:gridCol w:w="434"/>
        <w:gridCol w:w="434"/>
        <w:gridCol w:w="616"/>
      </w:tblGrid>
      <w:tr>
        <w:trPr/>
        <w:tc>
          <w:tcPr>
            <w:tcW w:w="10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62,090 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28%</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expenses (income):</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137%</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(4,409)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125%</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46%</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loss (income)</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7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34,713 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51%</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63%</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90"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0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26,503 </w:t>
            </w:r>
          </w:p>
        </w:tc>
        <w:tc>
          <w:tcPr>
            <w:tcW w:w="11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0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17,950 </w:t>
            </w:r>
          </w:p>
        </w:tc>
        <w:tc>
          <w:tcPr>
            <w:tcW w:w="11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48%</w:t>
            </w:r>
          </w:p>
        </w:tc>
      </w:tr>
    </w:tbl>
    <w:tbl>
      <w:tblPr>
        <w:tblW w:w="5307" w:type="dxa"/>
        <w:jc w:val="left"/>
        <w:tblInd w:w="0" w:type="dxa"/>
        <w:tblLayout w:type="fixed"/>
        <w:tblCellMar>
          <w:top w:w="28" w:type="dxa"/>
          <w:left w:w="28" w:type="dxa"/>
          <w:bottom w:w="28" w:type="dxa"/>
          <w:right w:w="28" w:type="dxa"/>
        </w:tblCellMar>
      </w:tblPr>
      <w:tblGrid>
        <w:gridCol w:w="124"/>
        <w:gridCol w:w="109"/>
        <w:gridCol w:w="109"/>
        <w:gridCol w:w="1454"/>
        <w:gridCol w:w="1454"/>
        <w:gridCol w:w="2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bl>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Segment contribution increased $13.7 million or 28% over the prior year quarter, primarily due to improved operating results of the U.S. Pawn and Latin America Pawn segments. </w:t>
      </w:r>
    </w:p>
    <w:p>
      <w:pPr>
        <w:pStyle w:val="TextBody"/>
        <w:bidi w:val="0"/>
        <w:spacing w:lineRule="auto" w:line="268" w:before="180" w:after="180"/>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 increased $1.7 million or 9%, primarily due to labor and a gain on a corporate lease termination in the prior year.</w:t>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Income tax expense increased $3.2 million primarily due to an increase in income before taxes of $11.7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 includes other items that do not necessarily correspond to pre-tax earnings and create volatility in our effective tax rate. These items include the net effect of state taxes, non-deductible items and the foreign rate differential. See our Annual Report on Form 10-K for the year ended September 30, 2024, Note 9: Income Taxes of Notes to Consolidated Financial Statements included in “Part II, Item 8 — Financial Statements and Supplemental Data” for quantification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Nine Months Ended June 30, 2025 vs. Nine Months Ended June 30,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tables below and discussion that follows should be read in conjunction with the accompanying condensed consolidated financial statements and related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U.S. Pawn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for the U.S. Pawn segment:</w:t>
      </w:r>
    </w:p>
    <w:tbl>
      <w:tblPr>
        <w:tblW w:w="7155" w:type="dxa"/>
        <w:jc w:val="left"/>
        <w:tblInd w:w="0" w:type="dxa"/>
        <w:tblLayout w:type="fixed"/>
        <w:tblCellMar>
          <w:top w:w="28" w:type="dxa"/>
          <w:left w:w="28" w:type="dxa"/>
          <w:bottom w:w="28" w:type="dxa"/>
          <w:right w:w="28" w:type="dxa"/>
        </w:tblCellMar>
      </w:tblPr>
      <w:tblGrid>
        <w:gridCol w:w="1318"/>
        <w:gridCol w:w="1162"/>
        <w:gridCol w:w="1164"/>
        <w:gridCol w:w="181"/>
        <w:gridCol w:w="646"/>
        <w:gridCol w:w="241"/>
        <w:gridCol w:w="109"/>
        <w:gridCol w:w="109"/>
        <w:gridCol w:w="109"/>
        <w:gridCol w:w="181"/>
        <w:gridCol w:w="646"/>
        <w:gridCol w:w="241"/>
        <w:gridCol w:w="109"/>
        <w:gridCol w:w="109"/>
        <w:gridCol w:w="109"/>
        <w:gridCol w:w="211"/>
        <w:gridCol w:w="211"/>
        <w:gridCol w:w="299"/>
      </w:tblGrid>
      <w:tr>
        <w:trPr/>
        <w:tc>
          <w:tcPr>
            <w:tcW w:w="131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259,354 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236,499 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357,964 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348,211 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132,552 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129,475 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bps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39,258 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43%</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 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14,129 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5,293 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167%</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1,200bps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406,117 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371,361 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250,399 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239,536 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6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contribution</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147,651 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124,283 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19%</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gain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6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147,658 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124,283 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19%</w:t>
            </w:r>
          </w:p>
        </w:tc>
      </w:tr>
      <w:tr>
        <w:trPr/>
        <w:tc>
          <w:tcPr>
            <w:tcW w:w="3644"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(a)</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bps</w:t>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bl>
    <w:tbl>
      <w:tblPr>
        <w:tblW w:w="7137" w:type="dxa"/>
        <w:jc w:val="left"/>
        <w:tblInd w:w="0" w:type="dxa"/>
        <w:tblLayout w:type="fixed"/>
        <w:tblCellMar>
          <w:top w:w="28" w:type="dxa"/>
          <w:left w:w="28" w:type="dxa"/>
          <w:bottom w:w="28" w:type="dxa"/>
          <w:right w:w="28" w:type="dxa"/>
        </w:tblCellMar>
      </w:tblPr>
      <w:tblGrid>
        <w:gridCol w:w="124"/>
        <w:gridCol w:w="109"/>
        <w:gridCol w:w="109"/>
        <w:gridCol w:w="1990"/>
        <w:gridCol w:w="1990"/>
        <w:gridCol w:w="2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bl>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During the nine months ended June 30, 2025, segment store count increased to 545.</w:t>
      </w:r>
    </w:p>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Pawn service charges increased 10% as a result of higher average PLO, partially offset by lower PLO yield.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Merchandise sales increased 3%, and merchandise sale gross profit increased 2%.</w:t>
      </w:r>
    </w:p>
    <w:p>
      <w:pPr>
        <w:pStyle w:val="TextBody"/>
        <w:bidi w:val="0"/>
        <w:spacing w:lineRule="auto" w:line="276" w:before="180" w:after="180"/>
        <w:jc w:val="left"/>
        <w:rPr>
          <w:rFonts w:ascii="Arial Narrow;sans-serif" w:hAnsi="Arial Narrow;sans-serif"/>
          <w:b w:val="false"/>
          <w:color w:val="000000"/>
          <w:sz w:val="20"/>
        </w:rPr>
      </w:pPr>
      <w:r>
        <w:rPr>
          <w:rFonts w:ascii="Arial Narrow;sans-serif" w:hAnsi="Arial Narrow;sans-serif"/>
          <w:b w:val="false"/>
          <w:color w:val="000000"/>
          <w:sz w:val="20"/>
        </w:rPr>
        <w:t>Store expenses increased 5% (5% on a same-store basis), primarily due to increased labor, in line with store activity and minimum wage increases.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increased $23.4 million, or 19%, primarily due to the changes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Latin America Pawn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our Latin America Pawn segment, including constant currency results, after translation to U.S. dollars from functional currencies. See “Results of Operations — Non-GAAP Constant Currency and Same-Store Financial Information” above.</w:t>
      </w:r>
    </w:p>
    <w:tbl>
      <w:tblPr>
        <w:tblW w:w="10205" w:type="dxa"/>
        <w:jc w:val="left"/>
        <w:tblInd w:w="0" w:type="dxa"/>
        <w:tblLayout w:type="fixed"/>
        <w:tblCellMar>
          <w:top w:w="28" w:type="dxa"/>
          <w:left w:w="28" w:type="dxa"/>
          <w:bottom w:w="28" w:type="dxa"/>
          <w:right w:w="28" w:type="dxa"/>
        </w:tblCellMar>
      </w:tblPr>
      <w:tblGrid>
        <w:gridCol w:w="1012"/>
        <w:gridCol w:w="847"/>
        <w:gridCol w:w="849"/>
        <w:gridCol w:w="181"/>
        <w:gridCol w:w="571"/>
        <w:gridCol w:w="241"/>
        <w:gridCol w:w="109"/>
        <w:gridCol w:w="109"/>
        <w:gridCol w:w="109"/>
        <w:gridCol w:w="181"/>
        <w:gridCol w:w="571"/>
        <w:gridCol w:w="241"/>
        <w:gridCol w:w="109"/>
        <w:gridCol w:w="109"/>
        <w:gridCol w:w="109"/>
        <w:gridCol w:w="343"/>
        <w:gridCol w:w="327"/>
        <w:gridCol w:w="329"/>
        <w:gridCol w:w="109"/>
        <w:gridCol w:w="109"/>
        <w:gridCol w:w="109"/>
        <w:gridCol w:w="280"/>
        <w:gridCol w:w="887"/>
        <w:gridCol w:w="374"/>
        <w:gridCol w:w="109"/>
        <w:gridCol w:w="109"/>
        <w:gridCol w:w="109"/>
        <w:gridCol w:w="484"/>
        <w:gridCol w:w="484"/>
        <w:gridCol w:w="695"/>
      </w:tblGrid>
      <w:tr>
        <w:trPr/>
        <w:tc>
          <w:tcPr>
            <w:tcW w:w="101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27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97"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w:t>
            </w:r>
          </w:p>
        </w:tc>
      </w:tr>
      <w:tr>
        <w:trPr/>
        <w:tc>
          <w:tcPr>
            <w:tcW w:w="2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2024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6"/>
              </w:rPr>
            </w:pPr>
            <w:r>
              <w:rPr>
                <w:rFonts w:ascii="Arial Narrow;sans-serif" w:hAnsi="Arial Narrow;sans-serif"/>
                <w:b/>
                <w:color w:val="000000"/>
                <w:sz w:val="16"/>
              </w:rPr>
              <w:t>2025 (Constant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(Constant Currency)</w:t>
            </w:r>
          </w:p>
        </w:tc>
      </w:tr>
      <w:tr>
        <w:trPr/>
        <w:tc>
          <w:tcPr>
            <w:tcW w:w="2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88,908 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98,485 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w:t>
            </w:r>
          </w:p>
        </w:tc>
      </w:tr>
      <w:tr>
        <w:trPr/>
        <w:tc>
          <w:tcPr>
            <w:tcW w:w="2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166,470 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154,019 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186,656 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w:t>
            </w:r>
          </w:p>
        </w:tc>
      </w:tr>
      <w:tr>
        <w:trPr/>
        <w:tc>
          <w:tcPr>
            <w:tcW w:w="270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50,277 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50,075 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56,509 </w:t>
            </w:r>
          </w:p>
        </w:tc>
        <w:tc>
          <w:tcPr>
            <w:tcW w:w="3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(300)bps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(300)bps</w:t>
            </w:r>
          </w:p>
        </w:tc>
      </w:tr>
      <w:tr>
        <w:trPr/>
        <w:tc>
          <w:tcPr>
            <w:tcW w:w="2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9,656 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146%</w:t>
            </w:r>
          </w:p>
        </w:tc>
      </w:tr>
      <w:tr>
        <w:trPr/>
        <w:tc>
          <w:tcPr>
            <w:tcW w:w="270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 gross profit</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2,144 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419 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412%</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2,464 </w:t>
            </w:r>
          </w:p>
        </w:tc>
        <w:tc>
          <w:tcPr>
            <w:tcW w:w="3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488%</w:t>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scrapping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1,400bps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1,500bps</w:t>
            </w:r>
          </w:p>
        </w:tc>
      </w:tr>
      <w:tr>
        <w:trPr/>
        <w:tc>
          <w:tcPr>
            <w:tcW w:w="2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270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141,378 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135,496 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157,515 </w:t>
            </w:r>
          </w:p>
        </w:tc>
        <w:tc>
          <w:tcPr>
            <w:tcW w:w="3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w:t>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101,702 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101,936 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114,149 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2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6,937 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w:t>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270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Segment operating contribution </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33,477 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26,979 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24%</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36,429 </w:t>
            </w:r>
          </w:p>
        </w:tc>
        <w:tc>
          <w:tcPr>
            <w:tcW w:w="3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35%</w:t>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(1,215)</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(25)%</w:t>
            </w:r>
          </w:p>
        </w:tc>
      </w:tr>
      <w:tr>
        <w:trPr/>
        <w:tc>
          <w:tcPr>
            <w:tcW w:w="270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34,592 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28,608 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37,644 </w:t>
            </w:r>
          </w:p>
        </w:tc>
        <w:tc>
          <w:tcPr>
            <w:tcW w:w="37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w:t>
            </w:r>
          </w:p>
        </w:tc>
      </w:tr>
      <w:tr>
        <w:trPr/>
        <w:tc>
          <w:tcPr>
            <w:tcW w:w="270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r>
      <w:tr>
        <w:trPr/>
        <w:tc>
          <w:tcPr>
            <w:tcW w:w="2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monthly ending pawn loan balance per store (a)</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94 </w:t>
            </w:r>
          </w:p>
        </w:tc>
        <w:tc>
          <w:tcPr>
            <w:tcW w:w="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bps</w:t>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r>
    </w:tbl>
    <w:tbl>
      <w:tblPr>
        <w:tblW w:w="7136" w:type="dxa"/>
        <w:jc w:val="left"/>
        <w:tblInd w:w="0" w:type="dxa"/>
        <w:tblLayout w:type="fixed"/>
        <w:tblCellMar>
          <w:top w:w="28" w:type="dxa"/>
          <w:left w:w="28" w:type="dxa"/>
          <w:bottom w:w="28" w:type="dxa"/>
          <w:right w:w="28" w:type="dxa"/>
        </w:tblCellMar>
      </w:tblPr>
      <w:tblGrid>
        <w:gridCol w:w="124"/>
        <w:gridCol w:w="109"/>
        <w:gridCol w:w="109"/>
        <w:gridCol w:w="1983"/>
        <w:gridCol w:w="1983"/>
        <w:gridCol w:w="28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bl>
    <w:tbl>
      <w:tblPr>
        <w:tblW w:w="5080" w:type="dxa"/>
        <w:jc w:val="left"/>
        <w:tblInd w:w="0" w:type="dxa"/>
        <w:tblLayout w:type="fixed"/>
        <w:tblCellMar>
          <w:top w:w="28" w:type="dxa"/>
          <w:left w:w="28" w:type="dxa"/>
          <w:bottom w:w="28" w:type="dxa"/>
          <w:right w:w="28" w:type="dxa"/>
        </w:tblCellMar>
      </w:tblPr>
      <w:tblGrid>
        <w:gridCol w:w="793"/>
        <w:gridCol w:w="695"/>
        <w:gridCol w:w="701"/>
        <w:gridCol w:w="344"/>
        <w:gridCol w:w="344"/>
        <w:gridCol w:w="346"/>
        <w:gridCol w:w="109"/>
        <w:gridCol w:w="109"/>
        <w:gridCol w:w="109"/>
        <w:gridCol w:w="447"/>
        <w:gridCol w:w="447"/>
        <w:gridCol w:w="636"/>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 Narrow;sans-serif" w:hAnsi="Arial Narrow;sans-serif"/>
                <w:b/>
                <w:color w:val="000000"/>
                <w:sz w:val="18"/>
              </w:rPr>
              <w:t>2025 Change</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 Narrow;sans-serif" w:hAnsi="Arial Narrow;sans-serif"/>
                <w:b/>
                <w:color w:val="000000"/>
                <w:sz w:val="18"/>
              </w:rPr>
              <w:t>2025 Change</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(Constant Currency)</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Same-store data: </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PLO </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PSC </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14%</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Merchandise Sales Gross Profit </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w:t>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nine months ended June 30, 2025, net store count increased by 54 due to the acquisition of 41 stores, the opening of 23 de novo stores and the consolidation of ten stores.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PSC increased 5% to $88.9 million (16% to $98.5 million on a constant currency basis) as a result of higher average PLO.</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Merchandise sales increased 8% (21% on a constant currency basis) and 6% on a same-store basis (19% on a constant currency basis). Merchandise sales gross margin decreased 300 bps to 30% from 33%.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Store expenses remained constant and decreased by 2% on a same-store basis (10% increase on a constant currency basis). The constant currency increase was primarily due to increased labor, in line with store activity and minimum wage increases.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contribution increased $6.0 million, or 21% ($9.0 million, or 32%, on a constant currency basis), due to the changes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Other Investments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financial data for our Other Investments segment after translation to U.S. dollars from its functional currency of primarily Australian dollars:</w:t>
      </w:r>
    </w:p>
    <w:tbl>
      <w:tblPr>
        <w:tblW w:w="6681" w:type="dxa"/>
        <w:jc w:val="left"/>
        <w:tblInd w:w="0" w:type="dxa"/>
        <w:tblLayout w:type="fixed"/>
        <w:tblCellMar>
          <w:top w:w="28" w:type="dxa"/>
          <w:left w:w="28" w:type="dxa"/>
          <w:bottom w:w="28" w:type="dxa"/>
          <w:right w:w="28" w:type="dxa"/>
        </w:tblCellMar>
      </w:tblPr>
      <w:tblGrid>
        <w:gridCol w:w="1269"/>
        <w:gridCol w:w="1118"/>
        <w:gridCol w:w="1122"/>
        <w:gridCol w:w="198"/>
        <w:gridCol w:w="544"/>
        <w:gridCol w:w="119"/>
        <w:gridCol w:w="119"/>
        <w:gridCol w:w="119"/>
        <w:gridCol w:w="119"/>
        <w:gridCol w:w="198"/>
        <w:gridCol w:w="544"/>
        <w:gridCol w:w="119"/>
        <w:gridCol w:w="109"/>
        <w:gridCol w:w="109"/>
        <w:gridCol w:w="109"/>
        <w:gridCol w:w="224"/>
        <w:gridCol w:w="224"/>
        <w:gridCol w:w="318"/>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Consumer loan fees, interest and other</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7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35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contribution</w:t>
            </w:r>
          </w:p>
        </w:tc>
        <w:tc>
          <w:tcPr>
            <w:tcW w:w="7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6,701 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6,124 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loss</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509"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9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6,701 </w:t>
            </w:r>
          </w:p>
        </w:tc>
        <w:tc>
          <w:tcPr>
            <w:tcW w:w="11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6,097 </w:t>
            </w:r>
          </w:p>
        </w:tc>
        <w:tc>
          <w:tcPr>
            <w:tcW w:w="11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br/>
        <w:br/>
        <w:t>Segment income was $6.7 million, an increase of $0.6 million from the prior-year nine months ended June 30, 2024, primarily due to the increase in our share of equity in net income of Cash Converters.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Other Items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reconciles our consolidated segment contribution discussed above to net income attributable to EZCORP, Inc., including items that affect our consolidated financial results but are not allocated among segments:</w:t>
      </w:r>
    </w:p>
    <w:tbl>
      <w:tblPr>
        <w:tblW w:w="6935" w:type="dxa"/>
        <w:jc w:val="left"/>
        <w:tblInd w:w="0" w:type="dxa"/>
        <w:tblLayout w:type="fixed"/>
        <w:tblCellMar>
          <w:top w:w="28" w:type="dxa"/>
          <w:left w:w="28" w:type="dxa"/>
          <w:bottom w:w="28" w:type="dxa"/>
          <w:right w:w="28" w:type="dxa"/>
        </w:tblCellMar>
      </w:tblPr>
      <w:tblGrid>
        <w:gridCol w:w="1058"/>
        <w:gridCol w:w="933"/>
        <w:gridCol w:w="934"/>
        <w:gridCol w:w="181"/>
        <w:gridCol w:w="646"/>
        <w:gridCol w:w="109"/>
        <w:gridCol w:w="109"/>
        <w:gridCol w:w="109"/>
        <w:gridCol w:w="109"/>
        <w:gridCol w:w="181"/>
        <w:gridCol w:w="646"/>
        <w:gridCol w:w="109"/>
        <w:gridCol w:w="109"/>
        <w:gridCol w:w="109"/>
        <w:gridCol w:w="109"/>
        <w:gridCol w:w="434"/>
        <w:gridCol w:w="434"/>
        <w:gridCol w:w="616"/>
      </w:tblGrid>
      <w:tr>
        <w:trPr/>
        <w:tc>
          <w:tcPr>
            <w:tcW w:w="10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19%</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expenses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sale or disposal of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65%</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43%</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27%</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402%</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loss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(243)%</w:t>
            </w:r>
          </w:p>
        </w:tc>
      </w:tr>
      <w:tr>
        <w:trPr/>
        <w:tc>
          <w:tcPr>
            <w:tcW w:w="29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110,509 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24%</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29%</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w:t>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82,909 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67,899 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22%</w:t>
            </w:r>
          </w:p>
        </w:tc>
      </w:tr>
    </w:tbl>
    <w:tbl>
      <w:tblPr>
        <w:tblW w:w="5307" w:type="dxa"/>
        <w:jc w:val="left"/>
        <w:tblInd w:w="0" w:type="dxa"/>
        <w:tblLayout w:type="fixed"/>
        <w:tblCellMar>
          <w:top w:w="28" w:type="dxa"/>
          <w:left w:w="28" w:type="dxa"/>
          <w:bottom w:w="28" w:type="dxa"/>
          <w:right w:w="28" w:type="dxa"/>
        </w:tblCellMar>
      </w:tblPr>
      <w:tblGrid>
        <w:gridCol w:w="124"/>
        <w:gridCol w:w="109"/>
        <w:gridCol w:w="109"/>
        <w:gridCol w:w="1454"/>
        <w:gridCol w:w="1454"/>
        <w:gridCol w:w="2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br/>
        <w:br/>
      </w:r>
      <w:r>
        <w:rPr>
          <w:rFonts w:ascii="Arial Narrow;sans-serif" w:hAnsi="Arial Narrow;sans-serif"/>
          <w:b w:val="false"/>
          <w:color w:val="000000"/>
          <w:sz w:val="20"/>
        </w:rPr>
        <w:t xml:space="preserve">Segment contribution increased $30.0 million or 19% over the prior year nine months ended June 30, 2024, primarily due to improved operating results of the U.S. Pawn and Latin America Pawn segments above.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General and administrative expenses increased $5.2 million or 10%, primarily due to labor.</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Income tax expense increased $6.1 million, primarily due to an increase in income before income taxes of $21.2 million for the nine months ended June 30, 2025 compared to the same prior year nine month period.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Income tax expense includes other items that do not necessarily correspond to pre-tax earnings and create volatility in our effective tax rate. These items include the net effect of state taxes, non-deductible items and the foreign rate differential. See Annual Report on Form 10-K for the year ended September 30, 2024, Note 9: Income Taxes of Notes to Consolidated Financial Statements included in “Part II, Item 8 — Financial Statements and Supplemental Data” for quantification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Liquidity and Capital Resources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Cash and Cash Equivalents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cash and cash equivalents balance was $472.1 million at June 30, 2025 compared to $170.5 million at September 30, 2024. At June 30, 2025, our cash and equivalents were held in cash depository accounts with major banks or invested in high quality, short-term liquid investments.</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Cash Flows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table and discussion below presents a summary of the selected sources and uses of our cash:</w:t>
      </w:r>
    </w:p>
    <w:tbl>
      <w:tblPr>
        <w:tblW w:w="8466" w:type="dxa"/>
        <w:jc w:val="left"/>
        <w:tblInd w:w="0" w:type="dxa"/>
        <w:tblLayout w:type="fixed"/>
        <w:tblCellMar>
          <w:top w:w="28" w:type="dxa"/>
          <w:left w:w="28" w:type="dxa"/>
          <w:bottom w:w="28" w:type="dxa"/>
          <w:right w:w="28" w:type="dxa"/>
        </w:tblCellMar>
      </w:tblPr>
      <w:tblGrid>
        <w:gridCol w:w="1844"/>
        <w:gridCol w:w="1625"/>
        <w:gridCol w:w="1630"/>
        <w:gridCol w:w="181"/>
        <w:gridCol w:w="646"/>
        <w:gridCol w:w="109"/>
        <w:gridCol w:w="109"/>
        <w:gridCol w:w="109"/>
        <w:gridCol w:w="109"/>
        <w:gridCol w:w="181"/>
        <w:gridCol w:w="571"/>
        <w:gridCol w:w="109"/>
        <w:gridCol w:w="109"/>
        <w:gridCol w:w="109"/>
        <w:gridCol w:w="109"/>
        <w:gridCol w:w="268"/>
        <w:gridCol w:w="268"/>
        <w:gridCol w:w="380"/>
      </w:tblGrid>
      <w:tr>
        <w:trPr/>
        <w:tc>
          <w:tcPr>
            <w:tcW w:w="1844"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Nine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w:t>
              <w:br/>
              <w:t>Change</w:t>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39%</w:t>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cash provided by (used in) financing activities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cash equivalents and 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5099"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in cash, cash equivalents and restricted cash</w:t>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307,270 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(1,726)</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bl>
    <w:tbl>
      <w:tblPr>
        <w:tblW w:w="5307" w:type="dxa"/>
        <w:jc w:val="left"/>
        <w:tblInd w:w="0" w:type="dxa"/>
        <w:tblLayout w:type="fixed"/>
        <w:tblCellMar>
          <w:top w:w="28" w:type="dxa"/>
          <w:left w:w="28" w:type="dxa"/>
          <w:bottom w:w="28" w:type="dxa"/>
          <w:right w:w="28" w:type="dxa"/>
        </w:tblCellMar>
      </w:tblPr>
      <w:tblGrid>
        <w:gridCol w:w="124"/>
        <w:gridCol w:w="109"/>
        <w:gridCol w:w="109"/>
        <w:gridCol w:w="1454"/>
        <w:gridCol w:w="1454"/>
        <w:gridCol w:w="2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br/>
        <w:t>The $27.5 million increase in cash flows provided by operating activities year-over-year was primarily due to an increase in net income as well as changes in working capital primarily related to the timing of payments of accounts payable, prepaid expenses, customer layaway deposits, inventory and income taxes.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$6.8 million increase in cash flows used in investing activities year-over-year was primarily due to a $29.1 million increase in net pawn lending outflows, partially offset by a $19.1 million increase in cash inflows from the sale of forfeited collateral and a $3.2 million decrease in net cash flows used related to investments, acquisitions and capital expenditures.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$288.3 million increase in cash flows provided by financing activities was primarily related to the March 2025 financing of the 2032 Senior Notes, in which we issued $300.0 million principal amount (less issuance costs of $7.6 million) of 7.375% senior notes due 2032, partially offset by the repayment of $6.4 million of principal for the 2025 Convertible Notes.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net effect of these changes was a $307.3 million increase in cash on hand during the current year to date period, resulting in a $487.1 million ending cash and restricted cash balance.</w:t>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Sources and Uses of Cash</w:t>
      </w:r>
    </w:p>
    <w:p>
      <w:pPr>
        <w:pStyle w:val="TextBody"/>
        <w:bidi w:val="0"/>
        <w:spacing w:lineRule="auto" w:line="26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 xml:space="preserve">On May 1, 2025, we repaid the remaining principal balance, approximately $6.4 million of the 2025 Convertible Notes. </w:t>
      </w:r>
    </w:p>
    <w:p>
      <w:pPr>
        <w:pStyle w:val="TextBody"/>
        <w:bidi w:val="0"/>
        <w:spacing w:lineRule="auto" w:line="26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 xml:space="preserve">In March 2025, we issued $300.0 million aggregate principal amount of the Company’s 7.375% senior notes due 2032, for which $300.0 million remains outstanding as of June 30, 2025. See Note 8 of Notes to Condensed Consolidated Financial Statements included in “Part I, Item 1 — Financial Statements” of this Report for further discussion. </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On May 3, 2022, our Board authorized the repurchase of up to $50 million of our Class A Common Stock over three years. As of June 30, 2025, we have repurchased 3,178,147 shares of our Class A Common Stock under the program for $30.0 million. This program expired on May 3, 2025. During the three months ended June 30, 2025, the Company used approximately $2.0 million of the net proceeds from the 2032 Senior Notes offering to repurchase for cash 148,921 shares of its Class A common stock in privately negotiated transactions. Such transactions were authorized separately from, and not considered a part of the Common Stock Repurchase Program. See Note 9 of Notes to Condensed Consolidated Financial Statements included in “Part I, Item 1 — Financial Statements.”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anticipate that cash flows from operations and cash on hand will be adequate to fund ongoing operations, current debt service requirements, tax payments, any future stock repurchases, strategic investments, our contractual obligations, planned de novo store growth, capital expenditures and working capital requirements through the next twelve months. We continue to explore acquisition opportunities, both large and small, and may choose to pursue additional debt, equity or equity-linked financings in the future should the need arise. Depending on the level of acquisition activity and other factors, our ability to repay our longer-term debt obligations, including the convertible debt maturing in December 2029 and the 2032 Senior Notes maturing in April 2032, may require us to refinance these obligations through the issuance of new debt securities, equity securities, convertible securities or through new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Contractual Obligations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“Part II, Item 7 — Management’s Discussion and Analysis of Financial Condition and Results of Operations” of our Annual Report on Form 10-K for the year ended September 30, 2024, we reported that we had $673.5 million in total contractual obligations as of September 30, 2024. There have been no material changes to this total obligation since September 30, 2024, other than the 2032 Senior Notes financing as further discussed in Note 7: Debt of Notes to Condensed Consolidated Financial Statements included in “Part I, Item 1 — Financial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responsible for the maintenance, property taxes and insurance at most of our locations. In the fiscal year ended September 30, 2024, these collectively amounted to $17.7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Recently Adopted Accounting Policies and Recently Issued Accounting Pronouncements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See Note 1 of the Notes to Condensed Consolidated Financial Statements included in “Part I, Item 1 — Financial Statements” of this Quarterly Report for recently issued accounting pronouncements including the expected dates of adoption and estimated effects, if any, on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Cautionary Statement Regarding Risks and Uncertainties that May Affect Future Results</w:t>
      </w:r>
    </w:p>
    <w:p>
      <w:pPr>
        <w:pStyle w:val="TextBody"/>
        <w:bidi w:val="0"/>
        <w:spacing w:lineRule="auto" w:line="288" w:before="180" w:after="283"/>
        <w:jc w:val="left"/>
        <w:rPr/>
      </w:pPr>
      <w:r>
        <w:rPr>
          <w:rFonts w:ascii="Arial Narrow;sans-serif" w:hAnsi="Arial Narrow;sans-serif"/>
          <w:b w:val="false"/>
          <w:color w:val="000000"/>
          <w:sz w:val="20"/>
        </w:rPr>
        <w:t>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w:t>
      </w:r>
      <w:hyperlink r:id="rId9">
        <w:r>
          <w:rPr>
            <w:rStyle w:val="InternetLink"/>
            <w:rFonts w:ascii="Arial Narrow;sans-serif" w:hAnsi="Arial Narrow;sans-serif"/>
            <w:b w:val="false"/>
            <w:strike w:val="false"/>
            <w:dstrike w:val="false"/>
            <w:color w:val="000000"/>
            <w:sz w:val="20"/>
            <w:u w:val="none"/>
            <w:effect w:val="none"/>
          </w:rPr>
          <w:t>Part I, Item 1A — Risk Factors</w:t>
        </w:r>
      </w:hyperlink>
      <w:r>
        <w:rPr>
          <w:rFonts w:ascii="Arial Narrow;sans-serif" w:hAnsi="Arial Narrow;sans-serif"/>
          <w:b w:val="false"/>
          <w:color w:val="000000"/>
          <w:sz w:val="20"/>
        </w:rPr>
        <w:t>”</w:t>
      </w:r>
      <w:hyperlink r:id="rId10">
        <w:r>
          <w:rPr>
            <w:rStyle w:val="InternetLink"/>
            <w:rFonts w:ascii="Arial Narrow;sans-serif" w:hAnsi="Arial Narrow;sans-serif"/>
            <w:b w:val="false"/>
            <w:strike w:val="false"/>
            <w:dstrike w:val="false"/>
            <w:color w:val="000000"/>
            <w:sz w:val="20"/>
            <w:u w:val="none"/>
            <w:effect w:val="none"/>
          </w:rPr>
          <w:t xml:space="preserve"> of our Annual Report on Form 10-K for the year ended September 30, </w:t>
        </w:r>
      </w:hyperlink>
      <w:r>
        <w:rPr>
          <w:rFonts w:ascii="Arial Narrow;sans-serif" w:hAnsi="Arial Narrow;sans-serif"/>
          <w:b w:val="false"/>
          <w:color w:val="000000"/>
          <w:sz w:val="20"/>
        </w:rPr>
        <w:t>2024 and “Part II, Item 1A — Risk Factors” of this Report.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3. QUANTITATIVE AND QUALITATIVE DISCLOSURES ABOUT MARKET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2024. There have been no material changes in our reported market risks or risk management policies since the filing of our Annual Report on Form 10-K for the year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4. CONTROLS AND PROCEDURES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Evaluation of Disclosure Controls and Procedures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Under the supervision and with the participation of our Chief Executive Officer and Chief Financial Officer, our management evaluated the effectiveness of the design and operation of our disclosure controls and procedures as of June 30, 2025. Our principal executive officer and principal financial officer have concluded that as of June 30, 2025, our disclosure controls and procedures were effective to provide reasonable assurance that information required to be disclosed in our reports under the Exchange Act is recorded, processed, summarized, and reported within the time periods specified in the SEC rules and forms and that such information is accumulated and communicated to management as appropriate to allow timely decisions regarding required disclosure.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Company completed the acquisition of 40 pawn stores in Mexico on June 17, 2025 in a purchase business combination. As discussed in SEC staff guidance, a company may conclude it will exclude an acquired business from the assessment of internal control over financial reporting during the first year after completion of an acquisition. In light of the overlap between a company’s disclosure controls and procedures and its internal control over financial reporting, the evaluation of disclosure controls and procedures may also exclude an assessment of the disclosure controls and procedures of the acquired entity that are subsumed in internal control over financial reporting. In consideration of the SEC staff guidance, we excluded this acquisition from our assessment of the effectiveness of disclosure controls and procedures as of June 30, 2025. The total assets and total revenues excluded from our assessment represented less than 1% each of the Company’s consolidated total assets and consolidated total revenues, respectively, as of and for the three months ended June 30, 2025.</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Changes in Internal Control Over Financial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There were no changes in our internal control over financial reporting during the quarter ended June 30, 2025 that have materially affected, or are reasonably likely to materially affect, our internal control over financial reporting.</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Inherent Limitations on Internal Controls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Our management, including our Chief Executive Officer and Chief Financial Officer, does not expect that our disclosure controls or our internal controls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all control issues and instances of fraud, if any, within the Company have been detected.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associated policies or procedures.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Arial Narrow;sans-serif" w:hAnsi="Arial Narrow;sans-serif"/>
          <w:b/>
          <w:color w:val="00497F"/>
          <w:sz w:val="28"/>
        </w:rPr>
      </w:pPr>
      <w:r>
        <w:rPr>
          <w:rFonts w:ascii="Arial Narrow;sans-serif" w:hAnsi="Arial Narrow;sans-serif"/>
          <w:b/>
          <w:color w:val="00497F"/>
          <w:sz w:val="28"/>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 LEGAL PROCEEDINGS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10: Commitments And Contingencies of Notes to Condensed Consolidated Financial Statements included in “Part I, 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1A. RISK FACTORS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Important risk factors that could affect our operations and financial performance, or that could cause results or events to differ from current expectations, are described in “Part I, Item 1A — Risk Factors” of our Annual Report on Form 10-K for the year ended September 30, 2024, as supplemented by the information set forth below.</w:t>
      </w:r>
    </w:p>
    <w:p>
      <w:pPr>
        <w:pStyle w:val="TextBody"/>
        <w:bidi w:val="0"/>
        <w:spacing w:before="0" w:after="0"/>
        <w:jc w:val="both"/>
        <w:rPr/>
      </w:pPr>
      <w:r>
        <w:rPr/>
      </w:r>
    </w:p>
    <w:p>
      <w:pPr>
        <w:pStyle w:val="TextBody"/>
        <w:bidi w:val="0"/>
        <w:spacing w:lineRule="auto" w:line="268" w:before="0" w:after="0"/>
        <w:jc w:val="both"/>
        <w:rPr>
          <w:rFonts w:ascii="Arial Narrow;sans-serif" w:hAnsi="Arial Narrow;sans-serif"/>
          <w:b/>
          <w:i/>
          <w:color w:val="000000"/>
          <w:sz w:val="20"/>
        </w:rPr>
      </w:pPr>
      <w:r>
        <w:rPr>
          <w:rFonts w:ascii="Arial Narrow;sans-serif" w:hAnsi="Arial Narrow;sans-serif"/>
          <w:b/>
          <w:i/>
          <w:color w:val="000000"/>
          <w:sz w:val="20"/>
        </w:rPr>
        <w:t>Our incurrence of debt in the form of the 2032 Senior Notes could have a material adverse effect on our financial condition and results of operations</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March 2025, we incurred debt in the aggregate principal amount of $300.0 million in the form of the 2032 Senior Notes. See Note 7 of Notes to Condensed Consolidated Financial Statements included in "Part I, Item 1 — Financial Statements" of this Report. The indebtedness could increase the cost of future financing or otherwise limit our ability to obtain financing, including the refinancing of existing debt. The application of cash flow to repayment of our indebtedness could restrict funds available for other uses, including working capital, growth, and other general corporate purposes, which could adversely affect our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2. Unregistered Sale of Equity Security and Use of Proceeds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provides certain information about our repurchase of shares of Class A Non-voting Common Stock during the quarter ended June 30, 2025.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56"/>
        <w:gridCol w:w="400"/>
        <w:gridCol w:w="403"/>
        <w:gridCol w:w="109"/>
        <w:gridCol w:w="109"/>
        <w:gridCol w:w="109"/>
        <w:gridCol w:w="567"/>
        <w:gridCol w:w="441"/>
        <w:gridCol w:w="443"/>
        <w:gridCol w:w="109"/>
        <w:gridCol w:w="109"/>
        <w:gridCol w:w="109"/>
        <w:gridCol w:w="109"/>
        <w:gridCol w:w="109"/>
        <w:gridCol w:w="280"/>
        <w:gridCol w:w="796"/>
        <w:gridCol w:w="156"/>
        <w:gridCol w:w="109"/>
        <w:gridCol w:w="109"/>
        <w:gridCol w:w="109"/>
        <w:gridCol w:w="749"/>
        <w:gridCol w:w="749"/>
        <w:gridCol w:w="752"/>
        <w:gridCol w:w="109"/>
        <w:gridCol w:w="109"/>
        <w:gridCol w:w="109"/>
        <w:gridCol w:w="641"/>
        <w:gridCol w:w="1331"/>
        <w:gridCol w:w="515"/>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 Repurchases</w:t>
            </w:r>
          </w:p>
        </w:tc>
        <w:tc>
          <w:tcPr>
            <w:tcW w:w="2814" w:type="dxa"/>
            <w:gridSpan w:val="6"/>
            <w:tcBorders/>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Number of Shares Purchased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Average Price 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8"/>
              </w:rPr>
              <w:t>Total Number of Shares Purchased as Part of Publicly Announced Programs</w:t>
            </w:r>
            <w:r>
              <w:rPr>
                <w:color w:val="000000"/>
              </w:rPr>
              <w:t xml:space="preserve"> </w:t>
            </w:r>
            <w:r>
              <w:rPr>
                <w:rFonts w:ascii="Arial Narrow;sans-serif" w:hAnsi="Arial Narrow;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8"/>
              </w:rPr>
              <w:t>Approximate Dollar Value of Shares That May Yet Be Purchased Under the Program</w:t>
            </w:r>
            <w:r>
              <w:rPr>
                <w:rFonts w:ascii="Arial Narrow;sans-serif" w:hAnsi="Arial Narrow;sans-serif"/>
                <w:b/>
                <w:color w:val="000000"/>
                <w:sz w:val="12"/>
              </w:rPr>
              <w:t>(1)</w:t>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4"/>
              </w:rPr>
            </w:pPr>
            <w:r>
              <w:rPr>
                <w:rFonts w:ascii="Arial Narrow;sans-serif" w:hAnsi="Arial Narrow;sans-serif"/>
                <w:b w:val="false"/>
                <w:color w:val="000000"/>
                <w:sz w:val="14"/>
              </w:rPr>
              <w:t>(in thousands, except number of shares and average price information)</w:t>
            </w:r>
          </w:p>
        </w:tc>
        <w:tc>
          <w:tcPr>
            <w:tcW w:w="2814" w:type="dxa"/>
            <w:gridSpan w:val="6"/>
            <w:tcBorders/>
          </w:tcPr>
          <w:p>
            <w:pPr>
              <w:pStyle w:val="TableContents"/>
              <w:bidi w:val="0"/>
              <w:spacing w:before="0" w:after="283"/>
              <w:jc w:val="left"/>
              <w:rPr>
                <w:sz w:val="4"/>
                <w:szCs w:val="4"/>
              </w:rPr>
            </w:pPr>
            <w:r>
              <w:rPr>
                <w:sz w:val="4"/>
                <w:szCs w:val="4"/>
              </w:rPr>
            </w:r>
          </w:p>
        </w:tc>
      </w:tr>
      <w:tr>
        <w:trPr/>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7" w:type="dxa"/>
            <w:gridSpan w:val="3"/>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May 1, 2025 through May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46,605 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June 1, 2025 through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102,316 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Quarter ended June 30,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148,921 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10"/>
        </w:rPr>
        <w:t>(1)</w:t>
      </w:r>
      <w:r>
        <w:rPr>
          <w:color w:val="000000"/>
        </w:rPr>
        <w:t xml:space="preserve"> </w:t>
      </w:r>
      <w:r>
        <w:rPr>
          <w:rFonts w:ascii="Arial Narrow;sans-serif" w:hAnsi="Arial Narrow;sans-serif"/>
          <w:b w:val="false"/>
          <w:color w:val="000000"/>
          <w:sz w:val="16"/>
        </w:rPr>
        <w:t>On May 3, 2022, the Board of Directors approved a share repurchase program, under which we were authorized to repurchase up to $50 million of our Class A Non-Voting common shares over a three-year period, which expired on May 3, 2025. The repurchases reported above were authorized separately from, and not considered a part of, the Common Stock Repurchase Program or other publicly announced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 xml:space="preserve">ITEM 5. Other Information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Insider Trading Arrangements</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May 8, 2025, Matthew Appel, Director, entered into a prearranged trading plan to sell up to 18,038 shares of the Company’s Class A Non-Voting Common Stock between August 14, 2025 and August 14, 2026 pursuant to the terms of the plan. The plan is designed to satisfy the affirmative defense conditions of Rule 10b5-1(c) under the Exchange Act and comply with the Company’s policies regarding stock transactions.</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than as described above, no Director or Executive Officer adopted, modified or terminated any contract, instruction, written plan or other trading arrangement relating to the purchase or sale of Company securities during the fiscal quarter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497F"/>
          <w:sz w:val="28"/>
        </w:rPr>
      </w:pPr>
      <w:r>
        <w:rPr>
          <w:rFonts w:ascii="Arial Narrow;sans-serif" w:hAnsi="Arial Narrow;sans-serif"/>
          <w:b/>
          <w:color w:val="00497F"/>
          <w:sz w:val="28"/>
        </w:rPr>
        <w:t>ITEM 6. EXHIBITS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exhibits are filed with, or incorporated by reference into, this report.</w:t>
      </w:r>
    </w:p>
    <w:tbl>
      <w:tblPr>
        <w:tblW w:w="10205" w:type="dxa"/>
        <w:jc w:val="left"/>
        <w:tblInd w:w="0" w:type="dxa"/>
        <w:tblLayout w:type="fixed"/>
        <w:tblCellMar>
          <w:top w:w="28" w:type="dxa"/>
          <w:left w:w="28" w:type="dxa"/>
          <w:bottom w:w="28" w:type="dxa"/>
          <w:right w:w="28" w:type="dxa"/>
        </w:tblCellMar>
      </w:tblPr>
      <w:tblGrid>
        <w:gridCol w:w="238"/>
        <w:gridCol w:w="209"/>
        <w:gridCol w:w="210"/>
        <w:gridCol w:w="1906"/>
        <w:gridCol w:w="1890"/>
        <w:gridCol w:w="1897"/>
        <w:gridCol w:w="109"/>
        <w:gridCol w:w="109"/>
        <w:gridCol w:w="109"/>
        <w:gridCol w:w="160"/>
        <w:gridCol w:w="160"/>
        <w:gridCol w:w="161"/>
        <w:gridCol w:w="176"/>
        <w:gridCol w:w="158"/>
        <w:gridCol w:w="158"/>
        <w:gridCol w:w="200"/>
        <w:gridCol w:w="200"/>
        <w:gridCol w:w="201"/>
        <w:gridCol w:w="223"/>
        <w:gridCol w:w="223"/>
        <w:gridCol w:w="225"/>
        <w:gridCol w:w="109"/>
        <w:gridCol w:w="109"/>
        <w:gridCol w:w="109"/>
        <w:gridCol w:w="277"/>
        <w:gridCol w:w="277"/>
        <w:gridCol w:w="402"/>
      </w:tblGrid>
      <w:tr>
        <w:trPr/>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Filed Herewith</w:t>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Exhibit</w:t>
            </w:r>
          </w:p>
        </w:tc>
        <w:tc>
          <w:tcPr>
            <w:tcW w:w="5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Form</w:t>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File No.</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Exhibit</w:t>
            </w:r>
          </w:p>
        </w:tc>
        <w:tc>
          <w:tcPr>
            <w:tcW w:w="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31.1</w:t>
            </w:r>
          </w:p>
        </w:tc>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5-q310xqex311.htm">
              <w:r>
                <w:rPr>
                  <w:rStyle w:val="InternetLink"/>
                  <w:rFonts w:ascii="Arial Narrow;sans-serif" w:hAnsi="Arial Narrow;sans-serif"/>
                  <w:b w:val="false"/>
                  <w:color w:val="0000FF"/>
                  <w:sz w:val="18"/>
                  <w:u w:val="single"/>
                </w:rPr>
                <w:t>Certification of Principal Executive Officer, pursuant to Rule 13a-14(a) under the Securities Exchange Act of 1934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31.2</w:t>
            </w:r>
          </w:p>
        </w:tc>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5-q310xqex312.htm">
              <w:r>
                <w:rPr>
                  <w:rStyle w:val="InternetLink"/>
                  <w:rFonts w:ascii="Arial Narrow;sans-serif" w:hAnsi="Arial Narrow;sans-serif"/>
                  <w:b w:val="false"/>
                  <w:color w:val="0000FF"/>
                  <w:sz w:val="18"/>
                  <w:u w:val="single"/>
                </w:rPr>
                <w:t>Certification of Principal Financial Officer, pursuant to Rule 13a-14(a) under the Securities Exchange Act of 1934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32.1†</w:t>
            </w:r>
          </w:p>
        </w:tc>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5-q310xqex321.htm">
              <w:r>
                <w:rPr>
                  <w:rStyle w:val="InternetLink"/>
                  <w:rFonts w:ascii="Arial Narrow;sans-serif" w:hAnsi="Arial Narrow;sans-serif"/>
                  <w:b w:val="false"/>
                  <w:color w:val="0000FF"/>
                  <w:sz w:val="18"/>
                  <w:u w:val="single"/>
                </w:rPr>
                <w:t>Certifications of Principal Executive Officer and Principal Financial Officer, pursuant to 18 U.S.C. Section 1350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101.INS</w:t>
            </w:r>
          </w:p>
        </w:tc>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Instance Document (the instance document does not appear in the interactive data files because the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101.SCH</w:t>
            </w:r>
          </w:p>
        </w:tc>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101.CAL</w:t>
            </w:r>
          </w:p>
        </w:tc>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101.DEF</w:t>
            </w:r>
          </w:p>
        </w:tc>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101.LAB</w:t>
            </w:r>
          </w:p>
        </w:tc>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Labels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101.PRE</w:t>
            </w:r>
          </w:p>
        </w:tc>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104</w:t>
            </w:r>
          </w:p>
        </w:tc>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Cover Page Interactive Data File in Inline XBRL format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b407145ac9c4c18b8db2c18055b110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SIGNATURES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thereunto duly authorized.</w:t>
      </w:r>
    </w:p>
    <w:tbl>
      <w:tblPr>
        <w:tblW w:w="3702" w:type="dxa"/>
        <w:jc w:val="left"/>
        <w:tblInd w:w="0" w:type="dxa"/>
        <w:tblLayout w:type="fixed"/>
        <w:tblCellMar>
          <w:top w:w="28" w:type="dxa"/>
          <w:left w:w="28" w:type="dxa"/>
          <w:bottom w:w="28" w:type="dxa"/>
          <w:right w:w="28" w:type="dxa"/>
        </w:tblCellMar>
      </w:tblPr>
      <w:tblGrid>
        <w:gridCol w:w="184"/>
        <w:gridCol w:w="162"/>
        <w:gridCol w:w="164"/>
        <w:gridCol w:w="349"/>
        <w:gridCol w:w="349"/>
        <w:gridCol w:w="352"/>
        <w:gridCol w:w="109"/>
        <w:gridCol w:w="109"/>
        <w:gridCol w:w="109"/>
        <w:gridCol w:w="531"/>
        <w:gridCol w:w="531"/>
        <w:gridCol w:w="753"/>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EZCORP, INC.</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Date:</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July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 Timothy K. Jugmans</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br/>
              <w:t xml:space="preserve">Chief Financial Officer </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240" w:after="283"/>
        <w:jc w:val="righ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Certification of Lachlan P. Given, Chief Executive Officer,</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Rule 13a-14(a) under the Securities Exchange Act of 1934,</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 Lachlan P. Given, certify that: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EZCORP, Inc.;</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2025 </w:t>
      </w:r>
    </w:p>
    <w:p>
      <w:pPr>
        <w:pStyle w:val="TextBody"/>
        <w:bidi w:val="0"/>
        <w:spacing w:before="120" w:after="283"/>
        <w:jc w:val="left"/>
        <w:rPr/>
      </w:pPr>
      <w:r>
        <w:rPr/>
      </w:r>
    </w:p>
    <w:tbl>
      <w:tblPr>
        <w:tblW w:w="2405" w:type="dxa"/>
        <w:jc w:val="left"/>
        <w:tblInd w:w="0" w:type="dxa"/>
        <w:tblLayout w:type="fixed"/>
        <w:tblCellMar>
          <w:top w:w="28" w:type="dxa"/>
          <w:left w:w="28" w:type="dxa"/>
          <w:bottom w:w="28" w:type="dxa"/>
          <w:right w:w="28" w:type="dxa"/>
        </w:tblCellMar>
      </w:tblPr>
      <w:tblGrid>
        <w:gridCol w:w="124"/>
        <w:gridCol w:w="109"/>
        <w:gridCol w:w="109"/>
        <w:gridCol w:w="219"/>
        <w:gridCol w:w="219"/>
        <w:gridCol w:w="219"/>
        <w:gridCol w:w="219"/>
        <w:gridCol w:w="219"/>
        <w:gridCol w:w="219"/>
        <w:gridCol w:w="219"/>
        <w:gridCol w:w="219"/>
        <w:gridCol w:w="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Lachlan P. Given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Lachlan P. Given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1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240" w:after="283"/>
        <w:jc w:val="righ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Certification of Timothy K. Jugmans, Chief Financial Officer,</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Rule 13a-14(a) under the Securities Exchange Act of 1934,</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 Timothy K. Jugmans, certify that: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EZCORP, Inc.;</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2025 </w:t>
      </w:r>
    </w:p>
    <w:p>
      <w:pPr>
        <w:pStyle w:val="TextBody"/>
        <w:bidi w:val="0"/>
        <w:spacing w:before="120" w:after="283"/>
        <w:jc w:val="left"/>
        <w:rPr/>
      </w:pPr>
      <w:r>
        <w:rPr/>
      </w:r>
    </w:p>
    <w:tbl>
      <w:tblPr>
        <w:tblW w:w="2412"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220"/>
        <w:gridCol w:w="220"/>
        <w:gridCol w:w="220"/>
        <w:gridCol w:w="220"/>
        <w:gridCol w:w="220"/>
        <w:gridCol w:w="3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K. Jugmans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K. Jugmans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240" w:after="283"/>
        <w:jc w:val="righ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Certification of Lachlan P. Given, Chief Executive Officer, and Timothy K. Jugmans, Chief Financial Officer,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 Section 906 of the Sarbanes-Oxley Act of 2002</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undersigned officers of EZCORP, Inc. hereby certify that (a) EZCORP’s Quarterly Report on Form 10-Q for the quarter ended June 30, 2025,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pStyle w:val="TextBody"/>
        <w:bidi w:val="0"/>
        <w:spacing w:before="120" w:after="283"/>
        <w:jc w:val="left"/>
        <w:rPr/>
      </w:pPr>
      <w:r>
        <w:rPr/>
      </w:r>
    </w:p>
    <w:p>
      <w:pPr>
        <w:pStyle w:val="TextBody"/>
        <w:bidi w:val="0"/>
        <w:spacing w:before="120" w:after="283"/>
        <w:jc w:val="left"/>
        <w:rPr/>
      </w:pPr>
      <w:r>
        <w:rPr/>
      </w:r>
    </w:p>
    <w:tbl>
      <w:tblPr>
        <w:tblW w:w="3818" w:type="dxa"/>
        <w:jc w:val="left"/>
        <w:tblInd w:w="0" w:type="dxa"/>
        <w:tblLayout w:type="fixed"/>
        <w:tblCellMar>
          <w:top w:w="28" w:type="dxa"/>
          <w:left w:w="28" w:type="dxa"/>
          <w:bottom w:w="28" w:type="dxa"/>
          <w:right w:w="28" w:type="dxa"/>
        </w:tblCellMar>
      </w:tblPr>
      <w:tblGrid>
        <w:gridCol w:w="634"/>
        <w:gridCol w:w="559"/>
        <w:gridCol w:w="562"/>
        <w:gridCol w:w="219"/>
        <w:gridCol w:w="219"/>
        <w:gridCol w:w="219"/>
        <w:gridCol w:w="219"/>
        <w:gridCol w:w="219"/>
        <w:gridCol w:w="219"/>
        <w:gridCol w:w="219"/>
        <w:gridCol w:w="219"/>
        <w:gridCol w:w="311"/>
      </w:tblGrid>
      <w:tr>
        <w:trPr/>
        <w:tc>
          <w:tcPr>
            <w:tcW w:w="63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2025 </w:t>
            </w:r>
          </w:p>
        </w:tc>
        <w:tc>
          <w:tcPr>
            <w:tcW w:w="20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Lachlan P. Given</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Lachlan P. Given</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100" w:after="283"/>
        <w:jc w:val="left"/>
        <w:rPr/>
      </w:pPr>
      <w:r>
        <w:rPr/>
      </w:r>
    </w:p>
    <w:tbl>
      <w:tblPr>
        <w:tblW w:w="3884" w:type="dxa"/>
        <w:jc w:val="left"/>
        <w:tblInd w:w="0" w:type="dxa"/>
        <w:tblLayout w:type="fixed"/>
        <w:tblCellMar>
          <w:top w:w="28" w:type="dxa"/>
          <w:left w:w="28" w:type="dxa"/>
          <w:bottom w:w="28" w:type="dxa"/>
          <w:right w:w="28" w:type="dxa"/>
        </w:tblCellMar>
      </w:tblPr>
      <w:tblGrid>
        <w:gridCol w:w="657"/>
        <w:gridCol w:w="577"/>
        <w:gridCol w:w="580"/>
        <w:gridCol w:w="220"/>
        <w:gridCol w:w="220"/>
        <w:gridCol w:w="220"/>
        <w:gridCol w:w="220"/>
        <w:gridCol w:w="220"/>
        <w:gridCol w:w="220"/>
        <w:gridCol w:w="220"/>
        <w:gridCol w:w="220"/>
        <w:gridCol w:w="310"/>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Date: July 30, 2025 </w:t>
            </w:r>
          </w:p>
        </w:tc>
        <w:tc>
          <w:tcPr>
            <w:tcW w:w="20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K. Jugmans</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K. Jugmans</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876523/000087652323000045/ezpw-20230930.htm" TargetMode="External"/><Relationship Id="rId4" Type="http://schemas.openxmlformats.org/officeDocument/2006/relationships/hyperlink" Target="https://www.sec.gov/ix?doc=/Archives/edgar/data/876523/000087652323000045/ezpw-20230930.htm" TargetMode="External"/><Relationship Id="rId5" Type="http://schemas.openxmlformats.org/officeDocument/2006/relationships/hyperlink" Target="https://www.sec.gov/ix?doc=/Archives/edgar/data/876523/000087652323000045/ezpw-20230930.htm" TargetMode="External"/><Relationship Id="rId6" Type="http://schemas.openxmlformats.org/officeDocument/2006/relationships/hyperlink" Target="https://www.sec.gov/ix?doc=/Archives/edgar/data/876523/000087652323000045/ezpw-20230930.htm" TargetMode="External"/><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hyperlink" Target="https://www.sec.gov/ix?doc=/Archives/edgar/data/876523/000087652323000045/ezpw-20230930.htm" TargetMode="External"/><Relationship Id="rId10" Type="http://schemas.openxmlformats.org/officeDocument/2006/relationships/hyperlink" Target="https://www.sec.gov/ix?doc=/Archives/edgar/data/876523/000087652323000045/ezpw-20230930.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19796</Words>
  <Characters>108819</Characters>
  <CharactersWithSpaces>126804</CharactersWithSpaces>
  <Paragraphs>4035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