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 2023</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27, 2023, Cash Converters International Limited (ASX: CCV) (“Cash Converters”) filed its semi-annual financial results with the Australian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Exchange for the half-year ended December 31, 2022. In its report, Cash Converters recognized a one-time, non-cash impairment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AUD$110.5 million against goodwill. The impairment recognized by Cash Converters is a result of legislative changes in the form of the Financial Sector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Reform Bill 2022, passed by the Australian Federal Parliament in December 2022, relating in part to regulation of small amount credit contracts. EZCORP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owns 43.7% of Cash Converters and is assessing the impact of Cash Converters’ impairment on EZCORP’s earnings for the current period,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and foreign currency exchange impacts.</w:t>
      </w:r>
    </w:p>
    <w:p>
      <w:pPr>
        <w:spacing w:after="0" w:line="23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2023</w:t>
            </w:r>
          </w:p>
        </w:tc>
        <w:tc>
          <w:tcPr>
            <w:tcW w:w="29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8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8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&amp; Secretary</w:t>
            </w:r>
          </w:p>
        </w:tc>
      </w:tr>
    </w:tbl>
    <w:p>
      <w:pPr>
        <w:spacing w:after="0" w:line="1" w:lineRule="exact"/>
        <w:rPr>
          <w:sz w:val="20"/>
          <w:szCs w:val="20"/>
          <w:color w:val="auto"/>
        </w:rPr>
      </w:pPr>
    </w:p>
    <w:sectPr>
      <w:pgSz w:w="11900" w:h="16838" w:orient="portrait"/>
      <w:cols w:equalWidth="0" w:num="1">
        <w:col w:w="11200"/>
      </w:cols>
      <w:pgMar w:left="320" w:top="10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2023-03-02T06:19:56Z</dcterms:created>
  <dcterms:modified xsi:type="dcterms:W3CDTF">2023-03-02T06:19:56Z</dcterms:modified>
</cp:coreProperties>
</file>