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Given Lachlan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M&amp;A and Funding Officer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79,260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79,260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342,940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2024, subject to the attainment of specified performance goals.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2021.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77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2021-10-14T08:48:28Z</dcterms:created>
  <dcterms:modified xsi:type="dcterms:W3CDTF">2021-10-14T08:48:28Z</dcterms:modified>
</cp:coreProperties>
</file>