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208280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620" w:right="260" w:hanging="585"/>
        <w:spacing w:after="0" w:line="256"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20" w:right="260" w:hanging="585"/>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345"/>
        </w:trPr>
        <w:tc>
          <w:tcPr>
            <w:tcW w:w="700" w:type="dxa"/>
            <w:vAlign w:val="bottom"/>
          </w:tcPr>
          <w:p>
            <w:pPr>
              <w:spacing w:after="0"/>
              <w:rPr>
                <w:sz w:val="24"/>
                <w:szCs w:val="24"/>
                <w:color w:val="auto"/>
              </w:rPr>
            </w:pPr>
          </w:p>
        </w:tc>
        <w:tc>
          <w:tcPr>
            <w:tcW w:w="3080" w:type="dxa"/>
            <w:vAlign w:val="bottom"/>
            <w:gridSpan w:val="4"/>
          </w:tcPr>
          <w:p>
            <w:pPr>
              <w:ind w:left="480"/>
              <w:spacing w:after="0"/>
              <w:rPr>
                <w:sz w:val="20"/>
                <w:szCs w:val="20"/>
                <w:color w:val="auto"/>
              </w:rPr>
            </w:pPr>
            <w:r>
              <w:rPr>
                <w:rFonts w:ascii="Arial" w:cs="Arial" w:eastAsia="Arial" w:hAnsi="Arial"/>
                <w:sz w:val="18"/>
                <w:szCs w:val="18"/>
                <w:b w:val="1"/>
                <w:bCs w:val="1"/>
                <w:color w:val="auto"/>
              </w:rPr>
              <w:t>Commission File No. 0-19424</w:t>
            </w:r>
          </w:p>
        </w:tc>
        <w:tc>
          <w:tcPr>
            <w:tcW w:w="800" w:type="dxa"/>
            <w:vAlign w:val="bottom"/>
          </w:tcPr>
          <w:p>
            <w:pPr>
              <w:spacing w:after="0"/>
              <w:rPr>
                <w:sz w:val="24"/>
                <w:szCs w:val="24"/>
                <w:color w:val="auto"/>
              </w:rPr>
            </w:pPr>
          </w:p>
        </w:tc>
      </w:tr>
      <w:tr>
        <w:trPr>
          <w:trHeight w:val="135"/>
        </w:trPr>
        <w:tc>
          <w:tcPr>
            <w:tcW w:w="70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bl>
    <w:p>
      <w:pPr>
        <w:spacing w:after="0" w:line="303" w:lineRule="exact"/>
        <w:rPr>
          <w:sz w:val="24"/>
          <w:szCs w:val="24"/>
          <w:color w:val="auto"/>
        </w:rPr>
      </w:pPr>
    </w:p>
    <w:tbl>
      <w:tblPr>
        <w:tblLayout w:type="fixed"/>
        <w:tblInd w:w="1680" w:type="dxa"/>
        <w:tblCellMar>
          <w:top w:w="0" w:type="dxa"/>
          <w:left w:w="0" w:type="dxa"/>
          <w:bottom w:w="0" w:type="dxa"/>
          <w:right w:w="0" w:type="dxa"/>
        </w:tblCellMar>
      </w:tblPr>
      <w:tr>
        <w:trPr>
          <w:trHeight w:val="517"/>
        </w:trPr>
        <w:tc>
          <w:tcPr>
            <w:tcW w:w="6180" w:type="dxa"/>
            <w:vAlign w:val="bottom"/>
          </w:tcPr>
          <w:p>
            <w:pPr>
              <w:jc w:val="center"/>
              <w:ind w:left="1804"/>
              <w:spacing w:after="0"/>
              <w:rPr>
                <w:sz w:val="20"/>
                <w:szCs w:val="20"/>
                <w:color w:val="auto"/>
              </w:rPr>
            </w:pPr>
            <w:r>
              <w:rPr>
                <w:rFonts w:ascii="Arial" w:cs="Arial" w:eastAsia="Arial" w:hAnsi="Arial"/>
                <w:sz w:val="40"/>
                <w:szCs w:val="40"/>
                <w:b w:val="1"/>
                <w:bCs w:val="1"/>
                <w:color w:val="auto"/>
                <w:w w:val="98"/>
              </w:rPr>
              <w:t>EZCORP, INC.</w:t>
            </w:r>
          </w:p>
        </w:tc>
        <w:tc>
          <w:tcPr>
            <w:tcW w:w="1280" w:type="dxa"/>
            <w:vAlign w:val="bottom"/>
          </w:tcPr>
          <w:p>
            <w:pPr>
              <w:spacing w:after="0"/>
              <w:rPr>
                <w:sz w:val="24"/>
                <w:szCs w:val="24"/>
                <w:color w:val="auto"/>
              </w:rPr>
            </w:pPr>
          </w:p>
        </w:tc>
      </w:tr>
      <w:tr>
        <w:trPr>
          <w:trHeight w:val="368"/>
        </w:trPr>
        <w:tc>
          <w:tcPr>
            <w:tcW w:w="6180" w:type="dxa"/>
            <w:vAlign w:val="bottom"/>
          </w:tcPr>
          <w:p>
            <w:pPr>
              <w:jc w:val="center"/>
              <w:ind w:left="178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80" w:type="dxa"/>
            <w:vAlign w:val="bottom"/>
          </w:tcPr>
          <w:p>
            <w:pPr>
              <w:spacing w:after="0"/>
              <w:rPr>
                <w:sz w:val="24"/>
                <w:szCs w:val="24"/>
                <w:color w:val="auto"/>
              </w:rPr>
            </w:pPr>
          </w:p>
        </w:tc>
      </w:tr>
      <w:tr>
        <w:trPr>
          <w:trHeight w:val="378"/>
        </w:trPr>
        <w:tc>
          <w:tcPr>
            <w:tcW w:w="6180" w:type="dxa"/>
            <w:vAlign w:val="bottom"/>
          </w:tcPr>
          <w:p>
            <w:pPr>
              <w:jc w:val="center"/>
              <w:ind w:right="3724"/>
              <w:spacing w:after="0"/>
              <w:rPr>
                <w:sz w:val="20"/>
                <w:szCs w:val="20"/>
                <w:color w:val="auto"/>
              </w:rPr>
            </w:pPr>
            <w:r>
              <w:rPr>
                <w:rFonts w:ascii="Arial" w:cs="Arial" w:eastAsia="Arial" w:hAnsi="Arial"/>
                <w:sz w:val="18"/>
                <w:szCs w:val="18"/>
                <w:b w:val="1"/>
                <w:bCs w:val="1"/>
                <w:color w:val="auto"/>
                <w:w w:val="91"/>
              </w:rPr>
              <w:t>Delaware</w:t>
            </w: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74-2540145</w:t>
            </w:r>
          </w:p>
        </w:tc>
      </w:tr>
      <w:tr>
        <w:trPr>
          <w:trHeight w:val="180"/>
        </w:trPr>
        <w:tc>
          <w:tcPr>
            <w:tcW w:w="6180" w:type="dxa"/>
            <w:vAlign w:val="bottom"/>
          </w:tcPr>
          <w:p>
            <w:pPr>
              <w:jc w:val="center"/>
              <w:ind w:right="3724"/>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tcPr>
          <w:p>
            <w:pPr>
              <w:jc w:val="center"/>
              <w:ind w:right="3724"/>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180" w:type="dxa"/>
            <w:vAlign w:val="bottom"/>
          </w:tcPr>
          <w:p>
            <w:pPr>
              <w:jc w:val="center"/>
              <w:ind w:right="3724"/>
              <w:spacing w:after="0"/>
              <w:rPr>
                <w:sz w:val="20"/>
                <w:szCs w:val="20"/>
                <w:color w:val="auto"/>
              </w:rPr>
            </w:pPr>
            <w:r>
              <w:rPr>
                <w:rFonts w:ascii="Arial" w:cs="Arial" w:eastAsia="Arial" w:hAnsi="Arial"/>
                <w:sz w:val="18"/>
                <w:szCs w:val="18"/>
                <w:b w:val="1"/>
                <w:bCs w:val="1"/>
                <w:color w:val="auto"/>
                <w:w w:val="93"/>
              </w:rPr>
              <w:t>1901 Capital Parkway</w:t>
            </w:r>
          </w:p>
        </w:tc>
        <w:tc>
          <w:tcPr>
            <w:tcW w:w="1280" w:type="dxa"/>
            <w:vAlign w:val="bottom"/>
          </w:tcPr>
          <w:p>
            <w:pPr>
              <w:spacing w:after="0"/>
              <w:rPr>
                <w:sz w:val="24"/>
                <w:szCs w:val="24"/>
                <w:color w:val="auto"/>
              </w:rPr>
            </w:pPr>
          </w:p>
        </w:tc>
      </w:tr>
      <w:tr>
        <w:trPr>
          <w:trHeight w:val="234"/>
        </w:trPr>
        <w:tc>
          <w:tcPr>
            <w:tcW w:w="6180" w:type="dxa"/>
            <w:vAlign w:val="bottom"/>
          </w:tcPr>
          <w:p>
            <w:pPr>
              <w:jc w:val="center"/>
              <w:ind w:right="3724"/>
              <w:spacing w:after="0"/>
              <w:rPr>
                <w:sz w:val="20"/>
                <w:szCs w:val="20"/>
                <w:color w:val="auto"/>
              </w:rPr>
            </w:pPr>
            <w:r>
              <w:rPr>
                <w:rFonts w:ascii="Arial" w:cs="Arial" w:eastAsia="Arial" w:hAnsi="Arial"/>
                <w:sz w:val="18"/>
                <w:szCs w:val="18"/>
                <w:b w:val="1"/>
                <w:bCs w:val="1"/>
                <w:color w:val="auto"/>
                <w:w w:val="88"/>
              </w:rPr>
              <w:t>Austin, Texas</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78746</w:t>
            </w:r>
          </w:p>
        </w:tc>
      </w:tr>
      <w:tr>
        <w:trPr>
          <w:trHeight w:val="218"/>
        </w:trPr>
        <w:tc>
          <w:tcPr>
            <w:tcW w:w="6180" w:type="dxa"/>
            <w:vAlign w:val="bottom"/>
          </w:tcPr>
          <w:p>
            <w:pPr>
              <w:jc w:val="center"/>
              <w:ind w:right="370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180" w:type="dxa"/>
            <w:vAlign w:val="bottom"/>
          </w:tcPr>
          <w:p>
            <w:pPr>
              <w:jc w:val="center"/>
              <w:ind w:left="1804"/>
              <w:spacing w:after="0"/>
              <w:rPr>
                <w:sz w:val="20"/>
                <w:szCs w:val="20"/>
                <w:color w:val="auto"/>
              </w:rPr>
            </w:pPr>
            <w:r>
              <w:rPr>
                <w:rFonts w:ascii="Arial" w:cs="Arial" w:eastAsia="Arial" w:hAnsi="Arial"/>
                <w:sz w:val="18"/>
                <w:szCs w:val="18"/>
                <w:b w:val="1"/>
                <w:bCs w:val="1"/>
                <w:color w:val="auto"/>
                <w:w w:val="90"/>
              </w:rPr>
              <w:t>(512) 314-3400</w:t>
            </w:r>
          </w:p>
        </w:tc>
        <w:tc>
          <w:tcPr>
            <w:tcW w:w="1280" w:type="dxa"/>
            <w:vAlign w:val="bottom"/>
          </w:tcPr>
          <w:p>
            <w:pPr>
              <w:spacing w:after="0"/>
              <w:rPr>
                <w:sz w:val="24"/>
                <w:szCs w:val="24"/>
                <w:color w:val="auto"/>
              </w:rPr>
            </w:pP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1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940" w:space="720"/>
            <w:col w:w="3520" w:space="720"/>
            <w:col w:w="3380" w:space="720"/>
            <w:col w:w="380"/>
          </w:cols>
          <w:pgMar w:left="240" w:top="229" w:right="27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940" w:space="720"/>
            <w:col w:w="160" w:space="80"/>
            <w:col w:w="3280" w:space="720"/>
            <w:col w:w="3380" w:space="720"/>
            <w:col w:w="380"/>
          </w:cols>
          <w:pgMar w:left="240" w:top="229" w:right="279" w:bottom="1440" w:gutter="0" w:footer="0" w:header="0"/>
          <w:type w:val="continuous"/>
        </w:sect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43"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221"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3"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As of December 31, 2014, 50,680,358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8"/>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14"/>
          </w:tcPr>
          <w:p>
            <w:pPr>
              <w:jc w:val="center"/>
              <w:ind w:right="288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14"/>
          </w:tcPr>
          <w:p>
            <w:pPr>
              <w:jc w:val="center"/>
              <w:ind w:right="290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PART I — FINANCIAL INFORMATION</w:t>
              </w:r>
            </w:hyperlink>
          </w:p>
        </w:tc>
        <w:tc>
          <w:tcPr>
            <w:tcW w:w="812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80" w:type="dxa"/>
            <w:vAlign w:val="bottom"/>
            <w:tcBorders>
              <w:bottom w:val="single" w:sz="8" w:color="0000EE"/>
            </w:tcBorders>
            <w:gridSpan w:val="14"/>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Condensed Consolidated Financial Statements and Supplementary Data</w:t>
              </w:r>
            </w:hyperlink>
          </w:p>
        </w:tc>
        <w:tc>
          <w:tcPr>
            <w:tcW w:w="506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December 31, 2014 and 2013 (Unaudited) and September 30, 2014</w:t>
              </w:r>
            </w:hyperlink>
          </w:p>
        </w:tc>
        <w:tc>
          <w:tcPr>
            <w:tcW w:w="230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December 31, 2014 and 201</w:t>
              </w:r>
            </w:hyperlink>
            <w:r>
              <w:rPr>
                <w:rFonts w:ascii="Arial" w:cs="Arial" w:eastAsia="Arial" w:hAnsi="Arial"/>
                <w:sz w:val="18"/>
                <w:szCs w:val="18"/>
                <w:color w:val="0000FF"/>
              </w:rPr>
              <w:t>3</w:t>
            </w:r>
            <w:r>
              <w:rPr>
                <w:rFonts w:ascii="Arial" w:cs="Arial" w:eastAsia="Arial" w:hAnsi="Arial"/>
                <w:sz w:val="18"/>
                <w:szCs w:val="18"/>
                <w:color w:val="0000EE"/>
              </w:rPr>
              <w:t xml:space="preserve"> </w:t>
            </w:r>
            <w:r>
              <w:rPr>
                <w:rFonts w:ascii="Arial" w:cs="Arial" w:eastAsia="Arial" w:hAnsi="Arial"/>
                <w:sz w:val="18"/>
                <w:szCs w:val="18"/>
                <w:color w:val="0000FF"/>
              </w:rPr>
              <w:t>(Unaudited)</w:t>
            </w: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 xml:space="preserve">Condensed Consolidated Statements of Comprehensive (Loss) Income for the Three Months Ended </w:t>
              </w:r>
            </w:hyperlink>
            <w:r>
              <w:rPr>
                <w:rFonts w:ascii="Arial" w:cs="Arial" w:eastAsia="Arial" w:hAnsi="Arial"/>
                <w:sz w:val="18"/>
                <w:szCs w:val="18"/>
                <w:color w:val="0000FF"/>
              </w:rPr>
              <w:t>December</w:t>
            </w:r>
            <w:r>
              <w:rPr>
                <w:rFonts w:ascii="Arial" w:cs="Arial" w:eastAsia="Arial" w:hAnsi="Arial"/>
                <w:sz w:val="18"/>
                <w:szCs w:val="18"/>
                <w:color w:val="0000EE"/>
              </w:rPr>
              <w:t xml:space="preserve"> </w:t>
            </w:r>
            <w:r>
              <w:rPr>
                <w:rFonts w:ascii="Arial" w:cs="Arial" w:eastAsia="Arial" w:hAnsi="Arial"/>
                <w:sz w:val="18"/>
                <w:szCs w:val="18"/>
                <w:color w:val="0000FF"/>
              </w:rPr>
              <w:t>31, 2014 and 2013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0000EE"/>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9"/>
              </w:rPr>
              <w:t>(Unaudited)</w:t>
            </w:r>
          </w:p>
        </w:tc>
        <w:tc>
          <w:tcPr>
            <w:tcW w:w="6300" w:type="dxa"/>
            <w:vAlign w:val="bottom"/>
            <w:tcBorders>
              <w:top w:val="single" w:sz="8" w:color="0000EE"/>
            </w:tcBorders>
            <w:gridSpan w:val="12"/>
          </w:tcPr>
          <w:p>
            <w:pPr>
              <w:spacing w:after="0"/>
              <w:rPr>
                <w:sz w:val="17"/>
                <w:szCs w:val="17"/>
                <w:color w:val="auto"/>
              </w:rPr>
            </w:pPr>
          </w:p>
        </w:tc>
        <w:tc>
          <w:tcPr>
            <w:tcW w:w="2180" w:type="dxa"/>
            <w:vAlign w:val="bottom"/>
            <w:tcBorders>
              <w:top w:val="single" w:sz="8" w:color="0000FF"/>
            </w:tcBorders>
            <w:gridSpan w:val="7"/>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 xml:space="preserve">Condensed Consolidated Statements of Cash Flows for the Three Months Ended </w:t>
              </w:r>
            </w:hyperlink>
            <w:r>
              <w:rPr>
                <w:rFonts w:ascii="Arial" w:cs="Arial" w:eastAsia="Arial" w:hAnsi="Arial"/>
                <w:sz w:val="18"/>
                <w:szCs w:val="18"/>
                <w:color w:val="0000FF"/>
              </w:rPr>
              <w:t>December</w:t>
            </w:r>
            <w:r>
              <w:rPr>
                <w:rFonts w:ascii="Arial" w:cs="Arial" w:eastAsia="Arial" w:hAnsi="Arial"/>
                <w:sz w:val="18"/>
                <w:szCs w:val="18"/>
                <w:color w:val="0000EE"/>
              </w:rPr>
              <w:t xml:space="preserve"> </w:t>
            </w:r>
            <w:r>
              <w:rPr>
                <w:rFonts w:ascii="Arial" w:cs="Arial" w:eastAsia="Arial" w:hAnsi="Arial"/>
                <w:sz w:val="18"/>
                <w:szCs w:val="18"/>
                <w:color w:val="0000FF"/>
              </w:rPr>
              <w:t>31, 2014 and 2013 (Unaudited)</w:t>
            </w: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Stockholders’ Equity for the Three Months Ended December 31, 2014 and 201</w:t>
              </w:r>
            </w:hyperlink>
            <w:r>
              <w:rPr>
                <w:rFonts w:ascii="Arial" w:cs="Arial" w:eastAsia="Arial" w:hAnsi="Arial"/>
                <w:sz w:val="18"/>
                <w:szCs w:val="18"/>
                <w:color w:val="0000FF"/>
              </w:rPr>
              <w:t>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0000EE"/>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9"/>
              </w:rPr>
              <w:t>(Unaudited)</w:t>
            </w:r>
          </w:p>
        </w:tc>
        <w:tc>
          <w:tcPr>
            <w:tcW w:w="7680" w:type="dxa"/>
            <w:vAlign w:val="bottom"/>
            <w:tcBorders>
              <w:top w:val="single" w:sz="8" w:color="0000EE"/>
            </w:tcBorders>
            <w:gridSpan w:val="1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6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Notes to Interim Condensed Consolidated Financial Statements (Unaudited)</w:t>
              </w:r>
            </w:hyperlink>
          </w:p>
        </w:tc>
        <w:tc>
          <w:tcPr>
            <w:tcW w:w="50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7"/>
          </w:tcPr>
          <w:p>
            <w:pPr>
              <w:spacing w:after="0"/>
              <w:rPr>
                <w:rFonts w:ascii="Arial" w:cs="Arial" w:eastAsia="Arial" w:hAnsi="Arial"/>
                <w:sz w:val="18"/>
                <w:szCs w:val="18"/>
                <w:i w:val="1"/>
                <w:iCs w:val="1"/>
                <w:color w:val="0000EE"/>
                <w:w w:val="91"/>
              </w:rPr>
            </w:pPr>
            <w:hyperlink w:anchor="page39">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6"/>
          </w:tcPr>
          <w:p>
            <w:pPr>
              <w:spacing w:after="0"/>
              <w:rPr>
                <w:rFonts w:ascii="Arial" w:cs="Arial" w:eastAsia="Arial" w:hAnsi="Arial"/>
                <w:sz w:val="18"/>
                <w:szCs w:val="18"/>
                <w:i w:val="1"/>
                <w:iCs w:val="1"/>
                <w:color w:val="0000EE"/>
              </w:rPr>
            </w:pPr>
            <w:hyperlink w:anchor="page53">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50</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0"/>
          </w:tcPr>
          <w:p>
            <w:pPr>
              <w:spacing w:after="0"/>
              <w:rPr>
                <w:rFonts w:ascii="Arial" w:cs="Arial" w:eastAsia="Arial" w:hAnsi="Arial"/>
                <w:sz w:val="18"/>
                <w:szCs w:val="18"/>
                <w:i w:val="1"/>
                <w:iCs w:val="1"/>
                <w:color w:val="0000EE"/>
                <w:w w:val="90"/>
              </w:rPr>
            </w:pPr>
            <w:hyperlink w:anchor="page53">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3"/>
          </w:tcPr>
          <w:p>
            <w:pPr>
              <w:spacing w:after="0"/>
              <w:rPr>
                <w:sz w:val="24"/>
                <w:szCs w:val="24"/>
                <w:color w:val="auto"/>
              </w:rPr>
            </w:pPr>
          </w:p>
        </w:tc>
        <w:tc>
          <w:tcPr>
            <w:tcW w:w="5960" w:type="dxa"/>
            <w:vAlign w:val="bottom"/>
            <w:gridSpan w:val="1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r>
      <w:tr>
        <w:trPr>
          <w:trHeight w:val="372"/>
        </w:trPr>
        <w:tc>
          <w:tcPr>
            <w:tcW w:w="40" w:type="dxa"/>
            <w:vAlign w:val="bottom"/>
          </w:tcPr>
          <w:p>
            <w:pPr>
              <w:spacing w:after="0"/>
              <w:rPr>
                <w:sz w:val="24"/>
                <w:szCs w:val="24"/>
                <w:color w:val="auto"/>
              </w:rPr>
            </w:pPr>
          </w:p>
        </w:tc>
        <w:tc>
          <w:tcPr>
            <w:tcW w:w="11180" w:type="dxa"/>
            <w:vAlign w:val="bottom"/>
            <w:gridSpan w:val="2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9"/>
          </w:tcPr>
          <w:p>
            <w:pPr>
              <w:spacing w:after="0"/>
              <w:rPr>
                <w:rFonts w:ascii="Arial" w:cs="Arial" w:eastAsia="Arial" w:hAnsi="Arial"/>
                <w:sz w:val="18"/>
                <w:szCs w:val="18"/>
                <w:i w:val="1"/>
                <w:iCs w:val="1"/>
                <w:color w:val="0000EE"/>
                <w:w w:val="89"/>
              </w:rPr>
            </w:pPr>
            <w:hyperlink w:anchor="page54">
              <w:r>
                <w:rPr>
                  <w:rFonts w:ascii="Arial" w:cs="Arial" w:eastAsia="Arial" w:hAnsi="Arial"/>
                  <w:sz w:val="18"/>
                  <w:szCs w:val="18"/>
                  <w:i w:val="1"/>
                  <w:iCs w:val="1"/>
                  <w:color w:val="0000EE"/>
                  <w:w w:val="89"/>
                </w:rPr>
                <w:t>Item 1. Legal Proceedings</w:t>
              </w:r>
            </w:hyperlink>
          </w:p>
        </w:tc>
        <w:tc>
          <w:tcPr>
            <w:tcW w:w="500" w:type="dxa"/>
            <w:vAlign w:val="bottom"/>
            <w:tcBorders>
              <w:top w:val="single" w:sz="8" w:color="0000EE"/>
            </w:tcBorders>
            <w:gridSpan w:val="2"/>
          </w:tcPr>
          <w:p>
            <w:pPr>
              <w:spacing w:after="0"/>
              <w:rPr>
                <w:sz w:val="24"/>
                <w:szCs w:val="24"/>
                <w:color w:val="auto"/>
              </w:rPr>
            </w:pPr>
          </w:p>
        </w:tc>
        <w:tc>
          <w:tcPr>
            <w:tcW w:w="8440" w:type="dxa"/>
            <w:vAlign w:val="bottom"/>
            <w:gridSpan w:val="1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i w:val="1"/>
                <w:iCs w:val="1"/>
                <w:color w:val="0000EE"/>
                <w:w w:val="90"/>
              </w:rPr>
            </w:pPr>
            <w:hyperlink w:anchor="page55">
              <w:r>
                <w:rPr>
                  <w:rFonts w:ascii="Arial" w:cs="Arial" w:eastAsia="Arial" w:hAnsi="Arial"/>
                  <w:sz w:val="18"/>
                  <w:szCs w:val="18"/>
                  <w:i w:val="1"/>
                  <w:iCs w:val="1"/>
                  <w:color w:val="0000EE"/>
                  <w:w w:val="90"/>
                </w:rPr>
                <w:t>Item 1A. Risk Factors</w:t>
              </w:r>
            </w:hyperlink>
          </w:p>
        </w:tc>
        <w:tc>
          <w:tcPr>
            <w:tcW w:w="9260" w:type="dxa"/>
            <w:vAlign w:val="bottom"/>
            <w:gridSpan w:val="1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Borders>
              <w:bottom w:val="single" w:sz="8" w:color="0000EE"/>
            </w:tcBorders>
            <w:gridSpan w:val="8"/>
          </w:tcPr>
          <w:p>
            <w:pPr>
              <w:spacing w:after="0"/>
              <w:rPr>
                <w:rFonts w:ascii="Arial" w:cs="Arial" w:eastAsia="Arial" w:hAnsi="Arial"/>
                <w:sz w:val="18"/>
                <w:szCs w:val="18"/>
                <w:i w:val="1"/>
                <w:iCs w:val="1"/>
                <w:color w:val="0000EE"/>
                <w:w w:val="92"/>
              </w:rPr>
            </w:pPr>
            <w:hyperlink w:anchor="page55">
              <w:r>
                <w:rPr>
                  <w:rFonts w:ascii="Arial" w:cs="Arial" w:eastAsia="Arial" w:hAnsi="Arial"/>
                  <w:sz w:val="18"/>
                  <w:szCs w:val="18"/>
                  <w:i w:val="1"/>
                  <w:iCs w:val="1"/>
                  <w:color w:val="0000EE"/>
                  <w:w w:val="92"/>
                </w:rPr>
                <w:t>Item 5. Other Information</w:t>
              </w:r>
            </w:hyperlink>
          </w:p>
        </w:tc>
        <w:tc>
          <w:tcPr>
            <w:tcW w:w="896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6"/>
          </w:tcPr>
          <w:p>
            <w:pPr>
              <w:spacing w:after="0"/>
              <w:rPr>
                <w:rFonts w:ascii="Arial" w:cs="Arial" w:eastAsia="Arial" w:hAnsi="Arial"/>
                <w:sz w:val="18"/>
                <w:szCs w:val="18"/>
                <w:i w:val="1"/>
                <w:iCs w:val="1"/>
                <w:color w:val="0000EE"/>
              </w:rPr>
            </w:pPr>
            <w:hyperlink w:anchor="page55">
              <w:r>
                <w:rPr>
                  <w:rFonts w:ascii="Arial" w:cs="Arial" w:eastAsia="Arial" w:hAnsi="Arial"/>
                  <w:sz w:val="18"/>
                  <w:szCs w:val="18"/>
                  <w:i w:val="1"/>
                  <w:iCs w:val="1"/>
                  <w:color w:val="0000EE"/>
                </w:rPr>
                <w:t>Item 6. 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53</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700" w:type="dxa"/>
            <w:vAlign w:val="bottom"/>
            <w:gridSpan w:val="21"/>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SIGNATURES</w:t>
              </w:r>
            </w:hyperlink>
          </w:p>
        </w:tc>
        <w:tc>
          <w:tcPr>
            <w:tcW w:w="10080" w:type="dxa"/>
            <w:vAlign w:val="bottom"/>
            <w:gridSpan w:val="2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54</w:t>
              </w:r>
            </w:hyperlink>
          </w:p>
        </w:tc>
      </w:tr>
      <w:tr>
        <w:trPr>
          <w:trHeight w:val="372"/>
        </w:trPr>
        <w:tc>
          <w:tcPr>
            <w:tcW w:w="4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EXHIBIT INDEX</w:t>
              </w:r>
            </w:hyperlink>
          </w:p>
        </w:tc>
        <w:tc>
          <w:tcPr>
            <w:tcW w:w="9860" w:type="dxa"/>
            <w:vAlign w:val="bottom"/>
            <w:gridSpan w:val="2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55</w:t>
              </w:r>
            </w:hyperlink>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Supplementary Data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September 30,</w:t>
            </w:r>
          </w:p>
        </w:tc>
      </w:tr>
      <w:tr>
        <w:trPr>
          <w:trHeight w:val="192"/>
        </w:trPr>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r>
      <w:tr>
        <w:trPr>
          <w:trHeight w:val="264"/>
        </w:trPr>
        <w:tc>
          <w:tcPr>
            <w:tcW w:w="7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gridSpan w:val="5"/>
          </w:tcPr>
          <w:p>
            <w:pPr>
              <w:ind w:left="7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56,329</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60,218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4,019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62,406</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Pawn loans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150,930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153,421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162,444</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Consumer loans, net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62,380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82,807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67,594</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Pawn service charges receivable, net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31,044</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Consumer loan fees and interest receivable, net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28,355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40,181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30,653</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 net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133,986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142,711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139,419</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Deferred tax asset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20,858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13,825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20,858</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Prepaid income taxes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28,655</w:t>
            </w:r>
          </w:p>
        </w:tc>
      </w:tr>
      <w:tr>
        <w:trPr>
          <w:trHeight w:val="264"/>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Receivables, prepaid expenses and other current assets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34,195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42,895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76,959</w:t>
            </w:r>
          </w:p>
        </w:tc>
      </w:tr>
      <w:tr>
        <w:trPr>
          <w:trHeight w:val="256"/>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622,552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556,455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676,361</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Investments in unconsolidated affiliates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99,219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97,424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91,098</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104,353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105,900</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Restricted cash, non-current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4,257</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337,498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434,835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346,577</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60,739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65,178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64,624</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Non-current consumer loans, net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40,442</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Deferred tax asset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11,630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13,154</w:t>
            </w:r>
          </w:p>
        </w:tc>
      </w:tr>
      <w:tr>
        <w:trPr>
          <w:trHeight w:val="270"/>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 net</w:t>
            </w: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75,489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29,685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61,058</w:t>
            </w:r>
          </w:p>
        </w:tc>
      </w:tr>
      <w:tr>
        <w:trPr>
          <w:trHeight w:val="283"/>
        </w:trPr>
        <w:tc>
          <w:tcPr>
            <w:tcW w:w="766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Total assets (1)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1,351,383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1,369,129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1,403,471</w:t>
            </w:r>
          </w:p>
        </w:tc>
      </w:tr>
      <w:tr>
        <w:trPr>
          <w:trHeight w:val="210"/>
        </w:trPr>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Liabilities and stockholders’ equity:</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24,789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16,737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10,673</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Current capital lease obligations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Accounts payable and other accrued expenses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80,314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77,619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97,213</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 current liabilities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8,595</w:t>
            </w:r>
          </w:p>
        </w:tc>
      </w:tr>
      <w:tr>
        <w:trPr>
          <w:trHeight w:val="264"/>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Customer layaway deposits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8,097</w:t>
            </w:r>
          </w:p>
        </w:tc>
      </w:tr>
      <w:tr>
        <w:trPr>
          <w:trHeight w:val="256"/>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116,494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124,996</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Long-term debt, less current maturities</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324,029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235,289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356,430</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capital lease obligations</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Deferred gains and other long-term liabilities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10,803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22,938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11,359</w:t>
            </w:r>
          </w:p>
        </w:tc>
      </w:tr>
      <w:tr>
        <w:trPr>
          <w:trHeight w:val="256"/>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liabilities (2)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451,326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370,257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492,785</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Temporary equity:</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Redeemable noncontrolling interest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31,868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57,578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35,498</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157"/>
        </w:trPr>
        <w:tc>
          <w:tcPr>
            <w:tcW w:w="7660" w:type="dxa"/>
            <w:vAlign w:val="bottom"/>
          </w:tcPr>
          <w:p>
            <w:pPr>
              <w:ind w:left="600"/>
              <w:spacing w:after="0" w:line="157" w:lineRule="exact"/>
              <w:rPr>
                <w:sz w:val="20"/>
                <w:szCs w:val="20"/>
                <w:color w:val="auto"/>
              </w:rPr>
            </w:pPr>
            <w:r>
              <w:rPr>
                <w:rFonts w:ascii="Arial" w:cs="Arial" w:eastAsia="Arial" w:hAnsi="Arial"/>
                <w:sz w:val="14"/>
                <w:szCs w:val="14"/>
                <w:color w:val="auto"/>
                <w:w w:val="95"/>
              </w:rPr>
              <w:t>Class A Non-voting Common Stock, par value $.01 per share; shares authorized: 100 million as of December 31, 2014;</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9"/>
        </w:trPr>
        <w:tc>
          <w:tcPr>
            <w:tcW w:w="7660" w:type="dxa"/>
            <w:vAlign w:val="bottom"/>
          </w:tcPr>
          <w:p>
            <w:pPr>
              <w:ind w:left="600"/>
              <w:spacing w:after="0" w:line="149" w:lineRule="exact"/>
              <w:rPr>
                <w:sz w:val="20"/>
                <w:szCs w:val="20"/>
                <w:color w:val="auto"/>
              </w:rPr>
            </w:pPr>
            <w:r>
              <w:rPr>
                <w:rFonts w:ascii="Arial" w:cs="Arial" w:eastAsia="Arial" w:hAnsi="Arial"/>
                <w:sz w:val="14"/>
                <w:szCs w:val="14"/>
                <w:color w:val="auto"/>
                <w:w w:val="93"/>
              </w:rPr>
              <w:t>56 million as of December 31, 2013; and 100 million as of September 30, 2014; issued and outstanding: 50,680,358 as of</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8"/>
        </w:trPr>
        <w:tc>
          <w:tcPr>
            <w:tcW w:w="7660" w:type="dxa"/>
            <w:vAlign w:val="bottom"/>
          </w:tcPr>
          <w:p>
            <w:pPr>
              <w:ind w:left="600"/>
              <w:spacing w:after="0"/>
              <w:rPr>
                <w:sz w:val="20"/>
                <w:szCs w:val="20"/>
                <w:color w:val="auto"/>
              </w:rPr>
            </w:pPr>
            <w:r>
              <w:rPr>
                <w:rFonts w:ascii="Arial" w:cs="Arial" w:eastAsia="Arial" w:hAnsi="Arial"/>
                <w:sz w:val="14"/>
                <w:szCs w:val="14"/>
                <w:color w:val="auto"/>
              </w:rPr>
              <w:t>December 31, 2014; 51,389,307 as of December 31, 2013; and 50,614,767 as of September 30, 2014</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506</w:t>
            </w:r>
          </w:p>
        </w:tc>
      </w:tr>
      <w:tr>
        <w:trPr>
          <w:trHeight w:val="163"/>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3"/>
              </w:rPr>
              <w:t>Class B Voting Common Stock, convertible, par value $.01 per share; 3 million shares authorized; issued and outstanding:</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4"/>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2,970,171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4"/>
        </w:trPr>
        <w:tc>
          <w:tcPr>
            <w:tcW w:w="7660" w:type="dxa"/>
            <w:vAlign w:val="bottom"/>
          </w:tcPr>
          <w:p>
            <w:pPr>
              <w:ind w:left="60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338,667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321,623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339,666</w:t>
            </w:r>
          </w:p>
        </w:tc>
      </w:tr>
      <w:tr>
        <w:trPr>
          <w:trHeight w:val="276"/>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562,437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622,449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547,177</w:t>
            </w:r>
          </w:p>
        </w:tc>
      </w:tr>
      <w:tr>
        <w:trPr>
          <w:trHeight w:val="264"/>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(12,191)</w:t>
            </w:r>
          </w:p>
        </w:tc>
      </w:tr>
      <w:tr>
        <w:trPr>
          <w:trHeight w:val="250"/>
        </w:trPr>
        <w:tc>
          <w:tcPr>
            <w:tcW w:w="76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EZCORP, Inc. stockholders’ equity</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868,189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941,294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875,188</w:t>
            </w:r>
          </w:p>
        </w:tc>
      </w:tr>
      <w:tr>
        <w:trPr>
          <w:trHeight w:val="243"/>
        </w:trPr>
        <w:tc>
          <w:tcPr>
            <w:tcW w:w="7660" w:type="dxa"/>
            <w:vAlign w:val="bottom"/>
          </w:tcPr>
          <w:p>
            <w:pPr>
              <w:ind w:left="8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1,351,383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1,369,129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1,403,471</w:t>
            </w: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82"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interim condensed consolidated financial statements.</w:t>
      </w:r>
    </w:p>
    <w:p>
      <w:pPr>
        <w:sectPr>
          <w:pgSz w:w="11900" w:h="16838" w:orient="portrait"/>
          <w:cols w:equalWidth="0" w:num="1">
            <w:col w:w="11420"/>
          </w:cols>
          <w:pgMar w:left="240" w:top="121" w:right="239" w:bottom="182"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017"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Grupo Finmart Securitization Trust</w:t>
      </w:r>
    </w:p>
    <w:p>
      <w:pPr>
        <w:spacing w:after="0" w:line="194" w:lineRule="exact"/>
        <w:rPr>
          <w:sz w:val="20"/>
          <w:szCs w:val="20"/>
          <w:color w:val="auto"/>
        </w:rPr>
      </w:pPr>
    </w:p>
    <w:p>
      <w:pPr>
        <w:ind w:right="580" w:firstLine="8"/>
        <w:spacing w:after="0" w:line="35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consolidated assets as of December 31, 2014 and 2013 and September 30, 2014 include the following assets of Grupo Finmart's securitization trust that can only be used to settle its liabilities: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September 30,</w:t>
            </w:r>
          </w:p>
        </w:tc>
      </w:tr>
      <w:tr>
        <w:trPr>
          <w:trHeight w:val="192"/>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r>
      <w:tr>
        <w:trPr>
          <w:trHeight w:val="258"/>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gridSpan w:val="5"/>
          </w:tcPr>
          <w:p>
            <w:pPr>
              <w:ind w:left="7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09"/>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23,592</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Consumer loans, net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35,069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34,123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41,588</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loan fees and interest receivable, net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5,489</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Restricted cash, non-current</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2,847</w:t>
            </w:r>
          </w:p>
        </w:tc>
      </w:tr>
      <w:tr>
        <w:trPr>
          <w:trHeight w:val="243"/>
        </w:trPr>
        <w:tc>
          <w:tcPr>
            <w:tcW w:w="778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65,131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45,923</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73,649</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40" w:firstLine="8"/>
        <w:spacing w:after="0" w:line="353" w:lineRule="auto"/>
        <w:tabs>
          <w:tab w:leader="none" w:pos="204"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consolidated liabilities as of December 31, 2014 and 2013 and September 30, 2014 include the following liabilities for which the creditors of Grupo Finmart's securitization trust do not have recourse to the general credit of EZCORP, Inc.: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r>
      <w:tr>
        <w:trPr>
          <w:trHeight w:val="258"/>
        </w:trPr>
        <w:tc>
          <w:tcPr>
            <w:tcW w:w="7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gridSpan w:val="4"/>
          </w:tcPr>
          <w:p>
            <w:pPr>
              <w:ind w:left="7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49,475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54,045</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2013</w:t>
            </w:r>
          </w:p>
        </w:tc>
      </w:tr>
      <w:tr>
        <w:trPr>
          <w:trHeight w:val="244"/>
        </w:trPr>
        <w:tc>
          <w:tcPr>
            <w:tcW w:w="8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7"/>
              </w:rPr>
              <w:t>(Unaudited)</w:t>
            </w:r>
          </w:p>
        </w:tc>
        <w:tc>
          <w:tcPr>
            <w:tcW w:w="1100" w:type="dxa"/>
            <w:vAlign w:val="bottom"/>
          </w:tcPr>
          <w:p>
            <w:pPr>
              <w:spacing w:after="0"/>
              <w:rPr>
                <w:sz w:val="21"/>
                <w:szCs w:val="21"/>
                <w:color w:val="auto"/>
              </w:rPr>
            </w:pPr>
          </w:p>
        </w:tc>
      </w:tr>
      <w:tr>
        <w:trPr>
          <w:trHeight w:val="209"/>
        </w:trPr>
        <w:tc>
          <w:tcPr>
            <w:tcW w:w="8120" w:type="dxa"/>
            <w:vAlign w:val="bottom"/>
          </w:tcPr>
          <w:p>
            <w:pPr>
              <w:spacing w:after="0"/>
              <w:rPr>
                <w:sz w:val="18"/>
                <w:szCs w:val="18"/>
                <w:color w:val="auto"/>
              </w:rPr>
            </w:pPr>
          </w:p>
        </w:tc>
        <w:tc>
          <w:tcPr>
            <w:tcW w:w="3300" w:type="dxa"/>
            <w:vAlign w:val="bottom"/>
            <w:gridSpan w:val="5"/>
          </w:tcPr>
          <w:p>
            <w:pPr>
              <w:jc w:val="center"/>
              <w:spacing w:after="0"/>
              <w:rPr>
                <w:sz w:val="20"/>
                <w:szCs w:val="20"/>
                <w:color w:val="auto"/>
              </w:rPr>
            </w:pPr>
            <w:r>
              <w:rPr>
                <w:rFonts w:ascii="Arial" w:cs="Arial" w:eastAsia="Arial" w:hAnsi="Arial"/>
                <w:sz w:val="14"/>
                <w:szCs w:val="14"/>
                <w:i w:val="1"/>
                <w:iCs w:val="1"/>
                <w:color w:val="auto"/>
                <w:w w:val="91"/>
              </w:rPr>
              <w:t>(in thousands, except per share amounts)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Merchandise sales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109,639</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105,587</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Jewelry scrapping sales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18,534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27,703</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Pawn service charges</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64,927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64,133</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Consumer loan fees and interest</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52,232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60,117</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Consumer loan sales and other revenues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5,499</w:t>
            </w: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revenues</w:t>
            </w: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252,644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263,039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72,388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63,588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14,675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20,020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Consumer loan bad debt</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15,251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15,574</w:t>
            </w: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revenues</w:t>
            </w: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150,330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163,857</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103,656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104,955</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Administrative</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10,174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15,745</w:t>
            </w:r>
          </w:p>
        </w:tc>
      </w:tr>
      <w:tr>
        <w:trPr>
          <w:trHeight w:val="276"/>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7,340</w:t>
            </w:r>
          </w:p>
        </w:tc>
      </w:tr>
      <w:tr>
        <w:trPr>
          <w:trHeight w:val="264"/>
        </w:trPr>
        <w:tc>
          <w:tcPr>
            <w:tcW w:w="8120" w:type="dxa"/>
            <w:vAlign w:val="bottom"/>
          </w:tcPr>
          <w:p>
            <w:pPr>
              <w:ind w:left="180"/>
              <w:spacing w:after="0"/>
              <w:rPr>
                <w:sz w:val="20"/>
                <w:szCs w:val="20"/>
                <w:color w:val="auto"/>
              </w:rPr>
            </w:pPr>
            <w:r>
              <w:rPr>
                <w:rFonts w:ascii="Arial" w:cs="Arial" w:eastAsia="Arial" w:hAnsi="Arial"/>
                <w:sz w:val="14"/>
                <w:szCs w:val="14"/>
                <w:color w:val="auto"/>
              </w:rPr>
              <w:t>Amortization</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1,457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1,365</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(gain) on sale or disposal of assets</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(6,290)</w:t>
            </w:r>
          </w:p>
        </w:tc>
      </w:tr>
      <w:tr>
        <w:trPr>
          <w:trHeight w:val="21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operating expenses</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8"/>
              </w:rPr>
              <w:t>123,119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123,115</w:t>
            </w:r>
          </w:p>
        </w:tc>
      </w:tr>
      <w:tr>
        <w:trPr>
          <w:trHeight w:val="256"/>
        </w:trPr>
        <w:tc>
          <w:tcPr>
            <w:tcW w:w="8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Operating income</w:t>
            </w: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27,211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40,742</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8,958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4,530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Equity in net income of unconsolidated affiliates</w:t>
            </w:r>
          </w:p>
        </w:tc>
        <w:tc>
          <w:tcPr>
            <w:tcW w:w="9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(2,194)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(1,271)</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9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20,435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37,847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9,958</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Income from continuing operations, net of tax</w:t>
            </w:r>
          </w:p>
        </w:tc>
        <w:tc>
          <w:tcPr>
            <w:tcW w:w="9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14,070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27,889</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discontinued operations, net of tax</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15,113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24,395</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 from continuing operations attributable to redeemable noncontrolling interest</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1,826</w:t>
            </w:r>
          </w:p>
        </w:tc>
      </w:tr>
      <w:tr>
        <w:trPr>
          <w:trHeight w:val="25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EZCORP, Inc.</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15,260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22,569</w:t>
            </w:r>
          </w:p>
        </w:tc>
      </w:tr>
      <w:tr>
        <w:trPr>
          <w:trHeight w:val="251"/>
        </w:trPr>
        <w:tc>
          <w:tcPr>
            <w:tcW w:w="8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Basic earnings (loss) per share attributable to EZCORP, Inc.:</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Continuing operations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0.48</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Discontinued operations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r>
      <w:tr>
        <w:trPr>
          <w:trHeight w:val="243"/>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 earnings per share</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 attributable to EZCORP, Inc.:</w:t>
            </w: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Continuing operations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0.48</w:t>
            </w: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Discontinued operations</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r>
      <w:tr>
        <w:trPr>
          <w:trHeight w:val="283"/>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Diluted earnings per share</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0.42</w:t>
            </w:r>
          </w:p>
        </w:tc>
      </w:tr>
      <w:tr>
        <w:trPr>
          <w:trHeight w:val="251"/>
        </w:trPr>
        <w:tc>
          <w:tcPr>
            <w:tcW w:w="8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Weighted-average shares outstanding:</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53,650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54,332</w:t>
            </w:r>
          </w:p>
        </w:tc>
      </w:tr>
      <w:tr>
        <w:trPr>
          <w:trHeight w:val="264"/>
        </w:trPr>
        <w:tc>
          <w:tcPr>
            <w:tcW w:w="8120" w:type="dxa"/>
            <w:vAlign w:val="bottom"/>
          </w:tcPr>
          <w:p>
            <w:pPr>
              <w:ind w:left="380"/>
              <w:spacing w:after="0"/>
              <w:rPr>
                <w:sz w:val="20"/>
                <w:szCs w:val="20"/>
                <w:color w:val="auto"/>
              </w:rPr>
            </w:pPr>
            <w:r>
              <w:rPr>
                <w:rFonts w:ascii="Arial" w:cs="Arial" w:eastAsia="Arial" w:hAnsi="Arial"/>
                <w:sz w:val="14"/>
                <w:szCs w:val="14"/>
                <w:color w:val="auto"/>
              </w:rPr>
              <w:t>Diluted</w:t>
            </w:r>
          </w:p>
        </w:tc>
        <w:tc>
          <w:tcPr>
            <w:tcW w:w="9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53,698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54,362</w:t>
            </w:r>
          </w:p>
        </w:tc>
      </w:tr>
      <w:tr>
        <w:trPr>
          <w:trHeight w:val="276"/>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EZCORP, Inc.</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14,217</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26,063</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discontinued operations attributable to EZCORP, Inc.</w:t>
            </w:r>
          </w:p>
        </w:tc>
        <w:tc>
          <w:tcPr>
            <w:tcW w:w="9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w:t>
            </w:r>
          </w:p>
        </w:tc>
      </w:tr>
      <w:tr>
        <w:trPr>
          <w:trHeight w:val="243"/>
        </w:trPr>
        <w:tc>
          <w:tcPr>
            <w:tcW w:w="8120" w:type="dxa"/>
            <w:vAlign w:val="bottom"/>
          </w:tcPr>
          <w:p>
            <w:pPr>
              <w:ind w:left="40"/>
              <w:spacing w:after="0"/>
              <w:rPr>
                <w:sz w:val="20"/>
                <w:szCs w:val="20"/>
                <w:color w:val="auto"/>
              </w:rPr>
            </w:pPr>
            <w:r>
              <w:rPr>
                <w:rFonts w:ascii="Arial" w:cs="Arial" w:eastAsia="Arial" w:hAnsi="Arial"/>
                <w:sz w:val="14"/>
                <w:szCs w:val="14"/>
                <w:color w:val="auto"/>
              </w:rPr>
              <w:t>Net income attributable to EZCORP, Inc.</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15,260</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22,569</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ectPr>
          <w:pgSz w:w="11900" w:h="16838" w:orient="portrait"/>
          <w:cols w:equalWidth="0" w:num="1">
            <w:col w:w="11420"/>
          </w:cols>
          <w:pgMar w:left="240" w:top="121" w:right="239" w:bottom="30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30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2013</w:t>
            </w:r>
          </w:p>
        </w:tc>
      </w:tr>
      <w:tr>
        <w:trPr>
          <w:trHeight w:val="244"/>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1"/>
                <w:szCs w:val="21"/>
                <w:color w:val="auto"/>
              </w:rPr>
            </w:pPr>
          </w:p>
        </w:tc>
      </w:tr>
      <w:tr>
        <w:trPr>
          <w:trHeight w:val="209"/>
        </w:trPr>
        <w:tc>
          <w:tcPr>
            <w:tcW w:w="8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3"/>
          </w:tcPr>
          <w:p>
            <w:pPr>
              <w:jc w:val="center"/>
              <w:ind w:left="28"/>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8"/>
                <w:szCs w:val="18"/>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15,113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24,395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currency translation (loss) gain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(27,145)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4,716</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Cash flow hedges: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Unrealized loss before reclassifications</w:t>
            </w:r>
          </w:p>
        </w:tc>
        <w:tc>
          <w:tcPr>
            <w:tcW w:w="9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Amounts reclassified from accumulated other comprehensive loss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245</w:t>
            </w:r>
          </w:p>
        </w:tc>
      </w:tr>
      <w:tr>
        <w:trPr>
          <w:trHeight w:val="27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holding loss on available-for-sale arising during period</w:t>
            </w:r>
          </w:p>
        </w:tc>
        <w:tc>
          <w:tcPr>
            <w:tcW w:w="9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Income tax benefit (expense)</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net of tax</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(24,743)</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3,712</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Comprehensive (loss) income</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(9,630)</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28,107</w:t>
            </w:r>
          </w:p>
        </w:tc>
      </w:tr>
      <w:tr>
        <w:trPr>
          <w:trHeight w:val="251"/>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Attributable to redeemable noncontrolling interest:</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Net (loss) income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1,826</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Foreign currency translation (loss) gain</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r>
      <w:tr>
        <w:trPr>
          <w:trHeight w:val="26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Amounts reclassified from accumulated other comprehensive loss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 income attributable to redeemable noncontrolling interest</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(3,630)</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2,185</w:t>
            </w:r>
          </w:p>
        </w:tc>
      </w:tr>
      <w:tr>
        <w:trPr>
          <w:trHeight w:val="243"/>
        </w:trPr>
        <w:tc>
          <w:tcPr>
            <w:tcW w:w="8340" w:type="dxa"/>
            <w:vAlign w:val="bottom"/>
          </w:tcPr>
          <w:p>
            <w:pPr>
              <w:ind w:left="40"/>
              <w:spacing w:after="0"/>
              <w:rPr>
                <w:sz w:val="20"/>
                <w:szCs w:val="20"/>
                <w:color w:val="auto"/>
              </w:rPr>
            </w:pPr>
            <w:r>
              <w:rPr>
                <w:rFonts w:ascii="Arial" w:cs="Arial" w:eastAsia="Arial" w:hAnsi="Arial"/>
                <w:sz w:val="14"/>
                <w:szCs w:val="14"/>
                <w:color w:val="auto"/>
              </w:rPr>
              <w:t>Comprehensive (loss) income attributable to EZCORP, Inc.</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25,922</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ind w:right="128"/>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1"/>
                <w:szCs w:val="21"/>
                <w:color w:val="auto"/>
              </w:rPr>
            </w:pPr>
          </w:p>
        </w:tc>
      </w:tr>
      <w:tr>
        <w:trPr>
          <w:trHeight w:val="209"/>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left="628"/>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15,113</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24,395</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9,030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9,363</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(accretion) of debt discount (premium) and consumer loan premium (discount)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Consumer loan loss provision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6,241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11,350</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Amortization of deferred financing costs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1,633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890</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prepaid commissions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1,937</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Other adjustments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(gain) on sale or disposal of assets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(6,422)</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Gain on sale of loan portfolio</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(6,576)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(4,543)</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Stock compensation expense (benefit)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Income from investments in unconsolidated affiliates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(2,194)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(1,271)</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Service charges and fees receivable, net</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(2,292)</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Inventory, net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Receivables. prepaid expenses, other current assets and other assets, net</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(7,926)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(17,870)</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 and other accrued expenses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(10,911)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(7,687)</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Customer layaway deposits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(2,895)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(2,853)</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gains and other long-term liabilities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Tax provision from stock compensation</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390</w:t>
            </w:r>
          </w:p>
        </w:tc>
      </w:tr>
      <w:tr>
        <w:trPr>
          <w:trHeight w:val="276"/>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Change in restricted cash</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720"/>
              <w:spacing w:after="0"/>
              <w:rPr>
                <w:sz w:val="20"/>
                <w:szCs w:val="20"/>
                <w:color w:val="auto"/>
              </w:rPr>
            </w:pPr>
            <w:r>
              <w:rPr>
                <w:rFonts w:ascii="Arial" w:cs="Arial" w:eastAsia="Arial" w:hAnsi="Arial"/>
                <w:sz w:val="14"/>
                <w:szCs w:val="14"/>
                <w:color w:val="auto"/>
              </w:rPr>
              <w:t>Prepaid income taxes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4,769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8,472</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of restructuring charges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Dividends from unconsolidated affiliates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2,597</w:t>
            </w:r>
          </w:p>
        </w:tc>
      </w:tr>
      <w:tr>
        <w:trPr>
          <w:trHeight w:val="256"/>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10,935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17,454</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Loans made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(223,748)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(232,294)</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Loans repaid</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147,981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150,206</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69,886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64,776</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Additions to property and equipment</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(8,954)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(5,615)</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Acquisitions, net of cash acquired</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(10,395)</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(12,140)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65,849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28,980</w:t>
            </w:r>
          </w:p>
        </w:tc>
      </w:tr>
      <w:tr>
        <w:trPr>
          <w:trHeight w:val="244"/>
        </w:trPr>
        <w:tc>
          <w:tcPr>
            <w:tcW w:w="8580" w:type="dxa"/>
            <w:vAlign w:val="bottom"/>
          </w:tcPr>
          <w:p>
            <w:pPr>
              <w:ind w:left="114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38,874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(4,342)</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ind w:left="380"/>
              <w:spacing w:after="0"/>
              <w:rPr>
                <w:sz w:val="20"/>
                <w:szCs w:val="20"/>
                <w:color w:val="auto"/>
              </w:rPr>
            </w:pPr>
            <w:r>
              <w:rPr>
                <w:rFonts w:ascii="Arial" w:cs="Arial" w:eastAsia="Arial" w:hAnsi="Arial"/>
                <w:sz w:val="14"/>
                <w:szCs w:val="14"/>
                <w:color w:val="auto"/>
              </w:rPr>
              <w:t>Tax deficiency of stock compensation</w:t>
            </w:r>
          </w:p>
        </w:tc>
        <w:tc>
          <w:tcPr>
            <w:tcW w:w="4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(389)</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paid related to net share settlement of equity awards</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4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(3,080)</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Payout of deferred and contingent consideration</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Proceeds from settlement of forward currency contracts</w:t>
            </w:r>
          </w:p>
        </w:tc>
        <w:tc>
          <w:tcPr>
            <w:tcW w:w="4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2,313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restricted cash</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Proceeds from revolving line of credit</w:t>
            </w:r>
          </w:p>
        </w:tc>
        <w:tc>
          <w:tcPr>
            <w:tcW w:w="4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80,887</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revolving line of credit</w:t>
            </w:r>
          </w:p>
        </w:tc>
        <w:tc>
          <w:tcPr>
            <w:tcW w:w="4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(74,908)</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Proceeds from bank borrowings</w:t>
            </w:r>
          </w:p>
        </w:tc>
        <w:tc>
          <w:tcPr>
            <w:tcW w:w="4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3,609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16,703</w:t>
            </w:r>
          </w:p>
        </w:tc>
      </w:tr>
      <w:tr>
        <w:trPr>
          <w:trHeight w:val="27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bank borrowings and capital lease obligations</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(23,805)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(17,496)</w:t>
            </w:r>
          </w:p>
        </w:tc>
      </w:tr>
      <w:tr>
        <w:trPr>
          <w:trHeight w:val="250"/>
        </w:trPr>
        <w:tc>
          <w:tcPr>
            <w:tcW w:w="858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4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(26,086)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(11,046)</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46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21,270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2,169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56,329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36,317</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77,599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38,486</w:t>
            </w:r>
          </w:p>
        </w:tc>
      </w:tr>
      <w:tr>
        <w:trPr>
          <w:trHeight w:val="264"/>
        </w:trPr>
        <w:tc>
          <w:tcPr>
            <w:tcW w:w="85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Pawn loans forfeited and transferred to inventory</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66,699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63,256</w:t>
            </w:r>
          </w:p>
        </w:tc>
      </w:tr>
      <w:tr>
        <w:trPr>
          <w:trHeight w:val="264"/>
        </w:trPr>
        <w:tc>
          <w:tcPr>
            <w:tcW w:w="8580" w:type="dxa"/>
            <w:vAlign w:val="bottom"/>
          </w:tcPr>
          <w:p>
            <w:pPr>
              <w:ind w:left="380"/>
              <w:spacing w:after="0"/>
              <w:rPr>
                <w:sz w:val="20"/>
                <w:szCs w:val="20"/>
                <w:color w:val="auto"/>
              </w:rPr>
            </w:pPr>
            <w:r>
              <w:rPr>
                <w:rFonts w:ascii="Arial" w:cs="Arial" w:eastAsia="Arial" w:hAnsi="Arial"/>
                <w:sz w:val="14"/>
                <w:szCs w:val="14"/>
                <w:color w:val="auto"/>
              </w:rPr>
              <w:t>Deferred consideration</w:t>
            </w:r>
          </w:p>
        </w:tc>
        <w:tc>
          <w:tcPr>
            <w:tcW w:w="4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5,350</w:t>
            </w:r>
          </w:p>
        </w:tc>
      </w:tr>
      <w:tr>
        <w:trPr>
          <w:trHeight w:val="27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Contingent consideration</w:t>
            </w:r>
          </w:p>
        </w:tc>
        <w:tc>
          <w:tcPr>
            <w:tcW w:w="4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4,792</w:t>
            </w:r>
          </w:p>
        </w:tc>
      </w:tr>
      <w:tr>
        <w:trPr>
          <w:trHeight w:val="258"/>
        </w:trPr>
        <w:tc>
          <w:tcPr>
            <w:tcW w:w="8580" w:type="dxa"/>
            <w:vAlign w:val="bottom"/>
          </w:tcPr>
          <w:p>
            <w:pPr>
              <w:ind w:left="380"/>
              <w:spacing w:after="0"/>
              <w:rPr>
                <w:sz w:val="20"/>
                <w:szCs w:val="20"/>
                <w:color w:val="auto"/>
              </w:rPr>
            </w:pPr>
            <w:r>
              <w:rPr>
                <w:rFonts w:ascii="Arial" w:cs="Arial" w:eastAsia="Arial" w:hAnsi="Arial"/>
                <w:sz w:val="14"/>
                <w:szCs w:val="14"/>
                <w:color w:val="auto"/>
              </w:rPr>
              <w:t>Note receivable from sale of assets</w:t>
            </w:r>
          </w:p>
        </w:tc>
        <w:tc>
          <w:tcPr>
            <w:tcW w:w="4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1,000</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7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EZCORP, Inc.</w:t>
            </w:r>
          </w:p>
        </w:tc>
        <w:tc>
          <w:tcPr>
            <w:tcW w:w="0" w:type="dxa"/>
            <w:vAlign w:val="bottom"/>
          </w:tcPr>
          <w:p>
            <w:pPr>
              <w:spacing w:after="0"/>
              <w:rPr>
                <w:sz w:val="1"/>
                <w:szCs w:val="1"/>
                <w:color w:val="auto"/>
              </w:rPr>
            </w:pPr>
          </w:p>
        </w:tc>
      </w:tr>
      <w:tr>
        <w:trPr>
          <w:trHeight w:val="163"/>
        </w:trPr>
        <w:tc>
          <w:tcPr>
            <w:tcW w:w="5040" w:type="dxa"/>
            <w:vAlign w:val="bottom"/>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102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20" w:type="dxa"/>
            <w:vAlign w:val="bottom"/>
            <w:gridSpan w:val="11"/>
          </w:tcPr>
          <w:p>
            <w:pPr>
              <w:jc w:val="center"/>
              <w:ind w:left="128"/>
              <w:spacing w:after="0"/>
              <w:rPr>
                <w:sz w:val="20"/>
                <w:szCs w:val="20"/>
                <w:color w:val="auto"/>
              </w:rPr>
            </w:pPr>
            <w:r>
              <w:rPr>
                <w:rFonts w:ascii="Arial" w:cs="Arial" w:eastAsia="Arial" w:hAnsi="Arial"/>
                <w:sz w:val="14"/>
                <w:szCs w:val="14"/>
                <w:b w:val="1"/>
                <w:bCs w:val="1"/>
                <w:color w:val="auto"/>
                <w:w w:val="91"/>
              </w:rPr>
              <w:t>(Unaudited, except balances as of September 30, 2014 and 2013)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left="408"/>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September 30, 2013</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320,777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599,880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914,526</w:t>
            </w:r>
          </w:p>
        </w:tc>
        <w:tc>
          <w:tcPr>
            <w:tcW w:w="0" w:type="dxa"/>
            <w:vAlign w:val="bottom"/>
          </w:tcPr>
          <w:p>
            <w:pPr>
              <w:spacing w:after="0"/>
              <w:rPr>
                <w:sz w:val="1"/>
                <w:szCs w:val="1"/>
                <w:color w:val="auto"/>
              </w:rPr>
            </w:pP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Stock compensation</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Release of restricted stock</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Tax deficiency of stock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Effective portion of cash flow hedge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Unrealized loss on available-for-sale securities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3,460</w:t>
            </w:r>
          </w:p>
        </w:tc>
        <w:tc>
          <w:tcPr>
            <w:tcW w:w="0" w:type="dxa"/>
            <w:vAlign w:val="bottom"/>
          </w:tcPr>
          <w:p>
            <w:pPr>
              <w:spacing w:after="0"/>
              <w:rPr>
                <w:sz w:val="1"/>
                <w:szCs w:val="1"/>
                <w:color w:val="auto"/>
              </w:rPr>
            </w:pP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Net income attributable to EZCORP, Inc.</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22,569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22,569</w:t>
            </w:r>
          </w:p>
        </w:tc>
        <w:tc>
          <w:tcPr>
            <w:tcW w:w="0" w:type="dxa"/>
            <w:vAlign w:val="bottom"/>
          </w:tcPr>
          <w:p>
            <w:pPr>
              <w:spacing w:after="0"/>
              <w:rPr>
                <w:sz w:val="1"/>
                <w:szCs w:val="1"/>
                <w:color w:val="auto"/>
              </w:rPr>
            </w:pPr>
          </w:p>
        </w:tc>
      </w:tr>
      <w:tr>
        <w:trPr>
          <w:trHeight w:val="24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as of December 31, 2013</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622,449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941,294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September 30, 2014</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339,666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547,177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875,188</w:t>
            </w:r>
          </w:p>
        </w:tc>
        <w:tc>
          <w:tcPr>
            <w:tcW w:w="0" w:type="dxa"/>
            <w:vAlign w:val="bottom"/>
          </w:tcPr>
          <w:p>
            <w:pPr>
              <w:spacing w:after="0"/>
              <w:rPr>
                <w:sz w:val="1"/>
                <w:szCs w:val="1"/>
                <w:color w:val="auto"/>
              </w:rPr>
            </w:pP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Stock compensation benefit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Release of restricted stock</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Tax deficiency of stock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paid related to net share settlement of equity awards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Amounts reclassified from accumulated 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(21,526)</w:t>
            </w:r>
          </w:p>
        </w:tc>
        <w:tc>
          <w:tcPr>
            <w:tcW w:w="0" w:type="dxa"/>
            <w:vAlign w:val="bottom"/>
          </w:tcPr>
          <w:p>
            <w:pPr>
              <w:spacing w:after="0"/>
              <w:rPr>
                <w:sz w:val="1"/>
                <w:szCs w:val="1"/>
                <w:color w:val="auto"/>
              </w:rPr>
            </w:pP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Net income attributable to EZCORP, Inc.</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15,260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15,260</w:t>
            </w:r>
          </w:p>
        </w:tc>
        <w:tc>
          <w:tcPr>
            <w:tcW w:w="0" w:type="dxa"/>
            <w:vAlign w:val="bottom"/>
          </w:tcPr>
          <w:p>
            <w:pPr>
              <w:spacing w:after="0"/>
              <w:rPr>
                <w:sz w:val="1"/>
                <w:szCs w:val="1"/>
                <w:color w:val="auto"/>
              </w:rPr>
            </w:pPr>
          </w:p>
        </w:tc>
      </w:tr>
      <w:tr>
        <w:trPr>
          <w:trHeight w:val="24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as of December 31, 2014</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338,667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868,189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153" w:lineRule="exact"/>
        <w:rPr>
          <w:sz w:val="20"/>
          <w:szCs w:val="20"/>
          <w:color w:val="auto"/>
        </w:rPr>
      </w:pPr>
    </w:p>
    <w:p>
      <w:pPr>
        <w:ind w:right="4040"/>
        <w:spacing w:after="0" w:line="440"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i w:val="1"/>
          <w:iCs w:val="1"/>
          <w:color w:val="auto"/>
        </w:rPr>
        <w:t>Organization</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leading provider of specialty consumer financial services. With approximately 7,000 teammates and approximately 1,400 locations and branches, we provide collateralized, non-recourse loans, commonly known as pawn loans, and a variety of short-term consumer loans including single-payment and multiple-payment unsecured loans and single-payment and multiple-payment auto title loans, or fee-based credit services to customers seeking loans in the United States, Mexico and Canada.</w:t>
      </w:r>
    </w:p>
    <w:p>
      <w:pPr>
        <w:spacing w:after="0" w:line="133"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In addition, we are the franchisor for four Cash Converters stores in Canada pursuant to our acquisition of the Cash Converters master franchise in that country. We also own approximately 32% of Cash Converters International Limited ("Cash Converters International"), which is based in Australia and franchises and operates a worldwide network of over 750 locations that provide financial services and buy and sell second-hand goods.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 Furthermore, certain reclassifications of prior period amounts have been made to conform to the current period presentation. These reclassifications did not have a material impact on our financial position, results of operations or cash flows.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accompanying financial statements should be read in conjunction with the consolidated financial statements and notes included in our Annual Report on Form 10-K for the year ended September 30, 2014. The balance sheet as of September 30, 2014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months ended December 31, 2014 (the "current quarter") are not necessarily indicative of the results of operations for the full fiscal year.</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condensed consolidated financial statements include the accounts of EZCORP, Inc. ("EZCORP") and its consolidated subsidiaries. All inter-company accounts and transactions have been eliminated in consolidation. As of December 31, 2014, we owned 76% of the outstanding equity interests in Prestaciones Finmart, S.A.P.I. de C.V., SOFOM, E.N.R. ("Grupo Finmart"), doing business under the brands "Crediamigo" and "Adex," and 59% of Renueva Comercial S.A.P.I. de C.V. ("TUYO"), and therefore, include their results in our condensed consolidated financial statements. We account for our investment in Cash Converters International using the equity method.</w:t>
      </w:r>
    </w:p>
    <w:p>
      <w:pPr>
        <w:spacing w:after="0" w:line="134" w:lineRule="exact"/>
        <w:rPr>
          <w:sz w:val="20"/>
          <w:szCs w:val="20"/>
          <w:color w:val="auto"/>
        </w:rPr>
      </w:pPr>
    </w:p>
    <w:p>
      <w:pPr>
        <w:ind w:right="460"/>
        <w:spacing w:after="0" w:line="438" w:lineRule="auto"/>
        <w:rPr>
          <w:sz w:val="20"/>
          <w:szCs w:val="20"/>
          <w:color w:val="auto"/>
        </w:rPr>
      </w:pPr>
      <w:r>
        <w:rPr>
          <w:rFonts w:ascii="Arial" w:cs="Arial" w:eastAsia="Arial" w:hAnsi="Arial"/>
          <w:sz w:val="18"/>
          <w:szCs w:val="18"/>
          <w:color w:val="auto"/>
        </w:rPr>
        <w:t xml:space="preserve">There have been no changes in significant accounting policies as described in our Annual Report on Form 10-K for the year ended September 30, 2014. </w:t>
      </w:r>
      <w:r>
        <w:rPr>
          <w:rFonts w:ascii="Arial" w:cs="Arial" w:eastAsia="Arial" w:hAnsi="Arial"/>
          <w:sz w:val="18"/>
          <w:szCs w:val="18"/>
          <w:i w:val="1"/>
          <w:iCs w:val="1"/>
          <w:color w:val="auto"/>
        </w:rPr>
        <w:t>Use of Estimates and Assumptions</w:t>
      </w:r>
    </w:p>
    <w:p>
      <w:pPr>
        <w:spacing w:after="0" w:line="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 AND RESTRUCTURING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fourth quarter of fiscal 2014, as part of our new strategy to concentrate on an integrated, customer-centric financial services model that is focused on our core businesses of pawn and unsecured lending, we implemented a plan to exit our online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2" w:right="25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lending businesses in the United States and the United Kingdom. As a result of this plan, our online lending operations in the United States (EZOnline) and in the United Kingdom (Cash Genie) have been included as discontinued operations.</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in a variety of locations. These stores were generally older, smaller stores that did not fit our future growth profile.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2014 and 2013, accrued lease termination costs, severance costs and other costs related to discontinued operations were $7.8 million and $3.8 million, respectively. These amounts are included under "Accounts payable and other accrued expenses" in our condensed consolidated balance sheets. During the quarters ended December 31, 2014 and 2013, $0.7 million and $1.7 million, respectively, in cash payments were made with respect to the recorded lease termination costs, severance costs and other costs related to discontinued operations. During the quarter ended December 31, 2014, the balance of accrued lease termination costs, severance costs and others related to discontinued operations was adjusted by $0.4 million due to foreign currency effects and other individually immaterial adjustments.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in the quarters ended December 31, 2014 and 2013 include $1.3 million and $8.9 million of total revenues, respectively.</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table below summarizes the income (loss) from discontinued operations by operating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Three Months Ended December 31,</w:t>
            </w:r>
          </w:p>
        </w:tc>
      </w:tr>
      <w:tr>
        <w:trPr>
          <w:trHeight w:val="270"/>
        </w:trPr>
        <w:tc>
          <w:tcPr>
            <w:tcW w:w="812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44"/>
        </w:trPr>
        <w:tc>
          <w:tcPr>
            <w:tcW w:w="8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&amp; Canada:</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Operating income (loss) from discontinued operations before taxes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termination benefits related to the reorganization</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(1,093)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before taxes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w:t>
            </w:r>
          </w:p>
        </w:tc>
      </w:tr>
      <w:tr>
        <w:trPr>
          <w:trHeight w:val="311"/>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Expenses</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termination benefits related to the reorganization</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(1,917)</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before taxes</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(1,472)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termination costs related to the reorganization</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r>
      <w:tr>
        <w:trPr>
          <w:trHeight w:val="311"/>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Expenses</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9,194</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from discontinued operations before taxes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termination benefits related to the reorganization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(2,557)</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taxes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All revenue, expense and income reported in these condensed consolidated financial statements have been adjusted to reflect reclassification of all discontinued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Restructuring</w:t>
      </w:r>
    </w:p>
    <w:p>
      <w:pPr>
        <w:spacing w:after="0" w:line="17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During the fourth quarter of fiscal 2014, we conducted a company-wide operational review to realign our organization to streamline operations and create synergies and efficiencies. The operational review resulted in the reduction of non-customer-facing overhead. Changes in the balance of restructuring costs during the quarter ended December 31, 2014 resulting from this initiative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9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center"/>
              <w:ind w:right="78"/>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6,121</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160" w:type="dxa"/>
            <w:vAlign w:val="bottom"/>
          </w:tcPr>
          <w:p>
            <w:pPr>
              <w:spacing w:after="0"/>
              <w:rPr>
                <w:sz w:val="21"/>
                <w:szCs w:val="21"/>
                <w:color w:val="auto"/>
              </w:rPr>
            </w:pP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22</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r>
      <w:tr>
        <w:trPr>
          <w:trHeight w:val="257"/>
        </w:trPr>
        <w:tc>
          <w:tcPr>
            <w:tcW w:w="9720" w:type="dxa"/>
            <w:vAlign w:val="bottom"/>
          </w:tcPr>
          <w:p>
            <w:pPr>
              <w:ind w:left="50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3,858</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accrual for restructuring costs as of December 31, 2014 represents the amounts to be paid related to severance for employees that have been terminated or identified for termination as a result of the initiatives described above. We estimate we will make the remaining payments during fiscal 2015, at which time this initiative will be substantially complete. We continue to review the impact of these actions and will determine if, based on future operating results, additional actions to reduce operating expenses are necessary. The amount of any potential future charges for such actions will depend upon the nature, timing and extent of those 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two-class method is utilized for the computation of earnings per share. The two-class method requires a portion of net income to be allocated to participating securities, which are unvested awards of share-based payments with non-forfeitable rights to receive dividends or dividend equivalents, if declared. Income allocated to these participating securities is excluded from net earnings allocated to common shares. There were no participating securities outstanding during the quarters ended December 31, 2014 and 2013.</w:t>
      </w:r>
    </w:p>
    <w:p>
      <w:pPr>
        <w:spacing w:after="0" w:line="13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compute basic earnings per share on the basis of the weighted-average number of shares of common stock outstanding during the period. We compute diluted earnings per share on the basis of the weighted-average number of shares of common stock plus the effect of dilutive potential common shares outstanding during the period using the treasury stock method. Dilutive potential common shares include restricted stock awards and warrants.</w:t>
      </w:r>
    </w:p>
    <w:p>
      <w:pPr>
        <w:spacing w:after="0" w:line="9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Potential common shares are required to be excluded from the computation of diluted earnings per share if the assumed proceeds upon exercise or vest, as defined by Financial Accounting Standards Board ("FASB") Accounting Standards Codification ("ASC") 718-10-25, are greater than the cost to re-acquire the same number of shares at the average market price, and therefore the effect would be anti-dilutive.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196"/>
        </w:trPr>
        <w:tc>
          <w:tcPr>
            <w:tcW w:w="8340" w:type="dxa"/>
            <w:vAlign w:val="bottom"/>
          </w:tcPr>
          <w:p>
            <w:pPr>
              <w:spacing w:after="0"/>
              <w:rPr>
                <w:sz w:val="17"/>
                <w:szCs w:val="17"/>
                <w:color w:val="auto"/>
              </w:rPr>
            </w:pPr>
          </w:p>
        </w:tc>
        <w:tc>
          <w:tcPr>
            <w:tcW w:w="3080" w:type="dxa"/>
            <w:vAlign w:val="bottom"/>
            <w:gridSpan w:val="5"/>
          </w:tcPr>
          <w:p>
            <w:pPr>
              <w:jc w:val="right"/>
              <w:ind w:right="251"/>
              <w:spacing w:after="0"/>
              <w:rPr>
                <w:sz w:val="20"/>
                <w:szCs w:val="20"/>
                <w:color w:val="auto"/>
              </w:rPr>
            </w:pPr>
            <w:r>
              <w:rPr>
                <w:rFonts w:ascii="Arial" w:cs="Arial" w:eastAsia="Arial" w:hAnsi="Arial"/>
                <w:sz w:val="14"/>
                <w:szCs w:val="14"/>
                <w:i w:val="1"/>
                <w:iCs w:val="1"/>
                <w:color w:val="auto"/>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EZCORP (A)</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 (B)</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(3,494)</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EZCORP (C)</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15,260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22,569</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53,650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9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53,698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54,362</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EZCORP:</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earnings per share (C / D)</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r>
      <w:tr>
        <w:trPr>
          <w:trHeight w:val="311"/>
        </w:trPr>
        <w:tc>
          <w:tcPr>
            <w:tcW w:w="8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EZCORP:</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earnings per share (C / 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earnings per share: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9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14,317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257</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Converters International Limited</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December 31, 2014, we owned 151,948,000 shares, or approximately 32%, of Cash Converters International, a company headquartered in Perth, Australia and publicly traded on the Australian Stock Exchange. Cash Converters International franchises and operates a worldwide network of over 750 specialty financial services and retail stores, with significant store concentrations in Australia and the United Kingdom, that buy and sell second-hand goods and provide pawn loans, short-term unsecured loans and other consumer finance products. Our initial total investment in Cash Converters International was acquired between November 2009 and November 2012 for approximately $68.8 million. An additional 15,100,000 shares were subsequently acquired in December 2014 for approximately $12.1 million in connection with a non-underwritten placement of 47,400,000 shares issued by Cash Converters International.</w:t>
      </w:r>
    </w:p>
    <w:p>
      <w:pPr>
        <w:spacing w:after="0" w:line="13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account for our investment in Cash Converters International using the equity method. Since Cash Converters International’s fiscal year ends three months prior to ours, we report the income from this investment on a three month lag. Cash Converters International files semi-annual financial reports with the Australian Securities &amp; Investments Commission for its fiscal periods ending December 31 and June 30. Due to the three month lag, income reported for our three month periods ended December 31, 2014 and 2013 represents our percentage interest in the results of Cash Converters International’s operations from July 1, 2014 to September 30, 2014 and July 1, 2013 to September 30, 2013, respectively.</w:t>
      </w:r>
    </w:p>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quarters ended December 31, 2014 and 2013 our equity in Cash Converters International’s net income was $2.2 million and $2.4 million, respectively. Additionally, during the quarters ended December 31, 2014 and 2013 we recorded dividends from Cash Converters International of $2.4 million and $2.6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presents summary financial information for Cash Converters International’s most recently reported results after translation to U.S. dollars (using the exchange rate as of June 30 of each year for balance sheet items and average exchange rates for the income statement items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0"/>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6"/>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207,415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158,373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178,764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153,279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386,179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311,652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95,242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60,441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233,788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220,676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7"/>
        </w:trPr>
        <w:tc>
          <w:tcPr>
            <w:tcW w:w="85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386,179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311,652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19"/>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232"/>
              <w:spacing w:after="0"/>
              <w:rPr>
                <w:sz w:val="20"/>
                <w:szCs w:val="20"/>
                <w:color w:val="auto"/>
              </w:rPr>
            </w:pPr>
            <w:r>
              <w:rPr>
                <w:rFonts w:ascii="Arial" w:cs="Arial" w:eastAsia="Arial" w:hAnsi="Arial"/>
                <w:sz w:val="14"/>
                <w:szCs w:val="14"/>
                <w:b w:val="1"/>
                <w:bCs w:val="1"/>
                <w:color w:val="auto"/>
                <w:w w:val="91"/>
              </w:rPr>
              <w:t>Year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6"/>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304,432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280,059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195,325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183,368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 for the period attributable to:</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Owners of the parent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22,206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33,754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Profit for the year (net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19,397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33,754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Cash Converters International’s total assets increased 24% from June 30, 2013 to June 30, 2014 and its net income attributable to the owners of the parent decreased 34% for the fiscal year ended June 30, 2014, in U.S. dollars.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Albemarle &amp; Bond Holdings, PLC</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Prior to its bankruptcy reorganization, Albemarle &amp; Bond Holdings, PLC ("Albemarle &amp; Bond") was primarily engaged in pawnbroking, retail jewelry sales, check cashing and lending in the United Kingdom.</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Albemarle &amp; Bond’s fiscal year ended three months prior to ours; therefore, we reported the income from this investment on a three month lag. When it was a publicly traded reporting company on the London Stock Exchange, Albemarle &amp; Bond filed semi-annual financial reports for its fiscal periods ending December 31 and June 30. Due to the three month lag, income reported for our three month period ended December 31, 2013 represents our percentage interest in the results of Albemarle &amp; Bond’s operations from July 1, 2013 to September 30, 2013.</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March 2014, Albemarle &amp; Bond entered into bankruptcy reorganization in the United Kingdom, and on April 15, 2014 Albemarle &amp; Bond announced that the majority of its business and assets had been sold. In fiscal 2014 and 2013 we recognized other-than-temporary impairments of $7.9 million ($5.4 million, net of taxes) and $42.5 million ($28.7 million, net of taxes) which brought our carrying value of this investment to zero during the quarter ended June 30,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Prior to the quarter ended March 31, 2014, we accounted for our investment in Albemarle &amp; Bond using the equity method.</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quarter ended December 31, 2013 our equity in Albemarle &amp; Bond’s net loss was $1.2 million. We received no dividends from Albemarle &amp; Bond during the quarter ended December 31,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for Cash Converters International as of December 31, 2014 and 2013 and September 30, 2014 was considered a Level 1 estimate within the fair value hierarchy of FASB ASC 820-10-50, and was calculated as (a) the quoted stock price on</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Australian Stock Exchange multiplied by (b) the number of shares we owned multiplied by (c) the applicable foreign currency exchange rate at the dates indicated. We included no control premium for owning a large percentage of outstanding shares.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was no fair value attributable to Albemarle &amp; Bond as of December 31, 2014 or September 30, 2014. The fair value for Albemarle &amp; Bond as of each of those dates was considered a Level 2 estimate within the fair value hierarchy of FASB ASC 820-10-50. We calculated the fair value based on Albemarle &amp; Bond's announcement of limited, if any, value available to the ordinary shares of its stock, which was considered to be an unobservable input insignificant to the overall determination of the Albemarle &amp; Bond fair value.</w:t>
      </w:r>
    </w:p>
    <w:p>
      <w:pPr>
        <w:spacing w:after="0" w:line="13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fair value for Albemarle &amp; Bond as of December 31, 2013 was considered a Level 1 estimate within the fair value hierarchy of FASB ASC 820-10-50, and was calculated as (a) the quoted stock price on the London Stock Exchange multiplied by (b) the number of shares we owned multiplied by (c) the applicable foreign currency exchange rate at the date indicated. We included no control premium for owning a large percentage of outstanding shares.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carrying amount and fair value of each of these strategic investments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39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196"/>
        </w:trPr>
        <w:tc>
          <w:tcPr>
            <w:tcW w:w="39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gridSpan w:val="4"/>
          </w:tcPr>
          <w:p>
            <w:pPr>
              <w:jc w:val="right"/>
              <w:ind w:right="30"/>
              <w:spacing w:after="0"/>
              <w:rPr>
                <w:sz w:val="20"/>
                <w:szCs w:val="20"/>
                <w:color w:val="auto"/>
              </w:rPr>
            </w:pPr>
            <w:r>
              <w:rPr>
                <w:rFonts w:ascii="Arial" w:cs="Arial" w:eastAsia="Arial" w:hAnsi="Arial"/>
                <w:sz w:val="14"/>
                <w:szCs w:val="14"/>
                <w:i w:val="1"/>
                <w:iCs w:val="1"/>
                <w:color w:val="auto"/>
                <w:w w:val="94"/>
              </w:rPr>
              <w:t>(in thousands of U.S. dollars)</w:t>
            </w:r>
          </w:p>
        </w:tc>
        <w:tc>
          <w:tcPr>
            <w:tcW w:w="1180" w:type="dxa"/>
            <w:vAlign w:val="bottom"/>
          </w:tcPr>
          <w:p>
            <w:pPr>
              <w:spacing w:after="0"/>
              <w:rPr>
                <w:sz w:val="17"/>
                <w:szCs w:val="17"/>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Converters International:</w:t>
            </w:r>
          </w:p>
        </w:tc>
        <w:tc>
          <w:tcPr>
            <w:tcW w:w="3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Recorded value</w:t>
            </w:r>
          </w:p>
        </w:tc>
        <w:tc>
          <w:tcPr>
            <w:tcW w:w="3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99,219</w:t>
            </w:r>
          </w:p>
        </w:tc>
        <w:tc>
          <w:tcPr>
            <w:tcW w:w="64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89,522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91,098</w:t>
            </w:r>
          </w:p>
        </w:tc>
      </w:tr>
      <w:tr>
        <w:trPr>
          <w:trHeight w:val="27"/>
        </w:trPr>
        <w:tc>
          <w:tcPr>
            <w:tcW w:w="39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w:t>
            </w:r>
          </w:p>
        </w:tc>
        <w:tc>
          <w:tcPr>
            <w:tcW w:w="3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123,932</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128,956</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Albemarle &amp; Bond:</w:t>
            </w:r>
          </w:p>
        </w:tc>
        <w:tc>
          <w:tcPr>
            <w:tcW w:w="3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Recorded value</w:t>
            </w:r>
          </w:p>
        </w:tc>
        <w:tc>
          <w:tcPr>
            <w:tcW w:w="3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Fair value</w:t>
            </w:r>
          </w:p>
        </w:tc>
        <w:tc>
          <w:tcPr>
            <w:tcW w:w="3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486"/>
        </w:trPr>
        <w:tc>
          <w:tcPr>
            <w:tcW w:w="3940" w:type="dxa"/>
            <w:vAlign w:val="bottom"/>
          </w:tcPr>
          <w:p>
            <w:pPr>
              <w:spacing w:after="0"/>
              <w:rPr>
                <w:sz w:val="24"/>
                <w:szCs w:val="24"/>
                <w:color w:val="auto"/>
              </w:rPr>
            </w:pPr>
          </w:p>
        </w:tc>
        <w:tc>
          <w:tcPr>
            <w:tcW w:w="3140" w:type="dxa"/>
            <w:vAlign w:val="bottom"/>
          </w:tcPr>
          <w:p>
            <w:pPr>
              <w:jc w:val="right"/>
              <w:ind w:right="119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goodwill and each major class of intangible assets as of the specified dates: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337,498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434,835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346,577</w:t>
            </w:r>
          </w:p>
        </w:tc>
      </w:tr>
      <w:tr>
        <w:trPr>
          <w:trHeight w:val="32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licenses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8,836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8,836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8,836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Domain name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indefinite-lived intangible assets,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15,839</w:t>
            </w:r>
          </w:p>
        </w:tc>
      </w:tr>
      <w:tr>
        <w:trPr>
          <w:trHeight w:val="318"/>
        </w:trPr>
        <w:tc>
          <w:tcPr>
            <w:tcW w:w="70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412"/>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 net:</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Real estate finders’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Favorable lease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 rights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Contractual relationship</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11,796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11,760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Internally developed software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18,759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15,143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definite-lived intangible assets,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45,079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46,262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48,785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60,739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65,178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64,624</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changes in the carrying value of goodwill over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239,179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107,398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346,577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Balances as of December 31, 2014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239,179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98,319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337,498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23"/>
                <w:szCs w:val="23"/>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3"/>
                <w:szCs w:val="23"/>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Canada</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America</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110,209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39,892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Balances as of December 31,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110,882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40,754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434,835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accordance with ASC 350-20-35,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 </w:t>
      </w:r>
      <w:r>
        <w:rPr>
          <w:rFonts w:ascii="Arial" w:cs="Arial" w:eastAsia="Arial" w:hAnsi="Arial"/>
          <w:sz w:val="18"/>
          <w:szCs w:val="18"/>
          <w:i w:val="1"/>
          <w:iCs w:val="1"/>
          <w:color w:val="auto"/>
        </w:rPr>
        <w:t>Subsequent Measurement</w:t>
      </w:r>
      <w:r>
        <w:rPr>
          <w:rFonts w:ascii="Arial" w:cs="Arial" w:eastAsia="Arial" w:hAnsi="Arial"/>
          <w:sz w:val="18"/>
          <w:szCs w:val="18"/>
          <w:color w:val="auto"/>
        </w:rPr>
        <w:t>, we test goodwill and intangible assets with an indefinite useful life for potential impairment annually, or more frequently when there are events or circumstances that indicate that it is more likely than not that an impairment exists. During the quarter ended December 31, 2014, we evaluated such events and circumstances and concluded that it was not "more likely than not" that a goodwill or intangible assets impairment existed. We will continue to monitor if an interim triggering event is present in subsequent periods, and we will perform our required annual impairment test in the fourth quarter of our fiscal year.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and classification of amortization recognized as expense in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in continuing operations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1,457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expense in discontinued operations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575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1,633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890</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 from the amortization of definite-lived intangible assets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3,116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estimate of the amount and classification of future amortization expense for definite-lived intangible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Years Ended September 30,</w:t>
            </w:r>
          </w:p>
        </w:tc>
        <w:tc>
          <w:tcPr>
            <w:tcW w:w="180" w:type="dxa"/>
            <w:vAlign w:val="bottom"/>
          </w:tcPr>
          <w:p>
            <w:pPr>
              <w:spacing w:after="0"/>
              <w:rPr>
                <w:sz w:val="16"/>
                <w:szCs w:val="16"/>
                <w:color w:val="auto"/>
              </w:rPr>
            </w:pPr>
          </w:p>
        </w:tc>
        <w:tc>
          <w:tcPr>
            <w:tcW w:w="166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Amortization expense</w:t>
            </w:r>
          </w:p>
        </w:tc>
        <w:tc>
          <w:tcPr>
            <w:tcW w:w="300" w:type="dxa"/>
            <w:vAlign w:val="bottom"/>
          </w:tcPr>
          <w:p>
            <w:pPr>
              <w:spacing w:after="0"/>
              <w:rPr>
                <w:sz w:val="16"/>
                <w:szCs w:val="16"/>
                <w:color w:val="auto"/>
              </w:rPr>
            </w:pPr>
          </w:p>
        </w:tc>
        <w:tc>
          <w:tcPr>
            <w:tcW w:w="1620" w:type="dxa"/>
            <w:vAlign w:val="bottom"/>
          </w:tcPr>
          <w:p>
            <w:pPr>
              <w:jc w:val="right"/>
              <w:ind w:right="235"/>
              <w:spacing w:after="0"/>
              <w:rPr>
                <w:sz w:val="20"/>
                <w:szCs w:val="20"/>
                <w:color w:val="auto"/>
              </w:rPr>
            </w:pPr>
            <w:r>
              <w:rPr>
                <w:rFonts w:ascii="Arial" w:cs="Arial" w:eastAsia="Arial" w:hAnsi="Arial"/>
                <w:sz w:val="14"/>
                <w:szCs w:val="14"/>
                <w:b w:val="1"/>
                <w:bCs w:val="1"/>
                <w:color w:val="auto"/>
                <w:w w:val="95"/>
              </w:rPr>
              <w:t>Operations expense</w:t>
            </w:r>
          </w:p>
        </w:tc>
        <w:tc>
          <w:tcPr>
            <w:tcW w:w="360" w:type="dxa"/>
            <w:vAlign w:val="bottom"/>
          </w:tcPr>
          <w:p>
            <w:pPr>
              <w:spacing w:after="0"/>
              <w:rPr>
                <w:sz w:val="16"/>
                <w:szCs w:val="16"/>
                <w:color w:val="auto"/>
              </w:rPr>
            </w:pPr>
          </w:p>
        </w:tc>
        <w:tc>
          <w:tcPr>
            <w:tcW w:w="1560" w:type="dxa"/>
            <w:vAlign w:val="bottom"/>
          </w:tcPr>
          <w:p>
            <w:pPr>
              <w:jc w:val="right"/>
              <w:ind w:right="333"/>
              <w:spacing w:after="0"/>
              <w:rPr>
                <w:sz w:val="20"/>
                <w:szCs w:val="20"/>
                <w:color w:val="auto"/>
              </w:rPr>
            </w:pPr>
            <w:r>
              <w:rPr>
                <w:rFonts w:ascii="Arial" w:cs="Arial" w:eastAsia="Arial" w:hAnsi="Arial"/>
                <w:sz w:val="14"/>
                <w:szCs w:val="14"/>
                <w:b w:val="1"/>
                <w:bCs w:val="1"/>
                <w:color w:val="auto"/>
              </w:rPr>
              <w:t>Interest expense</w:t>
            </w:r>
          </w:p>
        </w:tc>
      </w:tr>
      <w:tr>
        <w:trPr>
          <w:trHeight w:val="250"/>
        </w:trPr>
        <w:tc>
          <w:tcPr>
            <w:tcW w:w="5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4,362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3,189</w:t>
            </w: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5,776</w:t>
            </w:r>
          </w:p>
        </w:tc>
        <w:tc>
          <w:tcPr>
            <w:tcW w:w="30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3,077</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5,542</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r>
      <w:tr>
        <w:trPr>
          <w:trHeight w:val="243"/>
        </w:trPr>
        <w:tc>
          <w:tcPr>
            <w:tcW w:w="56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color w:val="auto"/>
              </w:rPr>
              <w:t>4,574</w:t>
            </w:r>
          </w:p>
        </w:tc>
        <w:tc>
          <w:tcPr>
            <w:tcW w:w="30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2,435</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3,844</w:t>
            </w:r>
          </w:p>
        </w:tc>
        <w:tc>
          <w:tcPr>
            <w:tcW w:w="3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1,338</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 AND CAPITAL LEASE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long-term debt instruments and balances under capital lease obligations outstanding as of December 31, 2014 and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The non-recourse debt matures at various months in the years so indicated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Debt</w:t>
            </w:r>
          </w:p>
        </w:tc>
        <w:tc>
          <w:tcPr>
            <w:tcW w:w="16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tcPr>
          <w:p>
            <w:pPr>
              <w:jc w:val="center"/>
              <w:ind w:right="40"/>
              <w:spacing w:after="0" w:line="153" w:lineRule="exact"/>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(Discount)</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Premium</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Premium</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Premium</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Recourse to EZCORP:</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Domestic line of credit up to $200 million due 2015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146,500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2.125% cash convertible senior notes due 2019</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(44,307)</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Cash convertible senior notes due 2019 embedded derivative</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45,163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36,994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Non-recourse to EZCORP:</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Secured foreign currency debt up to $3 million due 2014</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Secured foreign currency debt up to $9 million due 2014</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Secured foreign currency debt up to $19 million due 2015</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Secured foreign currency debt up to $5 million due 2016</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4,867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Secured foreign currency debt up to $9 million due 2016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Secured foreign currency debt up to $23 million due 2017</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20,360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22,962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22,240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loans facility due 2017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Consumer loans facility due 2019</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49,475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54,045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10% unsecured notes due 2014</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11% unsecured notes due 2014</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9%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10% unsecured notes due 2015</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1,632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11%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10% unsecured notes due 2016</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12% 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12% secured notes due 2017</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4,160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12% unsecured notes due 2019</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12% secured notes due 2020</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20,428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22,314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349,076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252,812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367,521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(44,130)</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Less current portion</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25,047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17,270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11,091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long-term debt and capital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324,029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235,542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356,430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Domestic Line of Credit up to $200 Million Due 2015</w:t>
      </w:r>
    </w:p>
    <w:p>
      <w:pPr>
        <w:spacing w:after="0" w:line="17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On May 10, 2011, we entered into a senior secured credit agreement with a syndicate of five banks. The credit agreement provided for a four year $175 million revolving credit facility that we could, under the terms of the agreement, request to be increased to a total of $225 million. On May 31, 2013, we amended the senior secured credit agreement to increase our revolving credit facility from $175 million to $200 million. We used approximately $119.4 million of net proceeds from the </w:t>
      </w:r>
      <w:r>
        <w:rPr>
          <w:rFonts w:ascii="Arial" w:cs="Arial" w:eastAsia="Arial" w:hAnsi="Arial"/>
          <w:sz w:val="18"/>
          <w:szCs w:val="18"/>
          <w:color w:val="252525"/>
        </w:rPr>
        <w:t>2.125%</w:t>
      </w:r>
      <w:r>
        <w:rPr>
          <w:rFonts w:ascii="Arial" w:cs="Arial" w:eastAsia="Arial" w:hAnsi="Arial"/>
          <w:sz w:val="18"/>
          <w:szCs w:val="18"/>
          <w:color w:val="auto"/>
        </w:rPr>
        <w:t xml:space="preserve"> cash convertible senior notes due 2019, as described below, to repay all outstanding borrowings under the senior secured credit agreement and terminated that agreement in June 2014.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252525"/>
        </w:rPr>
        <w:t>2.125% Cash Convertible Senior Notes Due 2019</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252525"/>
        </w:rPr>
        <w:t xml:space="preserve">In June 2014, we issued $200.0 million aggregate principal amount of 2.125% cash convertible senior notes due 2019 (the </w:t>
      </w:r>
      <w:r>
        <w:rPr>
          <w:rFonts w:ascii="Arial" w:cs="Arial" w:eastAsia="Arial" w:hAnsi="Arial"/>
          <w:sz w:val="16"/>
          <w:szCs w:val="16"/>
          <w:color w:val="000000"/>
        </w:rPr>
        <w:t>“Convertible Notes”). We granted</w:t>
      </w:r>
      <w:r>
        <w:rPr>
          <w:rFonts w:ascii="Arial" w:cs="Arial" w:eastAsia="Arial" w:hAnsi="Arial"/>
          <w:sz w:val="16"/>
          <w:szCs w:val="16"/>
          <w:color w:val="252525"/>
        </w:rPr>
        <w:t xml:space="preserve"> </w:t>
      </w:r>
      <w:r>
        <w:rPr>
          <w:rFonts w:ascii="Arial" w:cs="Arial" w:eastAsia="Arial" w:hAnsi="Arial"/>
          <w:sz w:val="16"/>
          <w:szCs w:val="16"/>
          <w:color w:val="000000"/>
        </w:rPr>
        <w:t xml:space="preserve">the initial purchasers the option to purchase up to an additional $30.0 million aggregate principal amount of Convertible Notes. Such option was exercised in full on June 27, 2014, and we issued an additional $30.0 million principal amount of Convertible Notes on July 2, 2014. All of the Convertible Notes were issued </w:t>
      </w:r>
      <w:r>
        <w:rPr>
          <w:rFonts w:ascii="Arial" w:cs="Arial" w:eastAsia="Arial" w:hAnsi="Arial"/>
          <w:sz w:val="16"/>
          <w:szCs w:val="16"/>
          <w:color w:val="252525"/>
        </w:rPr>
        <w:t>pursuant to an indenture dated June 23, 2014 (the "Indenture") by and between us and Wells Fargo Bank, National Association, as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52525"/>
        </w:rPr>
        <w:t xml:space="preserve">The Convertible Notes were issued in a private offering </w:t>
      </w:r>
      <w:r>
        <w:rPr>
          <w:rFonts w:ascii="Arial" w:cs="Arial" w:eastAsia="Arial" w:hAnsi="Arial"/>
          <w:sz w:val="18"/>
          <w:szCs w:val="18"/>
          <w:color w:val="000000"/>
        </w:rPr>
        <w:t>under Rule 144A under the Securities Act of 1933.</w:t>
      </w:r>
      <w:r>
        <w:rPr>
          <w:rFonts w:ascii="Arial" w:cs="Arial" w:eastAsia="Arial" w:hAnsi="Arial"/>
          <w:sz w:val="18"/>
          <w:szCs w:val="18"/>
          <w:color w:val="252525"/>
        </w:rPr>
        <w:t xml:space="preserve"> The Convertible Notes pay interest semi-annually in arrears at a rate of 2.125% per annum on June 15 and December 15 of each year, commencing on December 15, 2014, and will mature on June 15, 2019 (the "Maturity Date").</w:t>
      </w:r>
    </w:p>
    <w:p>
      <w:pPr>
        <w:spacing w:after="0" w:line="12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252525"/>
        </w:rPr>
        <w:t>Prior to December 15, 2018, the Convertible Notes will be convertible only upon the occurrence of certain events and during certain periods, and thereafter, at any time prior to the close of business on the second scheduled trading day immediately preceding the Maturity Date, as described below. At maturity, the holders of the Convertible Notes will be entitled to receive cash equal to the principal amount of the Convertible Notes plus unpaid accrued interest.</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52525"/>
        </w:rPr>
        <w:t xml:space="preserve">The Convertible Notes are unsubordinated unsecured obligations and rank senior in right of payment to any of our indebtedness that is expressly subordinated in right of payment to the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Indenture governing the Convertible Notes does not contain any</w:t>
      </w:r>
      <w:r>
        <w:rPr>
          <w:rFonts w:ascii="Arial" w:cs="Arial" w:eastAsia="Arial" w:hAnsi="Arial"/>
          <w:sz w:val="18"/>
          <w:szCs w:val="18"/>
          <w:color w:val="252525"/>
        </w:rPr>
        <w:t xml:space="preserve"> </w:t>
      </w:r>
      <w:r>
        <w:rPr>
          <w:rFonts w:ascii="Arial" w:cs="Arial" w:eastAsia="Arial" w:hAnsi="Arial"/>
          <w:sz w:val="18"/>
          <w:szCs w:val="18"/>
          <w:color w:val="000000"/>
        </w:rPr>
        <w:t>financial covenants.</w:t>
      </w:r>
    </w:p>
    <w:p>
      <w:pPr>
        <w:spacing w:after="0" w:line="13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252525"/>
        </w:rPr>
        <w:t>We incurred transaction costs of approximately $8.9 million related to the issuance of the Convertible Notes, which we recorded as deferred financing costs included under “Intangible assets, net” in our condensed consolidated balance sheets. Deferred financing costs are being amortized to interest expense using the effective interest method over the expected term of the Convertible Notes.</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52525"/>
        </w:rPr>
        <w:t>Under the terms of our Convertible Notes, payment of dividends requires a conversion rate adjustment equal to the conversion rate in effect immediately prior to the open of business on the ex-dividend date for such dividend multiplied by the last reported sale price of the Class A Non-voting Common Stock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Embedded Derivative</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account for the cash conversion feature of the Convertible Notes as a separate derivative instrument (the “</w:t>
      </w:r>
      <w:r>
        <w:rPr>
          <w:rFonts w:ascii="Arial" w:cs="Arial" w:eastAsia="Arial" w:hAnsi="Arial"/>
          <w:sz w:val="18"/>
          <w:szCs w:val="18"/>
          <w:color w:val="252525"/>
        </w:rPr>
        <w:t>Convertible Notes Embedded Derivative</w:t>
      </w:r>
      <w:r>
        <w:rPr>
          <w:rFonts w:ascii="Arial" w:cs="Arial" w:eastAsia="Arial" w:hAnsi="Arial"/>
          <w:sz w:val="18"/>
          <w:szCs w:val="18"/>
          <w:color w:val="auto"/>
        </w:rPr>
        <w:t>”), which had a fair value of $46.5 million on the issuance date that was recognized as the original issue discount of the Convertible Notes. This original issue discount is being amortized to interest expense over the term of the Convertible Notes using the effective interest method. As of December 31, 2014 and September 30, 2014, the Convertible Notes Embedded Derivative is recorded as a non-current liability under "Long-term debt, less current maturities" in our condensed consolidated balance sheets, and will be marked to market in subsequent reporting periods. The classification of the Convertible Notes Embedded Derivative liability as current or non-current on the condensed consolidated balance sheets corresponds with the classification of the net balance of the Convertible Notes as discussed below.</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Convertible Notes are convertible into cash, subject to satisfaction of certain conditions and during the periods described below, based on an initial conversion rate of 62.2471 shares of Class A Common Stock per $1,000 principal amount of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13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52525"/>
        </w:rPr>
        <w:t xml:space="preserve">Holders may surrender their Convertible Notes for conversion into cash prior to December 15, 2018 only under the following circumstances (the “Early Conversion Conditions”): </w:t>
      </w:r>
      <w:r>
        <w:rPr>
          <w:rFonts w:ascii="Arial" w:cs="Arial" w:eastAsia="Arial" w:hAnsi="Arial"/>
          <w:sz w:val="16"/>
          <w:szCs w:val="16"/>
          <w:color w:val="000000"/>
        </w:rPr>
        <w:t>(1) during any fiscal quarter commencing after the fiscal quarter ending on September 30, 2014 (and only during such fiscal</w:t>
      </w:r>
      <w:r>
        <w:rPr>
          <w:rFonts w:ascii="Arial" w:cs="Arial" w:eastAsia="Arial" w:hAnsi="Arial"/>
          <w:sz w:val="16"/>
          <w:szCs w:val="16"/>
          <w:color w:val="252525"/>
        </w:rPr>
        <w:t xml:space="preserve"> </w:t>
      </w:r>
      <w:r>
        <w:rPr>
          <w:rFonts w:ascii="Arial" w:cs="Arial" w:eastAsia="Arial" w:hAnsi="Arial"/>
          <w:sz w:val="16"/>
          <w:szCs w:val="16"/>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6"/>
          <w:szCs w:val="16"/>
          <w:color w:val="252525"/>
        </w:rPr>
        <w:t>On or after December 15, 2018 until the close of business on the second scheduled trading day immediately</w:t>
      </w:r>
      <w:r>
        <w:rPr>
          <w:rFonts w:ascii="Arial" w:cs="Arial" w:eastAsia="Arial" w:hAnsi="Arial"/>
          <w:sz w:val="16"/>
          <w:szCs w:val="16"/>
          <w:color w:val="000000"/>
        </w:rPr>
        <w:t xml:space="preserve"> </w:t>
      </w:r>
      <w:r>
        <w:rPr>
          <w:rFonts w:ascii="Arial" w:cs="Arial" w:eastAsia="Arial" w:hAnsi="Arial"/>
          <w:sz w:val="16"/>
          <w:szCs w:val="16"/>
          <w:color w:val="252525"/>
        </w:rPr>
        <w:t>preceding the Maturity Date, holders may convert their notes into cash at any time, regardless of the foregoing circumstances.</w:t>
      </w:r>
    </w:p>
    <w:p>
      <w:pPr>
        <w:spacing w:after="0" w:line="1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52525"/>
        </w:rPr>
        <w:t>If a holder elects to convert its Convertible Notes in connection with certain make-whole fundamental changes, as that term is defined in the Indenture, that occur prior to the Maturity Date, we will in certain circumstances increase the conversion rate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252525"/>
        </w:rPr>
        <w:t xml:space="preserve">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8"/>
          <w:szCs w:val="18"/>
          <w:color w:val="000000"/>
        </w:rPr>
        <w:t>(for example, certain dividend distributions or tender or exchange offer of our</w:t>
      </w:r>
      <w:r>
        <w:rPr>
          <w:rFonts w:ascii="Arial" w:cs="Arial" w:eastAsia="Arial" w:hAnsi="Arial"/>
          <w:sz w:val="18"/>
          <w:szCs w:val="18"/>
          <w:color w:val="252525"/>
        </w:rPr>
        <w:t xml:space="preserve"> </w:t>
      </w:r>
      <w:r>
        <w:rPr>
          <w:rFonts w:ascii="Arial" w:cs="Arial" w:eastAsia="Arial" w:hAnsi="Arial"/>
          <w:sz w:val="18"/>
          <w:szCs w:val="18"/>
          <w:color w:val="000000"/>
        </w:rPr>
        <w:t>Class A Common Stock).</w:t>
      </w:r>
    </w:p>
    <w:p>
      <w:pPr>
        <w:spacing w:after="0" w:line="12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252525"/>
        </w:rPr>
        <w:t>Upon the occurrence of a fundamental change, as defined in the Indenture, holders may require us to repurchase for cash all or any portion of the then outstanding Convertible Notes at a repurchase price equal to 100% of the principal amount of the notes to be repurchased, plus accrued and unpaid interest.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As of December 31, 2014, the Convertible Notes were not convertible because the </w:t>
      </w:r>
      <w:r>
        <w:rPr>
          <w:rFonts w:ascii="Arial" w:cs="Arial" w:eastAsia="Arial" w:hAnsi="Arial"/>
          <w:sz w:val="17"/>
          <w:szCs w:val="17"/>
          <w:color w:val="252525"/>
        </w:rPr>
        <w:t>Early Conversion Conditions described above</w:t>
      </w:r>
      <w:r>
        <w:rPr>
          <w:rFonts w:ascii="Arial" w:cs="Arial" w:eastAsia="Arial" w:hAnsi="Arial"/>
          <w:sz w:val="17"/>
          <w:szCs w:val="17"/>
          <w:color w:val="auto"/>
        </w:rPr>
        <w:t xml:space="preserve"> had not been met. Accordingly, the net balance of the Convertible Notes of $187.7 million is classified as a non-current liability in our condensed consolidated balance sheets as of December 31, 2014. The classification of the Convertible Notes as current or non-current in the condensed consolidated balance sheets is evaluated at each balance sheet date and may change from time to time depending on whether any of the Early Conversion Conditions has been met.</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any of the Early Conversion Conditions is met in any future fiscal quarter, we would classify our net liability under the Convertible Notes as a current liability in the condensed consolidated balance sheets as of the end of that fiscal quarter. If none of the Early Conversion Conditions have been met in a future fiscal quarter prior to the one year period immediately preceding the Maturity Date, we would classify our net liability under the Convertible Notes as a non-current liability in the condensed consolidated balance sheets as of the end of that fiscal quarter. If the note holders elect to convert their Convertible Notes prior to maturity, any unamortized discount and transaction costs will be expensed at the time of conversion. If the entire outstanding principal amount had been converted on December 31, 2014, we would have recorded an expense of $50.2 million associated with the conversion, comprised of $42.3 million of unamortized debt discount and $7.9 million of unamortized debt issuance costs. As of December 31, 2014, none of the note holders had elected to convert their Convertible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Hedges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connection with the issuance of the Convertible Notes, we purchased cash-settled call options (the “Convertible Notes Hedges”) in privately negotiated transactions with certain of the initial purchasers or their affiliates (in this capacity, the “Option Counterparties”). The Convertible Notes Hedges provide us with the option to acquire, on a net settlement basis, approximately 14.3 million shares of our Class A Common Stock at a strike price of $16.065, which is equal to the number of shares of our Class A Common Stock that notionally underlie the Convertible Notes and corresponds to the conversion price of the Convertible Notes. The Convertible Notes Hedges have </w:t>
      </w:r>
      <w:r>
        <w:rPr>
          <w:rFonts w:ascii="Arial" w:cs="Arial" w:eastAsia="Arial" w:hAnsi="Arial"/>
          <w:sz w:val="17"/>
          <w:szCs w:val="17"/>
          <w:color w:val="252525"/>
        </w:rPr>
        <w:t>an expiration date that is the same as the Maturity Date of the Convertible Notes, subject to earlier</w:t>
      </w:r>
      <w:r>
        <w:rPr>
          <w:rFonts w:ascii="Arial" w:cs="Arial" w:eastAsia="Arial" w:hAnsi="Arial"/>
          <w:sz w:val="17"/>
          <w:szCs w:val="17"/>
          <w:color w:val="auto"/>
        </w:rPr>
        <w:t xml:space="preserve"> </w:t>
      </w:r>
      <w:r>
        <w:rPr>
          <w:rFonts w:ascii="Arial" w:cs="Arial" w:eastAsia="Arial" w:hAnsi="Arial"/>
          <w:sz w:val="17"/>
          <w:szCs w:val="17"/>
          <w:color w:val="252525"/>
        </w:rPr>
        <w:t>exercise</w:t>
      </w:r>
      <w:r>
        <w:rPr>
          <w:rFonts w:ascii="Arial" w:cs="Arial" w:eastAsia="Arial" w:hAnsi="Arial"/>
          <w:sz w:val="17"/>
          <w:szCs w:val="17"/>
          <w:color w:val="000000"/>
        </w:rPr>
        <w:t>. The Convertible Notes Hedges have customary anti-dilution provisions similar to the Convertible Notes.</w:t>
      </w:r>
      <w:r>
        <w:rPr>
          <w:rFonts w:ascii="Arial" w:cs="Arial" w:eastAsia="Arial" w:hAnsi="Arial"/>
          <w:sz w:val="17"/>
          <w:szCs w:val="17"/>
          <w:color w:val="252525"/>
        </w:rPr>
        <w:t xml:space="preserve"> If we exercise the </w:t>
      </w:r>
      <w:r>
        <w:rPr>
          <w:rFonts w:ascii="Arial" w:cs="Arial" w:eastAsia="Arial" w:hAnsi="Arial"/>
          <w:sz w:val="17"/>
          <w:szCs w:val="17"/>
          <w:color w:val="000000"/>
        </w:rPr>
        <w:t>Convertible Notes</w:t>
      </w:r>
      <w:r>
        <w:rPr>
          <w:rFonts w:ascii="Arial" w:cs="Arial" w:eastAsia="Arial" w:hAnsi="Arial"/>
          <w:sz w:val="17"/>
          <w:szCs w:val="17"/>
          <w:color w:val="252525"/>
        </w:rPr>
        <w:t xml:space="preserve"> </w:t>
      </w:r>
      <w:r>
        <w:rPr>
          <w:rFonts w:ascii="Arial" w:cs="Arial" w:eastAsia="Arial" w:hAnsi="Arial"/>
          <w:sz w:val="17"/>
          <w:szCs w:val="17"/>
          <w:color w:val="000000"/>
        </w:rPr>
        <w:t>Hedges</w:t>
      </w:r>
      <w:r>
        <w:rPr>
          <w:rFonts w:ascii="Arial" w:cs="Arial" w:eastAsia="Arial" w:hAnsi="Arial"/>
          <w:sz w:val="17"/>
          <w:szCs w:val="17"/>
          <w:color w:val="252525"/>
        </w:rPr>
        <w:t>, the aggregate amount of cash we will receive from the option counterparties to the</w:t>
      </w:r>
      <w:r>
        <w:rPr>
          <w:rFonts w:ascii="Arial" w:cs="Arial" w:eastAsia="Arial" w:hAnsi="Arial"/>
          <w:sz w:val="17"/>
          <w:szCs w:val="17"/>
          <w:color w:val="000000"/>
        </w:rPr>
        <w:t xml:space="preserve"> Convertible Notes Hedges </w:t>
      </w:r>
      <w:r>
        <w:rPr>
          <w:rFonts w:ascii="Arial" w:cs="Arial" w:eastAsia="Arial" w:hAnsi="Arial"/>
          <w:sz w:val="17"/>
          <w:szCs w:val="17"/>
          <w:color w:val="252525"/>
        </w:rPr>
        <w:t>will cover the aggregate amount of</w:t>
      </w:r>
      <w:r>
        <w:rPr>
          <w:rFonts w:ascii="Arial" w:cs="Arial" w:eastAsia="Arial" w:hAnsi="Arial"/>
          <w:sz w:val="17"/>
          <w:szCs w:val="17"/>
          <w:color w:val="000000"/>
        </w:rPr>
        <w:t xml:space="preserve"> </w:t>
      </w:r>
      <w:r>
        <w:rPr>
          <w:rFonts w:ascii="Arial" w:cs="Arial" w:eastAsia="Arial" w:hAnsi="Arial"/>
          <w:sz w:val="17"/>
          <w:szCs w:val="17"/>
          <w:color w:val="252525"/>
        </w:rPr>
        <w:t xml:space="preserve">cash that we would be required to pay to the holders of the converted Convertible Notes, less the principal amount thereof. </w:t>
      </w:r>
      <w:r>
        <w:rPr>
          <w:rFonts w:ascii="Arial" w:cs="Arial" w:eastAsia="Arial" w:hAnsi="Arial"/>
          <w:sz w:val="17"/>
          <w:szCs w:val="17"/>
          <w:color w:val="000000"/>
        </w:rPr>
        <w:t>As of December 31, 2014, we have</w:t>
      </w:r>
      <w:r>
        <w:rPr>
          <w:rFonts w:ascii="Arial" w:cs="Arial" w:eastAsia="Arial" w:hAnsi="Arial"/>
          <w:sz w:val="17"/>
          <w:szCs w:val="17"/>
          <w:color w:val="252525"/>
        </w:rPr>
        <w:t xml:space="preserve"> </w:t>
      </w:r>
      <w:r>
        <w:rPr>
          <w:rFonts w:ascii="Arial" w:cs="Arial" w:eastAsia="Arial" w:hAnsi="Arial"/>
          <w:sz w:val="17"/>
          <w:szCs w:val="17"/>
          <w:color w:val="000000"/>
        </w:rPr>
        <w:t>not purchased any shares under the Convertible Notes Hedges.</w:t>
      </w:r>
    </w:p>
    <w:p>
      <w:pPr>
        <w:spacing w:after="0" w:line="12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aggregate cost of the Convertible Notes Hedges was $46.5 million (or $21.3 million net of the total proceeds from the Warrants sold, as discussed below). The Convertible Notes Hedges are accounted for as a derivative asset and are recorded in the condensed consolidated balance sheets at their estimated fair value under "Other assets, net." The fair value of the Convertible Notes Hedges was $45.2 million as of December 31, 2014. The Convertible Notes Embedded Derivative liability and the Convertible Notes Hedges asset will be adjusted to fair value each reporting period and unrealized gains and losses will be reflected in the condensed consolidated statements of operations. The Convertible Notes Embedded Derivative and the Convertible Notes Hedges are designed to have similar fair values. Accordingly, the changes in the fair values of these instruments are expected to offset and not have a net impact on the condensed consolidated statements of operations.</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classification of the Convertible Notes Hedges asset as current or long-term on the condensed consolidated balance sheets corresponds with the classification of the Convertible Notes, which is evaluated at each balance sheet date and may change from time to time depending on whether any of the Early Conversion Conditions has been met.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Warrants</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connection with the issuance of the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Convertible Notes. As a result of the Warrants, we will experience dilution to our diluted earnings per share if our average closing stock price exceeds $20.83 for any fiscal quarter. The Warrants expire on various dates from September 2019 through February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December 31, 2014, there were 14.3 million warrants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Interest Expense</w:t>
      </w:r>
    </w:p>
    <w:p>
      <w:pPr>
        <w:spacing w:after="0" w:line="17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252525"/>
        </w:rPr>
        <w:t>Total interest expense attributable to the Convertible Notes for the quarter ended December 31, 2014 was $3.3 million, comprised of contractual interest expense and debt discount amortization of $1.3 million and $2.0 million, respectively. The effective interest rate for the first quarter ended December 31, 2014 was approximately 7%.</w:t>
      </w:r>
    </w:p>
    <w:p>
      <w:pPr>
        <w:spacing w:after="0" w:line="127" w:lineRule="exact"/>
        <w:rPr>
          <w:sz w:val="20"/>
          <w:szCs w:val="20"/>
          <w:color w:val="auto"/>
        </w:rPr>
      </w:pPr>
    </w:p>
    <w:p>
      <w:pPr>
        <w:ind w:right="920"/>
        <w:spacing w:after="0" w:line="438" w:lineRule="auto"/>
        <w:rPr>
          <w:sz w:val="20"/>
          <w:szCs w:val="20"/>
          <w:color w:val="auto"/>
        </w:rPr>
      </w:pPr>
      <w:r>
        <w:rPr>
          <w:rFonts w:ascii="Arial" w:cs="Arial" w:eastAsia="Arial" w:hAnsi="Arial"/>
          <w:sz w:val="18"/>
          <w:szCs w:val="18"/>
          <w:color w:val="auto"/>
        </w:rPr>
        <w:t xml:space="preserve">As of December 31, 2014, the remaining unamortized issuance discount will be amortized over the next four years assuming no early conversion. </w:t>
      </w:r>
      <w:r>
        <w:rPr>
          <w:rFonts w:ascii="Arial" w:cs="Arial" w:eastAsia="Arial" w:hAnsi="Arial"/>
          <w:sz w:val="18"/>
          <w:szCs w:val="18"/>
          <w:u w:val="single" w:color="auto"/>
          <w:color w:val="auto"/>
        </w:rPr>
        <w:t>Non-Recourse Debt to EZCORP</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30, 2012, we acquired a 60% ownership interest in Grupo Finmart. On June 30, 2014, we acquired an additional 16% of the ordinary shares outstanding of Grupo Finmart, increasing our ownership percentage from 60% to 76%. Non-recourse debt amounts in the table previously presented represent Grupo Finmart’s third party debt. All unsecured notes are collateralized with Grupo Finmart's assets. All foreign currency debt is guaranteed by Grupo Finmart's loan portfolio or collateralized cash at Grupo Finmart’s option. As of December 31, 2014, Grupo Finmart’s foreign currency debt was guaranteed by consumer loans totaling $43.8 million, included under “Consumer loans, net” and “Non-current consumer loans, net” in our condensed consolidated balance sheets, and collateralized cash totaling $56.7 million, included under “Restricted cash” and “Restricted cash, non-current” in our condensed consolidated balance sheets.</w:t>
      </w:r>
    </w:p>
    <w:p>
      <w:pPr>
        <w:spacing w:after="0" w:line="13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Interest on secured foreign currency debt due 2016 is charged at the Mexican Interbank Equilibrium ("TIIE") plus a margin of 5%, or a total of 8.2% as of December 31, 2014. The 12% secured notes due 2016 and secured foreign currency debt due 2016 each require monthly payments of $0.1 million with the remaining principal due at maturity. The secured foreign currency debt due in 2017 has a 14.5% interest rate and requires monthly payments of $1.7 million, beginning May 2016, with the remaining principal due at maturity. The 12% secured notes due in 2020 require monthly payments of $1.1 million, beginning December 2018, with the remaining principal due at maturity.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 Facility Due 2017</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On July 10, 2012, Grupo Finmart entered into a securitization transaction to transfer the collection rights of certain eligible consumer loans to a bankruptcy remote trust in exchange for cash on a non-recourse basis. On February 17, 2014, Grupo Finmart repaid this facility. In connection with this repayment, we wrote off the deferred financing costs related to this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 Facility Due 2019</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unrestricted cash received from this borrowing in the amount of $31.3 million was primarily used to repay the previous securitization borrowing facility due in 2017 and the transaction costs associated with this transaction. The cash proceeds of approximately $18.2 million are restricted primarily for $15.8 million of collection rights on the additional eligible loans from Grupo Finmart, which Grupo Finmart expects to deliver to the trust within the next 12 months, and $2.4 million of interest and trust maintenance costs to be recovered at repayment. The restricted cash proceeds of $15.8 million are recourse to Grupo Finmart unless additional eligible loans are delivered within the two year period specified in the agreement. The borrowing facility has a two year lending period, ending February 17, 2016, and fully and matures on March 19, 2019. Upon the termination of the lending period, Grupo Finmart has an option to start prepaying the principal early from the collection received by the trust. Grupo Finmart will continue to service the underlying loans in the trust.</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Deferred financing costs related to the consumer loans facility due 2019 totaling approximately $2.5 million are included under “Intangible assets, net” in our condensed consolidated balance sheets and are being amortized to interest expense over the term of the agreement.</w:t>
      </w:r>
    </w:p>
    <w:p>
      <w:pPr>
        <w:spacing w:after="0" w:line="1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consumer loans facility due 2019 is charged at TIIE plus a margin of 2.5%, or a total of 5.8% as of December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 Unsecured Notes Due 2015</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15, 2013, Grupo Finmart issued and sold $30.0 million of 9% global registered notes due November 16, 2015. Notes with an aggregate principal amount of $14.0 million were originally purchased by EZCORP and, therefore, eliminated in consolidation in prior periods. On March 31, 2014, EZCORP sold its outstanding notes in the amount of $11.7 million to an outside party, thereby increasing the total consolidated notes balance. Grupo Finmart used a portion of the net proceeds of the offering to repay existing indebtedness and the remaining portion for general operating purposes. In December 2014, Grupo Finmart repaid $17.5 million of these outstanding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net income includes the following compensation costs related to our stock compensation arrangements: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Three Months Ended December</w:t>
            </w:r>
          </w:p>
        </w:tc>
      </w:tr>
      <w:tr>
        <w:trPr>
          <w:trHeight w:val="192"/>
        </w:trPr>
        <w:tc>
          <w:tcPr>
            <w:tcW w:w="9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4"/>
                <w:szCs w:val="14"/>
                <w:b w:val="1"/>
                <w:bCs w:val="1"/>
                <w:color w:val="auto"/>
                <w:w w:val="92"/>
              </w:rPr>
              <w:t>31,</w:t>
            </w: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93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89"/>
              </w:rPr>
              <w:t>2013</w:t>
            </w:r>
          </w:p>
        </w:tc>
      </w:tr>
      <w:tr>
        <w:trPr>
          <w:trHeight w:val="196"/>
        </w:trPr>
        <w:tc>
          <w:tcPr>
            <w:tcW w:w="9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jc w:val="center"/>
              <w:ind w:left="299"/>
              <w:spacing w:after="0"/>
              <w:rPr>
                <w:sz w:val="20"/>
                <w:szCs w:val="20"/>
                <w:color w:val="auto"/>
              </w:rPr>
            </w:pPr>
            <w:r>
              <w:rPr>
                <w:rFonts w:ascii="Arial" w:cs="Arial" w:eastAsia="Arial" w:hAnsi="Arial"/>
                <w:sz w:val="14"/>
                <w:szCs w:val="14"/>
                <w:i w:val="1"/>
                <w:iCs w:val="1"/>
                <w:color w:val="auto"/>
                <w:w w:val="92"/>
              </w:rPr>
              <w:t>(in thousands)</w:t>
            </w:r>
          </w:p>
        </w:tc>
        <w:tc>
          <w:tcPr>
            <w:tcW w:w="600" w:type="dxa"/>
            <w:vAlign w:val="bottom"/>
          </w:tcPr>
          <w:p>
            <w:pPr>
              <w:spacing w:after="0"/>
              <w:rPr>
                <w:sz w:val="17"/>
                <w:szCs w:val="17"/>
                <w:color w:val="auto"/>
              </w:rPr>
            </w:pP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compensation costs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Income tax benefits</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compensation (benefit) expense</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811</w:t>
            </w:r>
          </w:p>
        </w:tc>
      </w:tr>
      <w:tr>
        <w:trPr>
          <w:trHeight w:val="20"/>
        </w:trPr>
        <w:tc>
          <w:tcPr>
            <w:tcW w:w="9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NONCONTROLLING INTEREST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activities in our redeemable noncontrolling interest during the quarters ended December 31, 2014 and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Redeemable Noncontrolling</w:t>
            </w: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Interest</w:t>
            </w:r>
          </w:p>
        </w:tc>
      </w:tr>
      <w:tr>
        <w:trPr>
          <w:trHeight w:val="250"/>
        </w:trPr>
        <w:tc>
          <w:tcPr>
            <w:tcW w:w="9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center"/>
              <w:ind w:right="74"/>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55,393</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Net income attributable to redeemable noncontrolling interest</w:t>
            </w:r>
          </w:p>
        </w:tc>
        <w:tc>
          <w:tcPr>
            <w:tcW w:w="1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1,826</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 attributable to redeemable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w:t>
            </w:r>
          </w:p>
        </w:tc>
      </w:tr>
      <w:tr>
        <w:trPr>
          <w:trHeight w:val="297"/>
        </w:trPr>
        <w:tc>
          <w:tcPr>
            <w:tcW w:w="93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57,578</w:t>
            </w:r>
          </w:p>
        </w:tc>
      </w:tr>
      <w:tr>
        <w:trPr>
          <w:trHeight w:val="311"/>
        </w:trPr>
        <w:tc>
          <w:tcPr>
            <w:tcW w:w="9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Balance as of September 30, 2014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35,498</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redeemable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 attributable to redeemable noncontrolling interest</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(3,569)</w:t>
            </w:r>
          </w:p>
        </w:tc>
      </w:tr>
      <w:tr>
        <w:trPr>
          <w:trHeight w:val="27"/>
        </w:trPr>
        <w:tc>
          <w:tcPr>
            <w:tcW w:w="9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r>
      <w:tr>
        <w:trPr>
          <w:trHeight w:val="257"/>
        </w:trPr>
        <w:tc>
          <w:tcPr>
            <w:tcW w:w="9360" w:type="dxa"/>
            <w:vAlign w:val="bottom"/>
          </w:tcPr>
          <w:p>
            <w:pPr>
              <w:ind w:left="50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31,868</w:t>
            </w: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 expense is provided at the U.S. tax rate on financial statement earnings, adjusted for the difference between the U.S. tax rate and the rate of tax in effect for non-U.S. earnings deemed to be permanently reinvested in our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spacing w:after="0" w:line="13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current quarter’s effective tax provision rate from continuing operations is 31% of pre-tax income compared to 26% for the prior-year quarter. The effective tax rate for the quarter ended December 31, 2014 was higher primarily due to the elimination of the tax rate differential on discontinued foreign operations, a reduction of costs paid to offshore affiliates and lower non-U.S. undistributed earnings.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involved in various claims, suits, investigations and legal proceedings, including those described below. We are unable to determine the ultimate outcome of any current litigation or regulatory actions. An unfavorable outcome could have a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adverse effect on our financial condition, results of operations or liquidity. We have not recorded a liability for any of these matters as of December 31, 2014 because we do not believe at this time that any loss is probable or that the amount of any loss can be reasonably estimated.</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 (C.A. No. 9962-VCP)</w:t>
      </w:r>
      <w:r>
        <w:rPr>
          <w:rFonts w:ascii="Arial" w:cs="Arial" w:eastAsia="Arial" w:hAnsi="Arial"/>
          <w:sz w:val="18"/>
          <w:szCs w:val="18"/>
          <w:color w:val="auto"/>
        </w:rPr>
        <w:t>.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w:t>
      </w:r>
    </w:p>
    <w:p>
      <w:pPr>
        <w:spacing w:after="0" w:line="17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plaintiff seeks (a)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On October 13, 2014, motions to dismiss were filed on behalf of each defendant. The defendants filed their opening briefs in support of the motions to dismiss on November 12, 2014, and the plaintiff filed his response brief on January 9, 2015. The defendants' reply briefs are expected to be filed by early February 2015. On November 13, 2014, pursuant to the parties’ stipulation, the court dismissed the action as to Mr. Brinkley, Mr. Rothamel and Mr. Lagos.</w:t>
      </w:r>
    </w:p>
    <w:p>
      <w:pPr>
        <w:spacing w:after="0" w:line="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Federal securities litigation </w:t>
      </w:r>
      <w:r>
        <w:rPr>
          <w:rFonts w:ascii="Arial" w:cs="Arial" w:eastAsia="Arial" w:hAnsi="Arial"/>
          <w:sz w:val="17"/>
          <w:szCs w:val="17"/>
          <w:color w:val="auto"/>
        </w:rPr>
        <w:t>— On August 22, 2014, Jason Close, a purported holder of Class A Non-voting Common Stock, for himself and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similarly situated holders of Class A Non-voting Common Stock, filed a lawsuit in the United States District Court for the Southern District of New York styled </w:t>
      </w:r>
      <w:r>
        <w:rPr>
          <w:rFonts w:ascii="Arial" w:cs="Arial" w:eastAsia="Arial" w:hAnsi="Arial"/>
          <w:sz w:val="17"/>
          <w:szCs w:val="17"/>
          <w:i w:val="1"/>
          <w:iCs w:val="1"/>
          <w:color w:val="auto"/>
        </w:rPr>
        <w:t>Close v. EZCORP, Inc., et al. (</w:t>
      </w:r>
      <w:r>
        <w:rPr>
          <w:rFonts w:ascii="Arial" w:cs="Arial" w:eastAsia="Arial" w:hAnsi="Arial"/>
          <w:sz w:val="17"/>
          <w:szCs w:val="17"/>
          <w:color w:val="auto"/>
        </w:rPr>
        <w:t>Case No. 1:14-cv-06834-ALC). The complaint names as defendants EZCORP, Inc., Paul E. Rothamel (our former chief executive officer) and Mark Kuchenrither (our president and chief operating officer and current chief financial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6"/>
          <w:szCs w:val="16"/>
          <w:i w:val="1"/>
          <w:iCs w:val="1"/>
          <w:color w:val="auto"/>
        </w:rPr>
        <w:t>Automotive Machinists Pension Plan v. EZCORP, Inc., et al</w:t>
      </w:r>
      <w:r>
        <w:rPr>
          <w:rFonts w:ascii="Arial" w:cs="Arial" w:eastAsia="Arial" w:hAnsi="Arial"/>
          <w:sz w:val="16"/>
          <w:szCs w:val="16"/>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On October 21, 2014, the plaintiff in the </w:t>
      </w:r>
      <w:r>
        <w:rPr>
          <w:rFonts w:ascii="Arial" w:cs="Arial" w:eastAsia="Arial" w:hAnsi="Arial"/>
          <w:sz w:val="18"/>
          <w:szCs w:val="18"/>
          <w:i w:val="1"/>
          <w:iCs w:val="1"/>
          <w:color w:val="auto"/>
        </w:rPr>
        <w:t>Automotive Machinists Pension Plan</w:t>
      </w:r>
      <w:r>
        <w:rPr>
          <w:rFonts w:ascii="Arial" w:cs="Arial" w:eastAsia="Arial" w:hAnsi="Arial"/>
          <w:sz w:val="18"/>
          <w:szCs w:val="18"/>
          <w:color w:val="auto"/>
        </w:rPr>
        <w:t xml:space="preserve"> action filed a motion to consolidate the </w:t>
      </w:r>
      <w:r>
        <w:rPr>
          <w:rFonts w:ascii="Arial" w:cs="Arial" w:eastAsia="Arial" w:hAnsi="Arial"/>
          <w:sz w:val="18"/>
          <w:szCs w:val="18"/>
          <w:i w:val="1"/>
          <w:iCs w:val="1"/>
          <w:color w:val="auto"/>
        </w:rPr>
        <w:t>Close</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Automotive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Machinists Pension Plan </w:t>
      </w:r>
      <w:r>
        <w:rPr>
          <w:rFonts w:ascii="Arial" w:cs="Arial" w:eastAsia="Arial" w:hAnsi="Arial"/>
          <w:sz w:val="18"/>
          <w:szCs w:val="18"/>
          <w:color w:val="auto"/>
        </w:rPr>
        <w:t>action and to appoint the Automotive Machinists Pension Plan as the lead plaintiff. On November 18, 2014, the court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on January 26, 2015, appointed the lead plaintiff and lead counsel.</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consolidated case is at a very early procedural stage. We cannot predict the outcome of the litigation, but we intend to defend vigorously against all allegations and claims.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currently our Executive Chairman and a member of our Board of Directors). The SEC has also issued subpoenas to current and former members of our Board of Directors requesting production of similar documents. We have provided a number of documents in response to the subpoenas and are cooperating fully with the SEC in its investigation.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OPERATING SEGMENT INFORMATION</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Segment information is prepared on the same basis that our chief operating decision maker reviews financial information for operational decision-making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1" w:right="31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There are no inter-segment revenues, and the amounts below were determined in accordance with the same accounting principles used in our condensed consolidated financial statements. The following tables present operating segment information for the quarters ended December 31, 2014 and 2013, including reclassifications discussed in Note 1 and adjustments to reflect reclassification of all discontinued operations discussed in Note 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4"/>
              </w:rPr>
              <w:t>Three Months Ended December 31,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94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Latin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Canada</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America</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tcBorders>
              <w:bottom w:val="single" w:sz="8" w:color="auto"/>
            </w:tcBorders>
            <w:gridSpan w:val="3"/>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90,059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19,580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109,639</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109,639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57,035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64,927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64,927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52,232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Consumer loan sales and other revenues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206,803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252,644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252,644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59,031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13,357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72,388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72,388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150,330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150,330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103,656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103,656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30,834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4,184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37,212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37,212</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(16,777)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20,435</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ind w:right="57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4"/>
              </w:rPr>
              <w:t>Three Months Ended December 31, 2013</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94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Latin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Canada</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America</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tcBorders>
              <w:bottom w:val="single" w:sz="8" w:color="auto"/>
            </w:tcBorders>
            <w:gridSpan w:val="3"/>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88,890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16,697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105,587</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105,587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57,069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64,133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60,117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Consumer loan sales and other revenues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218,085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263,039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263,039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53,047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63,588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63,588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163,857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163,857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expenses (income):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104,955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104,955</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15,745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15,745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47,678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7,990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56,968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56,968</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37,847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ALLOWANCE FOR LOSSES AND CREDIT QUALITY OF CONSUMER LOANS</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reviewing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spacing w:after="0" w:line="1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w:t>
      </w:r>
    </w:p>
    <w:p>
      <w:pPr>
        <w:spacing w:after="0" w:line="13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consider consumer loans made at our storefronts to be in default if they have not been repaid or renewed by the maturity date. If one payment of a multiple-payment loan is delinquent, that one payment is considered in default. If more than one payment is delinquent at any time, the entire loan is considered in default. Although loans in default may be collected later, we charge the loan principal to consumer loan bad debt upon default, leaving only active loans in the reported balance. Accrued fees related to loans in default reduce fee revenue upon loan default, and increase fee revenue upon collection.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historical collection experience, the age of past-due loans and amounts we expect to receive through the sale of repossessed vehicles, we provide an allowance for losses on auto title loans.</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Grupo Finmart's consumer loans are considered in current status as long as the customer is employed and Grupo Finmart receives payments via payroll withholdings. Loans outstanding from customers no longer employed are considered current if payments are made by the due date. If one payment of a loan is delinquent, that one payment is considered in default. If two or more payments are delinquent at any time, the entire loan is considered in default. Although loans in default may be collected later, Grupo Finmart charges the loan principal to consumer loan bad debt upon default, leaving only active loans in the reported balance. Subsequent collections of principal are recorded as a reduction of consumer loan bad debt when collected. Accrued fees related to loans in default reduce fee revenue upon default, and increase fee revenue upon collection.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changes in the allowance for credit losses, as well as the recorded investment in our financing receivables by portfolio segment for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center"/>
              <w:ind w:right="63"/>
              <w:spacing w:after="0"/>
              <w:rPr>
                <w:sz w:val="20"/>
                <w:szCs w:val="20"/>
                <w:color w:val="auto"/>
              </w:rPr>
            </w:pPr>
            <w:r>
              <w:rPr>
                <w:rFonts w:ascii="Arial" w:cs="Arial" w:eastAsia="Arial" w:hAnsi="Arial"/>
                <w:sz w:val="14"/>
                <w:szCs w:val="14"/>
                <w:b w:val="1"/>
                <w:bCs w:val="1"/>
                <w:color w:val="auto"/>
                <w:w w:val="92"/>
              </w:rPr>
              <w:t>Allowance</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8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8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0"/>
              </w:rPr>
              <w:t>Beginning</w:t>
            </w:r>
          </w:p>
        </w:tc>
        <w:tc>
          <w:tcPr>
            <w:tcW w:w="280" w:type="dxa"/>
            <w:vAlign w:val="bottom"/>
          </w:tcPr>
          <w:p>
            <w:pPr>
              <w:spacing w:after="0"/>
              <w:rPr>
                <w:sz w:val="12"/>
                <w:szCs w:val="12"/>
                <w:color w:val="auto"/>
              </w:rPr>
            </w:pPr>
          </w:p>
        </w:tc>
        <w:tc>
          <w:tcPr>
            <w:tcW w:w="10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Charge-offs</w:t>
            </w:r>
          </w:p>
        </w:tc>
        <w:tc>
          <w:tcPr>
            <w:tcW w:w="220" w:type="dxa"/>
            <w:vAlign w:val="bottom"/>
          </w:tcPr>
          <w:p>
            <w:pPr>
              <w:spacing w:after="0"/>
              <w:rPr>
                <w:sz w:val="12"/>
                <w:szCs w:val="12"/>
                <w:color w:val="auto"/>
              </w:rPr>
            </w:pPr>
          </w:p>
        </w:tc>
        <w:tc>
          <w:tcPr>
            <w:tcW w:w="8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Recoveries</w:t>
            </w:r>
          </w:p>
        </w:tc>
        <w:tc>
          <w:tcPr>
            <w:tcW w:w="300" w:type="dxa"/>
            <w:vAlign w:val="bottom"/>
          </w:tcPr>
          <w:p>
            <w:pPr>
              <w:spacing w:after="0"/>
              <w:rPr>
                <w:sz w:val="12"/>
                <w:szCs w:val="12"/>
                <w:color w:val="auto"/>
              </w:rPr>
            </w:pPr>
          </w:p>
        </w:tc>
        <w:tc>
          <w:tcPr>
            <w:tcW w:w="7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0"/>
              </w:rPr>
              <w:t>Provision</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End of</w:t>
            </w:r>
          </w:p>
        </w:tc>
        <w:tc>
          <w:tcPr>
            <w:tcW w:w="22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2"/>
              </w:rPr>
              <w:t>of Period</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3"/>
              </w:rPr>
              <w:t>Adjustment</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w w:val="99"/>
              </w:rPr>
              <w:t>(in thousands)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short-term consumer loans:</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Three Months Ended December 31, 2014</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14,645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(9,051)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3,291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4,996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13,368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31,159</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Three Months Ended December 31, 2013</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2,928</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(12,202)</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4,195</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7,915</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2,848</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22,870</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Secured short-term consumer loans:</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Three Months Ended December 31, 2014</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1,049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7,866</w:t>
            </w: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Three Months Ended December 31, 2013</w:t>
            </w:r>
          </w:p>
        </w:tc>
        <w:tc>
          <w:tcPr>
            <w:tcW w:w="520" w:type="dxa"/>
            <w:vAlign w:val="bottom"/>
          </w:tcPr>
          <w:p>
            <w:pPr>
              <w:spacing w:after="0"/>
              <w:rPr>
                <w:sz w:val="20"/>
                <w:szCs w:val="20"/>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1,804</w:t>
            </w:r>
          </w:p>
        </w:tc>
        <w:tc>
          <w:tcPr>
            <w:tcW w:w="2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(16,686)</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15,182</w:t>
            </w:r>
          </w:p>
        </w:tc>
        <w:tc>
          <w:tcPr>
            <w:tcW w:w="3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2,032</w:t>
            </w:r>
          </w:p>
        </w:tc>
        <w:tc>
          <w:tcPr>
            <w:tcW w:w="22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2,332</w:t>
            </w:r>
          </w:p>
        </w:tc>
        <w:tc>
          <w:tcPr>
            <w:tcW w:w="2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11,386</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long-term consumer loans:</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Three Months Ended December 31, 2014</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7,177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(624)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7,534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81,840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Three Months Ended December 31, 2013</w:t>
            </w: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972</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1,391</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1,956</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116,437</w:t>
            </w:r>
          </w:p>
        </w:tc>
        <w:tc>
          <w:tcPr>
            <w:tcW w:w="0" w:type="dxa"/>
            <w:vAlign w:val="bottom"/>
          </w:tcPr>
          <w:p>
            <w:pPr>
              <w:spacing w:after="0"/>
              <w:rPr>
                <w:sz w:val="1"/>
                <w:szCs w:val="1"/>
                <w:color w:val="auto"/>
              </w:rPr>
            </w:pPr>
          </w:p>
        </w:tc>
      </w:tr>
      <w:tr>
        <w:trPr>
          <w:trHeight w:val="33"/>
        </w:trPr>
        <w:tc>
          <w:tcPr>
            <w:tcW w:w="33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in our condensed consolidated balance sheets.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Auto title loans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Consumer loans made by Grupo Finmart remain on the condensed consolidated balance sheets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No fees are accrued on any consumer loans made to customers that are no longer employed.</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November 29, 2013, Grupo Finmart acquired an unsecured long-term consumer loan portfolio, consisting of approximately 10,500 payroll withholding loans, for a total purchase price of approximately $15.9 million including contingent consideration of approximately $5.4 million. Of the total purchase price, approximately $10.5 million was paid at closing. Subject to the performance of the portfolio as stipulated in the purchase agreement approximately $1.6 million was paid on April 30, 2014 and $0.4 million was paid on November 28, 2014, totaling $2.0 million of contingent consideration. As of December 31, 2014, the remaining $3.4 million of contingent consideration not earned under the purchase agreement was reversed and offset by the acceleration of the amortization of the loan premium recorded at acquisition.</w:t>
      </w:r>
    </w:p>
    <w:p>
      <w:pPr>
        <w:spacing w:after="0" w:line="13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quarters ended December 31, 2014 and 2013, Grupo Finmart completed several sales of unsecured long-term consumer loan portfolios. The transfer of the property and title is irrevocable and all legal rights to this portfolio were assigned and transferred under standard warranties to a trust, which was set up in order to facilitate the management of the collection rights to the primary beneficiary, the purchaser. Grupo Finmart is not the primary beneficiary of the trusts because Grupo Finmart does not individually have the power to direct the most significant activities of the trusts and carries no obligation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absorb losses or receive benefits that could potentially be significant to the trusts. Consequently, we do not consolidate these trusts.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Grupo Finmart sales of unsecured long-term consumer loan portfolios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Book Value of</w:t>
            </w:r>
          </w:p>
        </w:tc>
        <w:tc>
          <w:tcPr>
            <w:tcW w:w="220" w:type="dxa"/>
            <w:vAlign w:val="bottom"/>
          </w:tcPr>
          <w:p>
            <w:pPr>
              <w:spacing w:after="0"/>
              <w:rPr>
                <w:sz w:val="14"/>
                <w:szCs w:val="14"/>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Book Value of</w:t>
            </w:r>
          </w:p>
        </w:tc>
        <w:tc>
          <w:tcPr>
            <w:tcW w:w="180" w:type="dxa"/>
            <w:vAlign w:val="bottom"/>
          </w:tcPr>
          <w:p>
            <w:pPr>
              <w:spacing w:after="0"/>
              <w:rPr>
                <w:sz w:val="14"/>
                <w:szCs w:val="14"/>
                <w:color w:val="auto"/>
              </w:rPr>
            </w:pPr>
          </w:p>
        </w:tc>
        <w:tc>
          <w:tcPr>
            <w:tcW w:w="114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Promissory Note</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Realized Gain on</w:t>
            </w:r>
          </w:p>
        </w:tc>
        <w:tc>
          <w:tcPr>
            <w:tcW w:w="240" w:type="dxa"/>
            <w:vAlign w:val="bottom"/>
          </w:tcPr>
          <w:p>
            <w:pPr>
              <w:spacing w:after="0"/>
              <w:rPr>
                <w:sz w:val="14"/>
                <w:szCs w:val="14"/>
                <w:color w:val="auto"/>
              </w:rPr>
            </w:pPr>
          </w:p>
        </w:tc>
        <w:tc>
          <w:tcPr>
            <w:tcW w:w="108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Accelerated</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Portfolio</w:t>
            </w:r>
          </w:p>
        </w:tc>
        <w:tc>
          <w:tcPr>
            <w:tcW w:w="4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Received</w:t>
            </w:r>
          </w:p>
        </w:tc>
        <w:tc>
          <w:tcPr>
            <w:tcW w:w="840" w:type="dxa"/>
            <w:vAlign w:val="bottom"/>
          </w:tcPr>
          <w:p>
            <w:pPr>
              <w:jc w:val="center"/>
              <w:ind w:left="424"/>
              <w:spacing w:after="0" w:line="149" w:lineRule="exact"/>
              <w:rPr>
                <w:sz w:val="20"/>
                <w:szCs w:val="20"/>
                <w:color w:val="auto"/>
              </w:rPr>
            </w:pPr>
            <w:r>
              <w:rPr>
                <w:rFonts w:ascii="Arial" w:cs="Arial" w:eastAsia="Arial" w:hAnsi="Arial"/>
                <w:sz w:val="14"/>
                <w:szCs w:val="14"/>
                <w:b w:val="1"/>
                <w:bCs w:val="1"/>
                <w:color w:val="auto"/>
                <w:w w:val="90"/>
              </w:rPr>
              <w:t>Sale</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Principal</w:t>
            </w: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Accrued Interest</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(4)</w:t>
            </w:r>
          </w:p>
        </w:tc>
        <w:tc>
          <w:tcPr>
            <w:tcW w:w="840" w:type="dxa"/>
            <w:vAlign w:val="bottom"/>
            <w:tcBorders>
              <w:bottom w:val="single" w:sz="8" w:color="auto"/>
            </w:tcBorders>
          </w:tcPr>
          <w:p>
            <w:pPr>
              <w:jc w:val="center"/>
              <w:ind w:left="424"/>
              <w:spacing w:after="0"/>
              <w:rPr>
                <w:sz w:val="20"/>
                <w:szCs w:val="20"/>
                <w:color w:val="auto"/>
              </w:rPr>
            </w:pPr>
            <w:r>
              <w:rPr>
                <w:rFonts w:ascii="Arial" w:cs="Arial" w:eastAsia="Arial" w:hAnsi="Arial"/>
                <w:sz w:val="14"/>
                <w:szCs w:val="14"/>
                <w:b w:val="1"/>
                <w:bCs w:val="1"/>
                <w:color w:val="auto"/>
              </w:rPr>
              <w:t>(1)</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20" w:type="dxa"/>
            <w:vAlign w:val="bottom"/>
            <w:gridSpan w:val="4"/>
          </w:tcPr>
          <w:p>
            <w:pPr>
              <w:jc w:val="right"/>
              <w:ind w:right="224"/>
              <w:spacing w:after="0"/>
              <w:rPr>
                <w:sz w:val="20"/>
                <w:szCs w:val="20"/>
                <w:color w:val="auto"/>
              </w:rPr>
            </w:pPr>
            <w:r>
              <w:rPr>
                <w:rFonts w:ascii="Arial" w:cs="Arial" w:eastAsia="Arial" w:hAnsi="Arial"/>
                <w:sz w:val="14"/>
                <w:szCs w:val="14"/>
                <w:i w:val="1"/>
                <w:iCs w:val="1"/>
                <w:color w:val="auto"/>
              </w:rPr>
              <w:t>(in millions, except number of loans)</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14,500 payroll loans sold October 21, 2013</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19.3</w:t>
            </w:r>
          </w:p>
        </w:tc>
        <w:tc>
          <w:tcPr>
            <w:tcW w:w="840" w:type="dxa"/>
            <w:vAlign w:val="bottom"/>
            <w:tcBorders>
              <w:bottom w:val="single" w:sz="8" w:color="CCEEFF"/>
            </w:tcBorders>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10,900 payroll loans sold December 19, 2014</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22.0</w:t>
            </w:r>
          </w:p>
        </w:tc>
        <w:tc>
          <w:tcPr>
            <w:tcW w:w="84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40" w:hanging="205"/>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realized gains on sale are included under "Consumer loan sales and other" in our condensed consolidated statements of operations in the period of sale.</w:t>
      </w:r>
    </w:p>
    <w:p>
      <w:pPr>
        <w:spacing w:after="0" w:line="41" w:lineRule="exact"/>
        <w:rPr>
          <w:rFonts w:ascii="Arial" w:cs="Arial" w:eastAsia="Arial" w:hAnsi="Arial"/>
          <w:sz w:val="14"/>
          <w:szCs w:val="14"/>
          <w:color w:val="auto"/>
        </w:rPr>
      </w:pPr>
    </w:p>
    <w:p>
      <w:pPr>
        <w:ind w:left="200" w:right="620" w:hanging="165"/>
        <w:spacing w:after="0" w:line="253" w:lineRule="auto"/>
        <w:tabs>
          <w:tab w:leader="none" w:pos="242"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a result of these portfolio sales, we accelerated the amortization of the sales commissions related to the loans sold, which are included under "Operations" expense in our condensed consolidated statements of operations in the period of sale.</w:t>
      </w:r>
    </w:p>
    <w:p>
      <w:pPr>
        <w:spacing w:after="0" w:line="11" w:lineRule="exact"/>
        <w:rPr>
          <w:rFonts w:ascii="Arial" w:cs="Arial" w:eastAsia="Arial" w:hAnsi="Arial"/>
          <w:sz w:val="14"/>
          <w:szCs w:val="14"/>
          <w:color w:val="auto"/>
        </w:rPr>
      </w:pPr>
    </w:p>
    <w:p>
      <w:pPr>
        <w:ind w:left="240" w:hanging="205"/>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Grupo Finmart was retained by the trust as the primary servicer at agreed upon market rates through the duration of the portfolio, an expected 48 months.</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Cash from promissory note was received in full in the period of sale.</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Grupo Finmart was retained by the trust as the primary servicer at agreed upon market rates through the duration of the portfolio, an expected 60 months.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aging analysis of past due financing receivables by portfolio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43"/>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3"/>
              <w:spacing w:after="0" w:line="135" w:lineRule="exact"/>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Current</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Fair Value</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Financing</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Allowance</w:t>
            </w:r>
          </w:p>
        </w:tc>
        <w:tc>
          <w:tcPr>
            <w:tcW w:w="140" w:type="dxa"/>
            <w:vAlign w:val="bottom"/>
          </w:tcPr>
          <w:p>
            <w:pPr>
              <w:spacing w:after="0"/>
              <w:rPr>
                <w:sz w:val="15"/>
                <w:szCs w:val="15"/>
                <w:color w:val="auto"/>
              </w:rPr>
            </w:pPr>
          </w:p>
        </w:tc>
        <w:tc>
          <w:tcPr>
            <w:tcW w:w="760" w:type="dxa"/>
            <w:vAlign w:val="bottom"/>
          </w:tcPr>
          <w:p>
            <w:pPr>
              <w:jc w:val="center"/>
              <w:ind w:right="63"/>
              <w:spacing w:after="0"/>
              <w:rPr>
                <w:sz w:val="20"/>
                <w:szCs w:val="20"/>
                <w:color w:val="auto"/>
              </w:rPr>
            </w:pPr>
            <w:r>
              <w:rPr>
                <w:rFonts w:ascii="Arial" w:cs="Arial" w:eastAsia="Arial" w:hAnsi="Arial"/>
                <w:sz w:val="13"/>
                <w:szCs w:val="13"/>
                <w:b w:val="1"/>
                <w:bCs w:val="1"/>
                <w:color w:val="auto"/>
                <w:w w:val="89"/>
              </w:rPr>
              <w:t>&gt; 90 Days</w:t>
            </w: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1-30</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31-60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61-90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&gt;90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Past Due</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Receivable</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9"/>
              </w:rPr>
              <w:t>Adjustment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5"/>
              </w:rPr>
              <w:t>Receivable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Accruing</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1"/>
              </w:rPr>
              <w:t>Unsecured short-term consumer loans*: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December 31, 2013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Secured short-term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December 31, 2014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3,686</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4,180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7,866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2013</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2014</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5"/>
              </w:rPr>
              <w:t>Unsecured long-term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December 31, 2014</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 Payroll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46,078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16,253</w:t>
            </w:r>
          </w:p>
        </w:tc>
        <w:tc>
          <w:tcPr>
            <w:tcW w:w="0" w:type="dxa"/>
            <w:vAlign w:val="bottom"/>
          </w:tcPr>
          <w:p>
            <w:pPr>
              <w:spacing w:after="0"/>
              <w:rPr>
                <w:sz w:val="1"/>
                <w:szCs w:val="1"/>
                <w:color w:val="auto"/>
              </w:rPr>
            </w:pPr>
          </w:p>
        </w:tc>
      </w:tr>
      <w:tr>
        <w:trPr>
          <w:trHeight w:val="237"/>
        </w:trPr>
        <w:tc>
          <w:tcPr>
            <w:tcW w:w="1720" w:type="dxa"/>
            <w:vAlign w:val="bottom"/>
          </w:tcPr>
          <w:p>
            <w:pPr>
              <w:ind w:left="280"/>
              <w:spacing w:after="0"/>
              <w:rPr>
                <w:sz w:val="20"/>
                <w:szCs w:val="20"/>
                <w:color w:val="auto"/>
              </w:rPr>
            </w:pPr>
            <w:r>
              <w:rPr>
                <w:rFonts w:ascii="Arial" w:cs="Arial" w:eastAsia="Arial" w:hAnsi="Arial"/>
                <w:sz w:val="16"/>
                <w:szCs w:val="16"/>
                <w:color w:val="auto"/>
              </w:rPr>
              <w:t>Out of payroll</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4,957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5,248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5,151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46,360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16,253</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December 31, 2013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 Payroll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39,873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72,793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115,333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31,966</w:t>
            </w:r>
          </w:p>
        </w:tc>
        <w:tc>
          <w:tcPr>
            <w:tcW w:w="0" w:type="dxa"/>
            <w:vAlign w:val="bottom"/>
          </w:tcPr>
          <w:p>
            <w:pPr>
              <w:spacing w:after="0"/>
              <w:rPr>
                <w:sz w:val="1"/>
                <w:szCs w:val="1"/>
                <w:color w:val="auto"/>
              </w:rPr>
            </w:pPr>
          </w:p>
        </w:tc>
      </w:tr>
      <w:tr>
        <w:trPr>
          <w:trHeight w:val="237"/>
        </w:trPr>
        <w:tc>
          <w:tcPr>
            <w:tcW w:w="1720" w:type="dxa"/>
            <w:vAlign w:val="bottom"/>
          </w:tcPr>
          <w:p>
            <w:pPr>
              <w:ind w:left="280"/>
              <w:spacing w:after="0"/>
              <w:rPr>
                <w:sz w:val="20"/>
                <w:szCs w:val="20"/>
                <w:color w:val="auto"/>
              </w:rPr>
            </w:pPr>
            <w:r>
              <w:rPr>
                <w:rFonts w:ascii="Arial" w:cs="Arial" w:eastAsia="Arial" w:hAnsi="Arial"/>
                <w:sz w:val="16"/>
                <w:szCs w:val="16"/>
                <w:color w:val="auto"/>
              </w:rPr>
              <w:t>Out of payroll</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40,892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73,386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116,437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31,966</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September 30, 2014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 Payroll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52,471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85,550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19,921</w:t>
            </w:r>
          </w:p>
        </w:tc>
        <w:tc>
          <w:tcPr>
            <w:tcW w:w="0" w:type="dxa"/>
            <w:vAlign w:val="bottom"/>
          </w:tcPr>
          <w:p>
            <w:pPr>
              <w:spacing w:after="0"/>
              <w:rPr>
                <w:sz w:val="1"/>
                <w:szCs w:val="1"/>
                <w:color w:val="auto"/>
              </w:rPr>
            </w:pPr>
          </w:p>
        </w:tc>
      </w:tr>
      <w:tr>
        <w:trPr>
          <w:trHeight w:val="237"/>
        </w:trPr>
        <w:tc>
          <w:tcPr>
            <w:tcW w:w="1720" w:type="dxa"/>
            <w:vAlign w:val="bottom"/>
          </w:tcPr>
          <w:p>
            <w:pPr>
              <w:ind w:left="280"/>
              <w:spacing w:after="0"/>
              <w:rPr>
                <w:sz w:val="20"/>
                <w:szCs w:val="20"/>
                <w:color w:val="auto"/>
              </w:rPr>
            </w:pPr>
            <w:r>
              <w:rPr>
                <w:rFonts w:ascii="Arial" w:cs="Arial" w:eastAsia="Arial" w:hAnsi="Arial"/>
                <w:sz w:val="16"/>
                <w:szCs w:val="16"/>
                <w:color w:val="auto"/>
              </w:rPr>
              <w:t>Out of payroll</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4,541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5,006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5,437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4,832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52,856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90,987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19,921</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 Unsecured short-term consumer loan amounts are included for the periods after the December 20, 2012 acquisition of Go Cash, and prior to our discontinuance of Go Cash operations as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of September 30, 2014. As a result of our discontinuance of Go Cash, we wrote our unsecured short-term consumer loans down to net realized value, or a nominal amount, as of September 30, 2014.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our assets and liabilities which are carried at fair value are classified in one of the following three categories: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 Other observable inputs other than quoted market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our financial assets (liabilities) that are measured at fair value on a recurring basis as of December 31, 2014 and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2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Foreign currency forwards — assets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Convertible notes hedges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Convertible notes embedded derivative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forwards —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financial assets (liabilities)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2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Marketable equity securities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Foreign currency forwards — assets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financial assets (liabilities)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Foreign currency forwards — assets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Convertible notes hedges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Convertible notes embedded derivative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forwards —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financial assets (liabilities)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244"/>
        </w:trPr>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(1,853)</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(1,853)</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1"/>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244"/>
        </w:trPr>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(16,120)</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(16,120)</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1"/>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244"/>
        </w:trPr>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7"/>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-4218940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-3875405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-3532505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-2469515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-2125980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-1062990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-719455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-376555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320" w:space="720"/>
            <w:col w:w="6380"/>
          </w:cols>
          <w:pgMar w:left="240" w:top="121" w:right="239" w:bottom="1440" w:gutter="0" w:footer="0" w:header="0"/>
          <w:type w:val="continuous"/>
        </w:sectPr>
      </w:pPr>
    </w:p>
    <w:p>
      <w:pPr>
        <w:ind w:right="80"/>
        <w:spacing w:after="0" w:line="264" w:lineRule="auto"/>
        <w:rPr>
          <w:sz w:val="20"/>
          <w:szCs w:val="20"/>
          <w:color w:val="auto"/>
        </w:rPr>
      </w:pPr>
      <w:r>
        <w:rPr>
          <w:rFonts w:ascii="Arial" w:cs="Arial" w:eastAsia="Arial" w:hAnsi="Arial"/>
          <w:sz w:val="18"/>
          <w:szCs w:val="18"/>
          <w:color w:val="auto"/>
        </w:rPr>
        <w:t>We measure the value of our marketable equity securities under a Level 1 input. These assets are publicly traded equity securities for which market prices are readily available. Marketable equity securities are recorded in the condensed consolidated balance sheets under "Other assets, net." We sold all marketable equity securities during fiscal 2014.</w:t>
      </w:r>
    </w:p>
    <w:p>
      <w:pPr>
        <w:spacing w:after="0" w:line="12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Grupo Finmart measures the value of the forward contracts under a Level 2 input. To measure the fair value of the forward contracts, Grupo Finmart used estimations of expected cash flows, appropriately risk-adjusted discount rates and available observable inputs (term of the forward, notional amount, discount rates based on local and foreign rate curves, and a credit value adjustment to consider the likelihood of nonperformance). Forward contracts are recorded in the condensed consolidated balance sheets under "Other assets, net" and "Deferred gains and other long-term liabilities."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fair value of the Convertible Notes Hedges and the </w:t>
      </w:r>
      <w:r>
        <w:rPr>
          <w:rFonts w:ascii="Arial" w:cs="Arial" w:eastAsia="Arial" w:hAnsi="Arial"/>
          <w:sz w:val="18"/>
          <w:szCs w:val="18"/>
          <w:color w:val="252525"/>
        </w:rPr>
        <w:t>Convertible Notes Embedded Derivative</w:t>
      </w:r>
      <w:r>
        <w:rPr>
          <w:rFonts w:ascii="Arial" w:cs="Arial" w:eastAsia="Arial" w:hAnsi="Arial"/>
          <w:sz w:val="18"/>
          <w:szCs w:val="18"/>
          <w:color w:val="auto"/>
        </w:rPr>
        <w:t xml:space="preserve"> are determined using an option pricing model based on observable Level 1 and Level 2 inputs such as implied volatility, risk free interest rate and other</w:t>
      </w:r>
    </w:p>
    <w:p>
      <w:pPr>
        <w:sectPr>
          <w:pgSz w:w="11900" w:h="16838" w:orient="portrait"/>
          <w:cols w:equalWidth="0" w:num="1">
            <w:col w:w="11420"/>
          </w:cols>
          <w:pgMar w:left="240" w:top="121"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factors. The Convertible Notes Hedges are recorded in the condensed consolidated balance sheets under "Other assets, net." The </w:t>
      </w:r>
      <w:r>
        <w:rPr>
          <w:rFonts w:ascii="Arial" w:cs="Arial" w:eastAsia="Arial" w:hAnsi="Arial"/>
          <w:sz w:val="18"/>
          <w:szCs w:val="18"/>
          <w:color w:val="252525"/>
        </w:rPr>
        <w:t>Convertible Notes Embedded</w:t>
      </w:r>
      <w:r>
        <w:rPr>
          <w:rFonts w:ascii="Arial" w:cs="Arial" w:eastAsia="Arial" w:hAnsi="Arial"/>
          <w:sz w:val="18"/>
          <w:szCs w:val="18"/>
          <w:color w:val="auto"/>
        </w:rPr>
        <w:t xml:space="preserve"> </w:t>
      </w:r>
      <w:r>
        <w:rPr>
          <w:rFonts w:ascii="Arial" w:cs="Arial" w:eastAsia="Arial" w:hAnsi="Arial"/>
          <w:sz w:val="18"/>
          <w:szCs w:val="18"/>
          <w:color w:val="252525"/>
        </w:rPr>
        <w:t xml:space="preserve">Derivative </w:t>
      </w:r>
      <w:r>
        <w:rPr>
          <w:rFonts w:ascii="Arial" w:cs="Arial" w:eastAsia="Arial" w:hAnsi="Arial"/>
          <w:sz w:val="18"/>
          <w:szCs w:val="18"/>
          <w:color w:val="000000"/>
        </w:rPr>
        <w:t>is recorded in the condensed consolidated balance sheets under "Long-term debt, less current maturities."</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used an income approach to measure the fair value of the contingent consideration using a probability-weighted discounted cash flow approach. The significant inputs used for the valuation are not observable in the market, and thus this fair value measurement represents a Level 3 measurement within the fair value hierarchy. Contingent consideration is recorded in the condensed consolidated balance sheets under "Other current liabilities" and "Deferred gains and other long-term liabilities." Significant increases or decreases in the underlying assumptions used to value the contingent consideration could significantly increases or decrease the fair value estimates recorded in the condensed consolidated balance sheets.</w:t>
      </w:r>
    </w:p>
    <w:p>
      <w:pPr>
        <w:spacing w:after="0" w:line="11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were no transfers in or out of Level 1 or Level 2 for financial assets or liabilities measured at fair value on a recurring basis during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 Temporary Equity and Liabilities Not Measured at Fair Value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financial assets, temporary equity and liabilities as of December 31, 2014 and 2013, and September 30, 2014, that are not measured at fair value in our condensed consolidated balance sheets,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Carrying Value</w:t>
            </w:r>
          </w:p>
        </w:tc>
        <w:tc>
          <w:tcPr>
            <w:tcW w:w="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4"/>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31, 2014</w:t>
            </w: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252"/>
        </w:trPr>
        <w:tc>
          <w:tcPr>
            <w:tcW w:w="4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77,599</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77,599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77,599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60,218</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150,930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150,930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150,930</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62,380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63,465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30,241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30,241</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28,355</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3,454</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36,449</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37,494</w:t>
            </w:r>
          </w:p>
        </w:tc>
      </w:tr>
      <w:tr>
        <w:trPr>
          <w:trHeight w:val="297"/>
        </w:trPr>
        <w:tc>
          <w:tcPr>
            <w:tcW w:w="4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449,626</w:t>
            </w:r>
          </w:p>
        </w:tc>
        <w:tc>
          <w:tcPr>
            <w:tcW w:w="4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451,756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141,271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310,485</w:t>
            </w:r>
          </w:p>
        </w:tc>
      </w:tr>
      <w:tr>
        <w:trPr>
          <w:trHeight w:val="311"/>
        </w:trPr>
        <w:tc>
          <w:tcPr>
            <w:tcW w:w="4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52,050</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52,050</w:t>
            </w:r>
          </w:p>
        </w:tc>
      </w:tr>
      <w:tr>
        <w:trPr>
          <w:trHeight w:val="324"/>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187,727</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185,461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185,461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Cash convertible senior notes due 2019 embedded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45,163</w:t>
            </w: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23,791</w:t>
            </w: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23,952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49,475</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18,727</w:t>
            </w: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18,787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23,935</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348,818</w:t>
            </w:r>
          </w:p>
        </w:tc>
        <w:tc>
          <w:tcPr>
            <w:tcW w:w="40" w:type="dxa"/>
            <w:vAlign w:val="bottom"/>
            <w:tcBorders>
              <w:top w:val="single" w:sz="8" w:color="auto"/>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346,924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346,924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70"/>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29</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Carrying Value</w:t>
            </w:r>
          </w:p>
        </w:tc>
        <w:tc>
          <w:tcPr>
            <w:tcW w:w="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4"/>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31, 2013</w:t>
            </w: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252"/>
        </w:trPr>
        <w:tc>
          <w:tcPr>
            <w:tcW w:w="10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38,486</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38,486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38,486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153,421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153,421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153,421</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90,377</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30,842</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30,842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30,842</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40,181</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40,181</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2,742</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60,750</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69,309</w:t>
            </w:r>
          </w:p>
        </w:tc>
      </w:tr>
      <w:tr>
        <w:trPr>
          <w:trHeight w:val="297"/>
        </w:trPr>
        <w:tc>
          <w:tcPr>
            <w:tcW w:w="4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413,248</w:t>
            </w:r>
          </w:p>
        </w:tc>
        <w:tc>
          <w:tcPr>
            <w:tcW w:w="4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429,377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45,247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384,130</w:t>
            </w:r>
          </w:p>
        </w:tc>
      </w:tr>
      <w:tr>
        <w:trPr>
          <w:trHeight w:val="311"/>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57,578</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55,557</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55,557</w:t>
            </w:r>
          </w:p>
        </w:tc>
      </w:tr>
      <w:tr>
        <w:trPr>
          <w:trHeight w:val="324"/>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Domestic line of credit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146,500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146,500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146,500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32,838</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Consumer loans facility due 2017</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32,147</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32,225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36,381</w:t>
            </w:r>
          </w:p>
        </w:tc>
        <w:tc>
          <w:tcPr>
            <w:tcW w:w="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4,160</w:t>
            </w:r>
          </w:p>
        </w:tc>
        <w:tc>
          <w:tcPr>
            <w:tcW w:w="380" w:type="dxa"/>
            <w:vAlign w:val="bottom"/>
            <w:gridSpan w:val="2"/>
          </w:tcPr>
          <w:p>
            <w:pPr>
              <w:jc w:val="center"/>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252,026</w:t>
            </w: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253,200</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48,748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204,452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30</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9"/>
              </w:rPr>
              <w:t>Carrying Value</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4"/>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2014</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252"/>
        </w:trPr>
        <w:tc>
          <w:tcPr>
            <w:tcW w:w="10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56,329</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56,329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56,329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62,406</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162,444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162,444</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67,594</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68,699</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31,044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31,044</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30,653</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30,653</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4,257</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40,442</w:t>
            </w: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41,472</w:t>
            </w:r>
          </w:p>
        </w:tc>
      </w:tr>
      <w:tr>
        <w:trPr>
          <w:trHeight w:val="297"/>
        </w:trPr>
        <w:tc>
          <w:tcPr>
            <w:tcW w:w="4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455,169</w:t>
            </w:r>
          </w:p>
        </w:tc>
        <w:tc>
          <w:tcPr>
            <w:tcW w:w="34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457,304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122,992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334,312</w:t>
            </w:r>
          </w:p>
        </w:tc>
      </w:tr>
      <w:tr>
        <w:trPr>
          <w:trHeight w:val="311"/>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35,498</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55,680</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55,680</w:t>
            </w:r>
          </w:p>
        </w:tc>
      </w:tr>
      <w:tr>
        <w:trPr>
          <w:trHeight w:val="324"/>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185,693</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185,738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185,738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6"/>
              </w:rPr>
              <w:t>Cash convertible senior notes due 2019 embedded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36,994</w:t>
            </w:r>
          </w:p>
        </w:tc>
        <w:tc>
          <w:tcPr>
            <w:tcW w:w="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27,185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27,185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54,045</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36,991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36,837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36,837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367,103</w:t>
            </w:r>
          </w:p>
        </w:tc>
        <w:tc>
          <w:tcPr>
            <w:tcW w:w="3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394,419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340,241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under "Current maturities of long-term debt" and "Long-term debt, less current maturities" in our condensed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and restricted cash bear interest at market rates and have maturities of less than 90 days.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maximum U.S. pawn loan term ranges between 30 and 120 days, consisting of the primary term and grace period. The maximum Mexico pawn loan term is 30 days, consisting of the primary term and grace period. Significant increases or decreases in the underlying assumptions used to value the pawn loans could significantly increase or decrease the fair value estimates disclosed above.</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Consumer loans, including long-term unsecured consumer loans made by Grupo Finmart, are carried in the condensed consolidated balance sheets net of the allowance for estimated loan losses, which is based on recent loan default experience adjusted for seasonal variations. Consumer loans, other than those made by Grupo Finmart, have relatively short maturity periods that are generally 12 months; therefore, we estimate that their carrying value approximates fair value. Consumer loans made by Grupo Finmart have an average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Significant increases or decreases in the underlying assumptions used to value the consumer loans could significantly increase or decrease the fair value estimates disclosed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record pawn service charges receivable using the interest method for all pawn loans we believe to be collectible. We base our estimate of collectible loans on several unobservable inputs, including recent redemption rates, historical trends in redemption rates and the amount of loans due in the following two months. Significant increases or decreases in the underlying assumptions used to value the pawn service charges receivable could significantly increase or decrease the fair value estimates disclosed above.</w:t>
      </w:r>
    </w:p>
    <w:p>
      <w:pPr>
        <w:spacing w:after="0" w:line="13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Consumer loan fees and interest receivable are carried in the condensed consolidated balance sheets net of the allowance for uncollectible consumer loan fees and interest receivable, which is based on recent loan default experience adjusted for seasonal variations and collection percentages. Based on the short-term nature of these assets we estimate that their carrying value approximates fair value. Significant increases or decreases in the underlying assumptions used to value the consumer loan fees and interest receivable could significantly increase or decrease the fair value estimates disclosed above.</w:t>
      </w:r>
    </w:p>
    <w:p>
      <w:pPr>
        <w:spacing w:after="0" w:line="10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fair value of the redeemable noncontrolling interest was estimated by applying an income approach. This fair value measurement is based on significant inputs that are not observable in the market and thus represents a Level 3 measurement. Key assumptions include discount rates ranging from 5% to 10%, representing discounts for lack of control and lack of marketability that market participants would consider when estimating the fair value of the noncontrolling interest. Significant increases or decreases in the underlying assumptions used to value the redeemable noncontrolling interest could significantly increase or decrease the fair value estimates disclosed above.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measure the fair value of our financial liabilities using an income approach. The total carrying value of the 2.125% cash convertible senior notes due 2019 and the embedded derivative </w:t>
      </w:r>
      <w:r>
        <w:rPr>
          <w:rFonts w:ascii="Arial" w:cs="Arial" w:eastAsia="Arial" w:hAnsi="Arial"/>
          <w:sz w:val="18"/>
          <w:szCs w:val="18"/>
          <w:color w:val="252525"/>
        </w:rPr>
        <w:t>as of December 31, 2014 is accreting to the $230.0 million redemption value using a discount rate of approximately 7%,</w:t>
      </w:r>
      <w:r>
        <w:rPr>
          <w:rFonts w:ascii="Arial" w:cs="Arial" w:eastAsia="Arial" w:hAnsi="Arial"/>
          <w:sz w:val="18"/>
          <w:szCs w:val="18"/>
          <w:color w:val="auto"/>
        </w:rPr>
        <w:t xml:space="preserve"> which approximated the Company’s incremental borrowing rate for a similar debt instrument (without the cash conversion feature) as of the date of issuance and thus represents a Level 2 measurement.</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Fair value measurements for our domestic line of credit were calculated using discount rates based on an estimated senior secured spread plus term matched risk-free rates as of the valuation dates.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utilize credit quality-related zero rate curves, quoted price and yield inputs for Mexican Pesos built by a price vendor authorized by the Comisión Nacional Bancaria y de Valores to determine the fair value measurements of the remaining financial liabilities that are classified as Level 2. For financial liability fair value measurements that are classified as Level 1, we utilize quoted price and yield inputs from Bloomberg and a price vendor authorized by the Comisión Nacional Bancaria y de Valores.</w:t>
      </w:r>
    </w:p>
    <w:p>
      <w:pPr>
        <w:spacing w:after="0" w:line="133" w:lineRule="exact"/>
        <w:rPr>
          <w:sz w:val="20"/>
          <w:szCs w:val="20"/>
          <w:color w:val="auto"/>
        </w:rPr>
      </w:pPr>
    </w:p>
    <w:p>
      <w:pPr>
        <w:ind w:right="4940"/>
        <w:spacing w:after="0" w:line="438" w:lineRule="auto"/>
        <w:rPr>
          <w:sz w:val="20"/>
          <w:szCs w:val="20"/>
          <w:color w:val="auto"/>
        </w:rPr>
      </w:pPr>
      <w:r>
        <w:rPr>
          <w:rFonts w:ascii="Arial" w:cs="Arial" w:eastAsia="Arial" w:hAnsi="Arial"/>
          <w:sz w:val="18"/>
          <w:szCs w:val="18"/>
          <w:color w:val="auto"/>
        </w:rPr>
        <w:t xml:space="preserve">See Note 4 for discussion of the fair value of our investments in unconsolidated affiliates. </w:t>
      </w:r>
      <w:r>
        <w:rPr>
          <w:rFonts w:ascii="Arial" w:cs="Arial" w:eastAsia="Arial" w:hAnsi="Arial"/>
          <w:sz w:val="18"/>
          <w:szCs w:val="18"/>
          <w:b w:val="1"/>
          <w:bCs w:val="1"/>
          <w:color w:val="auto"/>
        </w:rPr>
        <w:t xml:space="preserve">NOTE 14: DERIVATIVE INSTRUMENTS AND HEDGING ACTIVITIES </w:t>
      </w:r>
      <w:r>
        <w:rPr>
          <w:rFonts w:ascii="Arial" w:cs="Arial" w:eastAsia="Arial" w:hAnsi="Arial"/>
          <w:sz w:val="18"/>
          <w:szCs w:val="18"/>
          <w:u w:val="single" w:color="auto"/>
          <w:color w:val="auto"/>
        </w:rPr>
        <w:t>Derivative Instruments Discontinued as Cash Flow Hedging Instruments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quarter ended June 30, 2013, Grupo Finmart completed a $30.0 million cross-border debt offering for which it has to pay interest on a semiannual basis at a fixed rate. Grupo Finmart uses derivative instruments (the "foreign currency forwards") to manage its exposure related to changes in the foreign currency exchange rate on this instrument through its maturity on November 16, 2015. Grupo Finmart does not enter into derivative instruments for any purpose other than cash flow hedging.</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beginning of the quarter ended December 31, 2014, we discontinued hedge accounting for our foreign currency forwards due to a determination that repayment of the $30.0 million cross-border debt was to occur prior to maturity. As such, not all of the forecasted interest payments are expected to occur, resulting in the discontinuance of hedge accounting. Further, Grupo Finmart repaid $17.5 million of the outstanding cross-border debt and received proceeds of $2.3 million from settlement of the portion of the foreign currency forwards attributable to the repaid cross-border debt during the quarter ended December 31, 2014.</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Whenever hedge accounting is discontinued and the derivative remains outstanding, we continue to carry the derivative at its fair value on our condensed consolidated balance sheets and recognize any gains and losses currently in accumulated other comprehensive income attributable to any repaid portion of the hedged item in addition to any subsequent changes in the fair value of the derivative under "Other expense (income)" in our condensed consolidated statements of operations. We amortize the gains and losses currently in accumulated other comprehensive income attributable to any remaining outstanding portion of the hedged item to earnings under "Other expense (income)" in our condensed consolidated statements of operations over the remaining term of the outstanding hedged item.</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Prior to the discontinuance of hedge accounting, changes in the fair value of the foreign currency forwards designated as hedging instruments that effectively offset the variability of cash flows associated with the exchange rate were reported in accumulated other comprehensive income. These amounts subsequently were reclassified into earnings in the same period or periods during which the hedged transaction affected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discontinued as cash flow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center"/>
              <w:ind w:left="425"/>
              <w:spacing w:after="0"/>
              <w:rPr>
                <w:sz w:val="20"/>
                <w:szCs w:val="20"/>
                <w:color w:val="auto"/>
              </w:rPr>
            </w:pPr>
            <w:r>
              <w:rPr>
                <w:rFonts w:ascii="Arial" w:cs="Arial" w:eastAsia="Arial" w:hAnsi="Arial"/>
                <w:sz w:val="14"/>
                <w:szCs w:val="14"/>
                <w:b w:val="1"/>
                <w:bCs w:val="1"/>
                <w:color w:val="auto"/>
                <w:w w:val="95"/>
              </w:rPr>
              <w:t>Fair Value of Derivative Instruments</w:t>
            </w:r>
          </w:p>
        </w:tc>
        <w:tc>
          <w:tcPr>
            <w:tcW w:w="680" w:type="dxa"/>
            <w:vAlign w:val="bottom"/>
            <w:tcBorders>
              <w:bottom w:val="single" w:sz="8" w:color="auto"/>
            </w:tcBorders>
          </w:tcPr>
          <w:p>
            <w:pPr>
              <w:spacing w:after="0"/>
              <w:rPr>
                <w:sz w:val="16"/>
                <w:szCs w:val="16"/>
                <w:color w:val="auto"/>
              </w:rPr>
            </w:pPr>
          </w:p>
        </w:tc>
      </w:tr>
      <w:tr>
        <w:trPr>
          <w:trHeight w:val="264"/>
        </w:trPr>
        <w:tc>
          <w:tcPr>
            <w:tcW w:w="3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tcBorders>
              <w:bottom w:val="single" w:sz="8" w:color="auto"/>
            </w:tcBorders>
            <w:gridSpan w:val="4"/>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142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14"/>
                <w:szCs w:val="14"/>
                <w:b w:val="1"/>
                <w:bCs w:val="1"/>
                <w:color w:val="auto"/>
                <w:w w:val="91"/>
              </w:rPr>
              <w:t>December 31, 2013</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September 30, 2014</w:t>
            </w: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20" w:type="dxa"/>
            <w:vAlign w:val="bottom"/>
            <w:gridSpan w:val="2"/>
          </w:tcPr>
          <w:p>
            <w:pPr>
              <w:jc w:val="center"/>
              <w:ind w:left="61"/>
              <w:spacing w:after="0"/>
              <w:rPr>
                <w:sz w:val="20"/>
                <w:szCs w:val="20"/>
                <w:color w:val="auto"/>
              </w:rPr>
            </w:pPr>
            <w:r>
              <w:rPr>
                <w:rFonts w:ascii="Arial" w:cs="Arial" w:eastAsia="Arial" w:hAnsi="Arial"/>
                <w:sz w:val="14"/>
                <w:szCs w:val="14"/>
                <w:i w:val="1"/>
                <w:iCs w:val="1"/>
                <w:color w:val="auto"/>
                <w:w w:val="94"/>
              </w:rPr>
              <w:t>(in thousands)</w:t>
            </w: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35"/>
        </w:trPr>
        <w:tc>
          <w:tcPr>
            <w:tcW w:w="2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89"/>
              </w:rPr>
              <w:t>Receivables, prepaid expenses and other current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 — assets</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8"/>
                <w:szCs w:val="18"/>
                <w:color w:val="auto"/>
              </w:rPr>
              <w:t>2,173</w:t>
            </w:r>
          </w:p>
        </w:tc>
        <w:tc>
          <w:tcPr>
            <w:tcW w:w="4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1,952</w:t>
            </w:r>
          </w:p>
        </w:tc>
        <w:tc>
          <w:tcPr>
            <w:tcW w:w="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r>
      <w:tr>
        <w:trPr>
          <w:trHeight w:val="28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50"/>
              <w:spacing w:after="0"/>
              <w:rPr>
                <w:sz w:val="20"/>
                <w:szCs w:val="20"/>
                <w:color w:val="auto"/>
              </w:rPr>
            </w:pPr>
            <w:r>
              <w:rPr>
                <w:rFonts w:ascii="Arial" w:cs="Arial" w:eastAsia="Arial" w:hAnsi="Arial"/>
                <w:sz w:val="14"/>
                <w:szCs w:val="14"/>
                <w:b w:val="1"/>
                <w:bCs w:val="1"/>
                <w:color w:val="auto"/>
                <w:w w:val="92"/>
              </w:rPr>
              <w:t>Amount of Loss Recognized in Other Comprehensive Income on</w:t>
            </w:r>
          </w:p>
        </w:tc>
      </w:t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70"/>
              <w:spacing w:after="0"/>
              <w:rPr>
                <w:sz w:val="20"/>
                <w:szCs w:val="20"/>
                <w:color w:val="auto"/>
              </w:rPr>
            </w:pPr>
            <w:r>
              <w:rPr>
                <w:rFonts w:ascii="Arial" w:cs="Arial" w:eastAsia="Arial" w:hAnsi="Arial"/>
                <w:sz w:val="14"/>
                <w:szCs w:val="14"/>
                <w:b w:val="1"/>
                <w:bCs w:val="1"/>
                <w:color w:val="auto"/>
                <w:w w:val="93"/>
              </w:rPr>
              <w:t>Derivatives</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50"/>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center"/>
              <w:ind w:right="124"/>
              <w:spacing w:after="0"/>
              <w:rPr>
                <w:sz w:val="20"/>
                <w:szCs w:val="20"/>
                <w:color w:val="auto"/>
              </w:rPr>
            </w:pPr>
            <w:r>
              <w:rPr>
                <w:rFonts w:ascii="Arial" w:cs="Arial" w:eastAsia="Arial" w:hAnsi="Arial"/>
                <w:sz w:val="14"/>
                <w:szCs w:val="14"/>
                <w:b w:val="1"/>
                <w:bCs w:val="1"/>
                <w:color w:val="auto"/>
                <w:w w:val="93"/>
              </w:rPr>
              <w:t>Three Months Ended December 31,</w:t>
            </w:r>
          </w:p>
        </w:tc>
        <w:tc>
          <w:tcPr>
            <w:tcW w:w="680" w:type="dxa"/>
            <w:vAlign w:val="bottom"/>
            <w:tcBorders>
              <w:bottom w:val="single" w:sz="8" w:color="auto"/>
            </w:tcBorders>
          </w:tcPr>
          <w:p>
            <w:pPr>
              <w:spacing w:after="0"/>
              <w:rPr>
                <w:sz w:val="21"/>
                <w:szCs w:val="21"/>
                <w:color w:val="auto"/>
              </w:rPr>
            </w:pPr>
          </w:p>
        </w:tc>
      </w:tr>
      <w:tr>
        <w:trPr>
          <w:trHeight w:val="264"/>
        </w:trPr>
        <w:tc>
          <w:tcPr>
            <w:tcW w:w="3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r>
      <w:tr>
        <w:trPr>
          <w:trHeight w:val="264"/>
        </w:trPr>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20" w:type="dxa"/>
            <w:vAlign w:val="bottom"/>
            <w:gridSpan w:val="2"/>
          </w:tcPr>
          <w:p>
            <w:pPr>
              <w:jc w:val="center"/>
              <w:ind w:right="450"/>
              <w:spacing w:after="0"/>
              <w:rPr>
                <w:sz w:val="20"/>
                <w:szCs w:val="20"/>
                <w:color w:val="auto"/>
              </w:rPr>
            </w:pPr>
            <w:r>
              <w:rPr>
                <w:rFonts w:ascii="Arial" w:cs="Arial" w:eastAsia="Arial" w:hAnsi="Arial"/>
                <w:sz w:val="14"/>
                <w:szCs w:val="14"/>
                <w:i w:val="1"/>
                <w:iCs w:val="1"/>
                <w:color w:val="auto"/>
                <w:w w:val="94"/>
              </w:rPr>
              <w:t>(in thousands)</w:t>
            </w: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56"/>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38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center"/>
              <w:ind w:right="6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8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gridSpan w:val="7"/>
          </w:tcPr>
          <w:p>
            <w:pPr>
              <w:jc w:val="center"/>
              <w:ind w:right="210"/>
              <w:spacing w:after="0"/>
              <w:rPr>
                <w:sz w:val="20"/>
                <w:szCs w:val="20"/>
                <w:color w:val="auto"/>
              </w:rPr>
            </w:pPr>
            <w:r>
              <w:rPr>
                <w:rFonts w:ascii="Arial" w:cs="Arial" w:eastAsia="Arial" w:hAnsi="Arial"/>
                <w:sz w:val="14"/>
                <w:szCs w:val="14"/>
                <w:b w:val="1"/>
                <w:bCs w:val="1"/>
                <w:color w:val="auto"/>
                <w:w w:val="91"/>
              </w:rPr>
              <w:t>Amount of Loss on Derivatives Reclassified into Income from</w:t>
            </w:r>
          </w:p>
        </w:tc>
      </w:t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Accumulated Other Comprehensive Income</w:t>
            </w:r>
          </w:p>
        </w:tc>
        <w:tc>
          <w:tcPr>
            <w:tcW w:w="680" w:type="dxa"/>
            <w:vAlign w:val="bottom"/>
            <w:tcBorders>
              <w:bottom w:val="single" w:sz="8" w:color="auto"/>
            </w:tcBorders>
          </w:tcPr>
          <w:p>
            <w:pPr>
              <w:spacing w:after="0"/>
              <w:rPr>
                <w:sz w:val="16"/>
                <w:szCs w:val="16"/>
                <w:color w:val="auto"/>
              </w:rPr>
            </w:pPr>
          </w:p>
        </w:tc>
      </w:tr>
      <w:tr>
        <w:trPr>
          <w:trHeight w:val="250"/>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Three Months Ended December 31,</w:t>
            </w:r>
          </w:p>
        </w:tc>
        <w:tc>
          <w:tcPr>
            <w:tcW w:w="680" w:type="dxa"/>
            <w:vAlign w:val="bottom"/>
            <w:tcBorders>
              <w:bottom w:val="single" w:sz="8" w:color="auto"/>
            </w:tcBorders>
          </w:tcPr>
          <w:p>
            <w:pPr>
              <w:spacing w:after="0"/>
              <w:rPr>
                <w:sz w:val="21"/>
                <w:szCs w:val="2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540" w:type="dxa"/>
            <w:vAlign w:val="bottom"/>
            <w:gridSpan w:val="4"/>
          </w:tcPr>
          <w:p>
            <w:pPr>
              <w:ind w:left="960"/>
              <w:spacing w:after="0"/>
              <w:rPr>
                <w:sz w:val="20"/>
                <w:szCs w:val="20"/>
                <w:color w:val="auto"/>
              </w:rPr>
            </w:pPr>
            <w:r>
              <w:rPr>
                <w:rFonts w:ascii="Arial" w:cs="Arial" w:eastAsia="Arial" w:hAnsi="Arial"/>
                <w:sz w:val="14"/>
                <w:szCs w:val="14"/>
                <w:b w:val="1"/>
                <w:bCs w:val="1"/>
                <w:color w:val="auto"/>
              </w:rPr>
              <w:t>Location of Gain</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65"/>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Arial" w:cs="Arial" w:eastAsia="Arial" w:hAnsi="Arial"/>
                <w:sz w:val="14"/>
                <w:szCs w:val="14"/>
                <w:b w:val="1"/>
                <w:bCs w:val="1"/>
                <w:color w:val="auto"/>
              </w:rPr>
              <w:t>2013</w:t>
            </w:r>
          </w:p>
        </w:tc>
        <w:tc>
          <w:tcPr>
            <w:tcW w:w="680" w:type="dxa"/>
            <w:vAlign w:val="bottom"/>
          </w:tcPr>
          <w:p>
            <w:pPr>
              <w:spacing w:after="0"/>
              <w:rPr>
                <w:sz w:val="22"/>
                <w:szCs w:val="22"/>
                <w:color w:val="auto"/>
              </w:rPr>
            </w:pPr>
          </w:p>
        </w:tc>
      </w:tr>
      <w:tr>
        <w:trPr>
          <w:trHeight w:val="264"/>
        </w:trPr>
        <w:tc>
          <w:tcPr>
            <w:tcW w:w="2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2"/>
          </w:tcPr>
          <w:p>
            <w:pPr>
              <w:jc w:val="center"/>
              <w:ind w:right="210"/>
              <w:spacing w:after="0"/>
              <w:rPr>
                <w:sz w:val="20"/>
                <w:szCs w:val="20"/>
                <w:color w:val="auto"/>
              </w:rPr>
            </w:pPr>
            <w:r>
              <w:rPr>
                <w:rFonts w:ascii="Arial" w:cs="Arial" w:eastAsia="Arial" w:hAnsi="Arial"/>
                <w:sz w:val="14"/>
                <w:szCs w:val="14"/>
                <w:i w:val="1"/>
                <w:iCs w:val="1"/>
                <w:color w:val="auto"/>
                <w:w w:val="94"/>
              </w:rPr>
              <w:t>(in thousands)</w:t>
            </w:r>
          </w:p>
        </w:tc>
        <w:tc>
          <w:tcPr>
            <w:tcW w:w="6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49"/>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4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9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 Not Designated as Hedging Instruments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As described in Note 6, in June 2014 we </w:t>
      </w:r>
      <w:r>
        <w:rPr>
          <w:rFonts w:ascii="Arial" w:cs="Arial" w:eastAsia="Arial" w:hAnsi="Arial"/>
          <w:sz w:val="16"/>
          <w:szCs w:val="16"/>
          <w:color w:val="252525"/>
        </w:rPr>
        <w:t>issued and settled $200.0 million aggregate principal amount of</w:t>
      </w:r>
      <w:r>
        <w:rPr>
          <w:rFonts w:ascii="Arial" w:cs="Arial" w:eastAsia="Arial" w:hAnsi="Arial"/>
          <w:sz w:val="16"/>
          <w:szCs w:val="16"/>
          <w:color w:val="auto"/>
        </w:rPr>
        <w:t xml:space="preserve"> Convertible Notes. We granted the initial purchasers the option to purchase up to an additional $30.0 million aggregate principal amount of Convertible Notes. On June 27, 2014, such option was exercised in full. On July 2, 2014, the purchase of the additional $30.0 million of Convertible Notes was settled. The conversion feature of the Convertible Notes can only be settled in cash and is required to be bifurcated from the Convertible Notes and treated as a separate derivative instrument. In order to offset the cash flow risk associated with the </w:t>
      </w:r>
      <w:r>
        <w:rPr>
          <w:rFonts w:ascii="Arial" w:cs="Arial" w:eastAsia="Arial" w:hAnsi="Arial"/>
          <w:sz w:val="16"/>
          <w:szCs w:val="16"/>
          <w:color w:val="252525"/>
        </w:rPr>
        <w:t>Convertible Notes Embedded Derivative</w:t>
      </w:r>
      <w:r>
        <w:rPr>
          <w:rFonts w:ascii="Arial" w:cs="Arial" w:eastAsia="Arial" w:hAnsi="Arial"/>
          <w:sz w:val="16"/>
          <w:szCs w:val="16"/>
          <w:color w:val="auto"/>
        </w:rPr>
        <w:t xml:space="preserve">, we purchased Convertible Notes Hedges, which are accounted for as derivative instruments. The Convertible Notes Embedded Derivative and the Convertible Notes Hedges are adjusted to fair value each reporting period and unrealized gains and losses are reflected in the condensed consolidated statements of operations. We expect that the realized gain or loss from the Convertible Notes Hedges will substantially offset the realized loss or gain of the </w:t>
      </w:r>
      <w:r>
        <w:rPr>
          <w:rFonts w:ascii="Arial" w:cs="Arial" w:eastAsia="Arial" w:hAnsi="Arial"/>
          <w:sz w:val="16"/>
          <w:szCs w:val="16"/>
          <w:color w:val="252525"/>
        </w:rPr>
        <w:t>Convertible Notes Embedded Derivative</w:t>
      </w:r>
      <w:r>
        <w:rPr>
          <w:rFonts w:ascii="Arial" w:cs="Arial" w:eastAsia="Arial" w:hAnsi="Arial"/>
          <w:sz w:val="16"/>
          <w:szCs w:val="16"/>
          <w:color w:val="auto"/>
        </w:rPr>
        <w:t xml:space="preserve"> upon maturity of the Convertible Notes. See Note 13 for additional information regarding the fair values of the </w:t>
      </w:r>
      <w:r>
        <w:rPr>
          <w:rFonts w:ascii="Arial" w:cs="Arial" w:eastAsia="Arial" w:hAnsi="Arial"/>
          <w:sz w:val="16"/>
          <w:szCs w:val="16"/>
          <w:color w:val="252525"/>
        </w:rPr>
        <w:t>Convertible Notes Embedded Derivative</w:t>
      </w:r>
      <w:r>
        <w:rPr>
          <w:rFonts w:ascii="Arial" w:cs="Arial" w:eastAsia="Arial" w:hAnsi="Arial"/>
          <w:sz w:val="16"/>
          <w:szCs w:val="16"/>
          <w:color w:val="auto"/>
        </w:rPr>
        <w:t xml:space="preserve"> and the Convertible Notes Hedges.</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quarter ended December 31, 2014 and the fiscal year ended September 30, 2014, Grupo Finmart entered into cross-currency forwards as part of the sale of certain long-term consumer loans made on March 31, June 30 and September 30, 2014. As part of that loan sale, Grupo Finmart also entered into agreements that transferred the rights and obligations of the cross-currency forwards to the trust. These agreements collectively met the definition of a foreign currency derivative which is accounted for separately. The cross-currency forward and the derivative with the trust are adjusted to fair value each reporting period through earnings.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not designated as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w w:val="94"/>
              </w:rPr>
              <w:t>Fair Value Asset (Liability) of Derivative Instruments</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3780" w:type="dxa"/>
            <w:vAlign w:val="bottom"/>
            <w:gridSpan w:val="2"/>
          </w:tcPr>
          <w:p>
            <w:pPr>
              <w:ind w:left="1120"/>
              <w:spacing w:after="0"/>
              <w:rPr>
                <w:sz w:val="20"/>
                <w:szCs w:val="20"/>
                <w:color w:val="auto"/>
              </w:rPr>
            </w:pPr>
            <w:r>
              <w:rPr>
                <w:rFonts w:ascii="Arial" w:cs="Arial" w:eastAsia="Arial" w:hAnsi="Arial"/>
                <w:sz w:val="14"/>
                <w:szCs w:val="14"/>
                <w:b w:val="1"/>
                <w:bCs w:val="1"/>
                <w:color w:val="auto"/>
              </w:rPr>
              <w:t>Balance Sheet Location</w:t>
            </w:r>
          </w:p>
        </w:tc>
        <w:tc>
          <w:tcPr>
            <w:tcW w:w="13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December 31, 2014</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w w:val="91"/>
              </w:rPr>
              <w:t>September 30, 2014</w:t>
            </w: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center"/>
              <w:ind w:right="114"/>
              <w:spacing w:after="0"/>
              <w:rPr>
                <w:sz w:val="20"/>
                <w:szCs w:val="20"/>
                <w:color w:val="auto"/>
              </w:rPr>
            </w:pPr>
            <w:r>
              <w:rPr>
                <w:rFonts w:ascii="Arial" w:cs="Arial" w:eastAsia="Arial" w:hAnsi="Arial"/>
                <w:sz w:val="14"/>
                <w:szCs w:val="14"/>
                <w:i w:val="1"/>
                <w:iCs w:val="1"/>
                <w:color w:val="auto"/>
                <w:w w:val="94"/>
              </w:rPr>
              <w:t>(in thousands)</w:t>
            </w:r>
          </w:p>
        </w:tc>
        <w:tc>
          <w:tcPr>
            <w:tcW w:w="4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35"/>
        </w:trPr>
        <w:tc>
          <w:tcPr>
            <w:tcW w:w="3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Receivables, prepaid expenses and other current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 — assets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Convertible notes hedges</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45,163</w:t>
            </w:r>
          </w:p>
        </w:tc>
        <w:tc>
          <w:tcPr>
            <w:tcW w:w="240" w:type="dxa"/>
            <w:vAlign w:val="bottom"/>
          </w:tcPr>
          <w:p>
            <w:pPr>
              <w:spacing w:after="0"/>
              <w:rPr>
                <w:sz w:val="21"/>
                <w:szCs w:val="21"/>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36,994</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 — liabilities</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Convertible notes embedded derivative</w:t>
            </w:r>
          </w:p>
        </w:tc>
        <w:tc>
          <w:tcPr>
            <w:tcW w:w="378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(45,163)</w:t>
            </w:r>
          </w:p>
        </w:tc>
        <w:tc>
          <w:tcPr>
            <w:tcW w:w="240" w:type="dxa"/>
            <w:vAlign w:val="bottom"/>
          </w:tcPr>
          <w:p>
            <w:pPr>
              <w:spacing w:after="0"/>
              <w:rPr>
                <w:sz w:val="21"/>
                <w:szCs w:val="21"/>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(36,994)</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3"/>
              </w:rPr>
              <w:t>Amount of Unrealized Gain on Derivatives</w:t>
            </w:r>
          </w:p>
        </w:tc>
      </w:tr>
      <w:tr>
        <w:trPr>
          <w:trHeight w:val="250"/>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2400" w:type="dxa"/>
            <w:vAlign w:val="bottom"/>
            <w:gridSpan w:val="2"/>
          </w:tcPr>
          <w:p>
            <w:pPr>
              <w:ind w:left="640"/>
              <w:spacing w:after="0"/>
              <w:rPr>
                <w:sz w:val="20"/>
                <w:szCs w:val="20"/>
                <w:color w:val="auto"/>
              </w:rPr>
            </w:pPr>
            <w:r>
              <w:rPr>
                <w:rFonts w:ascii="Arial" w:cs="Arial" w:eastAsia="Arial" w:hAnsi="Arial"/>
                <w:sz w:val="14"/>
                <w:szCs w:val="14"/>
                <w:b w:val="1"/>
                <w:bCs w:val="1"/>
                <w:color w:val="auto"/>
              </w:rPr>
              <w:t>Location of Gain</w:t>
            </w:r>
          </w:p>
        </w:tc>
        <w:tc>
          <w:tcPr>
            <w:tcW w:w="300" w:type="dxa"/>
            <w:vAlign w:val="bottom"/>
          </w:tcPr>
          <w:p>
            <w:pPr>
              <w:spacing w:after="0"/>
              <w:rPr>
                <w:sz w:val="22"/>
                <w:szCs w:val="22"/>
                <w:color w:val="auto"/>
              </w:rPr>
            </w:pPr>
          </w:p>
        </w:tc>
        <w:tc>
          <w:tcPr>
            <w:tcW w:w="1420" w:type="dxa"/>
            <w:vAlign w:val="bottom"/>
          </w:tcPr>
          <w:p>
            <w:pPr>
              <w:jc w:val="right"/>
              <w:ind w:right="644"/>
              <w:spacing w:after="0"/>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22"/>
                <w:szCs w:val="22"/>
                <w:color w:val="auto"/>
              </w:rPr>
            </w:pPr>
          </w:p>
        </w:tc>
        <w:tc>
          <w:tcPr>
            <w:tcW w:w="1160" w:type="dxa"/>
            <w:vAlign w:val="bottom"/>
          </w:tcPr>
          <w:p>
            <w:pPr>
              <w:jc w:val="right"/>
              <w:ind w:right="619"/>
              <w:spacing w:after="0"/>
              <w:rPr>
                <w:sz w:val="20"/>
                <w:szCs w:val="20"/>
                <w:color w:val="auto"/>
              </w:rPr>
            </w:pPr>
            <w:r>
              <w:rPr>
                <w:rFonts w:ascii="Arial" w:cs="Arial" w:eastAsia="Arial" w:hAnsi="Arial"/>
                <w:sz w:val="14"/>
                <w:szCs w:val="14"/>
                <w:b w:val="1"/>
                <w:bCs w:val="1"/>
                <w:color w:val="auto"/>
              </w:rPr>
              <w:t>2013</w:t>
            </w:r>
          </w:p>
        </w:tc>
      </w:tr>
      <w:tr>
        <w:trPr>
          <w:trHeight w:val="264"/>
        </w:trPr>
        <w:tc>
          <w:tcPr>
            <w:tcW w:w="5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gridSpan w:val="2"/>
          </w:tcPr>
          <w:p>
            <w:pPr>
              <w:jc w:val="center"/>
              <w:ind w:left="824"/>
              <w:spacing w:after="0"/>
              <w:rPr>
                <w:sz w:val="20"/>
                <w:szCs w:val="20"/>
                <w:color w:val="auto"/>
              </w:rPr>
            </w:pPr>
            <w:r>
              <w:rPr>
                <w:rFonts w:ascii="Arial" w:cs="Arial" w:eastAsia="Arial" w:hAnsi="Arial"/>
                <w:sz w:val="14"/>
                <w:szCs w:val="14"/>
                <w:i w:val="1"/>
                <w:iCs w:val="1"/>
                <w:color w:val="auto"/>
                <w:w w:val="94"/>
              </w:rPr>
              <w:t>(in thousands)</w:t>
            </w:r>
          </w:p>
        </w:tc>
        <w:tc>
          <w:tcPr>
            <w:tcW w:w="1160" w:type="dxa"/>
            <w:vAlign w:val="bottom"/>
            <w:tcBorders>
              <w:top w:val="single" w:sz="8" w:color="auto"/>
            </w:tcBorders>
          </w:tcPr>
          <w:p>
            <w:pPr>
              <w:spacing w:after="0"/>
              <w:rPr>
                <w:sz w:val="22"/>
                <w:szCs w:val="22"/>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701</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459"/>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191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5180"/>
        <w:spacing w:after="0" w:line="440" w:lineRule="auto"/>
        <w:rPr>
          <w:sz w:val="20"/>
          <w:szCs w:val="20"/>
          <w:color w:val="auto"/>
        </w:rPr>
      </w:pPr>
      <w:r>
        <w:rPr>
          <w:rFonts w:ascii="Arial" w:cs="Arial" w:eastAsia="Arial" w:hAnsi="Arial"/>
          <w:sz w:val="18"/>
          <w:szCs w:val="18"/>
          <w:b w:val="1"/>
          <w:bCs w:val="1"/>
          <w:color w:val="auto"/>
        </w:rPr>
        <w:t xml:space="preserve">NOTE 15: SUPPLEMENTAL CONSOLIDATED FINANCIAL INFORMATION </w:t>
      </w:r>
      <w:r>
        <w:rPr>
          <w:rFonts w:ascii="Arial" w:cs="Arial" w:eastAsia="Arial" w:hAnsi="Arial"/>
          <w:sz w:val="18"/>
          <w:szCs w:val="18"/>
          <w:u w:val="single" w:color="auto"/>
          <w:color w:val="auto"/>
        </w:rPr>
        <w:t>Supplemental Condensed Consolidated Balance Sheets Information</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provides information on net amounts included in pawn service charges receivable, consumer loan fees and interest receivable, inventory, receivables, prepaid expenses and other current assets and property and equipment: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 receivable, net:</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Gross pawn service charges receivable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38,568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38,571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41,351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pawn service charges receivable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(10,307)</w:t>
            </w:r>
          </w:p>
        </w:tc>
      </w:tr>
      <w:tr>
        <w:trPr>
          <w:trHeight w:val="297"/>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30,241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30,842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31,044</w:t>
            </w:r>
          </w:p>
        </w:tc>
      </w:tr>
      <w:tr>
        <w:trPr>
          <w:trHeight w:val="28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Consumer loan fees and interest receivable, net: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consumer loan fees and interest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39,333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Allowance for uncollectible consumer loan fees and interest receivable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28,355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40,181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30,653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Inventory, gross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144,442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147,975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154,218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reserves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(14,799)</w:t>
            </w:r>
          </w:p>
        </w:tc>
      </w:tr>
      <w:tr>
        <w:trPr>
          <w:trHeight w:val="297"/>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133,986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142,711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139,419</w:t>
            </w:r>
          </w:p>
        </w:tc>
      </w:tr>
      <w:tr>
        <w:trPr>
          <w:trHeight w:val="28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324"/>
        </w:trPr>
        <w:tc>
          <w:tcPr>
            <w:tcW w:w="7080" w:type="dxa"/>
            <w:vAlign w:val="bottom"/>
          </w:tcPr>
          <w:p>
            <w:pPr>
              <w:ind w:left="40"/>
              <w:spacing w:after="0"/>
              <w:rPr>
                <w:sz w:val="20"/>
                <w:szCs w:val="20"/>
                <w:color w:val="auto"/>
              </w:rPr>
            </w:pPr>
            <w:r>
              <w:rPr>
                <w:rFonts w:ascii="Arial" w:cs="Arial" w:eastAsia="Arial" w:hAnsi="Arial"/>
                <w:sz w:val="18"/>
                <w:szCs w:val="18"/>
                <w:color w:val="auto"/>
              </w:rPr>
              <w:t>Receivables, prepaid expenses and other current assets: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 from sale of long-term consumer loan portfolio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43,780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receivables, prepaid expenses and other current assets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34,195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42,895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33,179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34,195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42,895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76,959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Property and equipment, gross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241,419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225,634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237,183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(131,283)</w:t>
            </w:r>
          </w:p>
        </w:tc>
      </w:tr>
      <w:tr>
        <w:trPr>
          <w:trHeight w:val="257"/>
        </w:trPr>
        <w:tc>
          <w:tcPr>
            <w:tcW w:w="7080" w:type="dxa"/>
            <w:vAlign w:val="bottom"/>
          </w:tcPr>
          <w:p>
            <w:pPr>
              <w:ind w:left="6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104,353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114,539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105,900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quarter ended December 31, 2013, we sold seven U.S. pawn stores (three in Louisiana, two in Mississippi, one in Alabama and one in Florida) for $11.0 million, of which $10.0 million was paid in cash and $1.0 million with a 14% promissory note due on December 31, 2018. The carrying value of the stores' net assets amounted to $3.7 million, primarily consisting of $1.5 million of pawn loans, $1.9 million of inventory, and $0.4 million of pawn service charge receivable, offset by $0.1 million of assumed liabilities. During the quarter ended December 31, 2013 we realized a gain of $6.3 million, which is included under the (gain) loss on sale or disposal of assets in the condensed consolidated statement of operations. In addition, we recorded a deferred gain of $0.7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Supplemental Information</w:t>
      </w:r>
    </w:p>
    <w:p>
      <w:pPr>
        <w:spacing w:after="0" w:line="17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issue letters of credit ("LOC")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In addition we post as cash collateral a specified percentage of the maximum exposure for LOC losses.</w:t>
      </w:r>
    </w:p>
    <w:p>
      <w:pPr>
        <w:spacing w:after="0" w:line="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current carrying value of cash collateral and other assets is included in "Receivables, prepaid expenses and other current assets" in our condensed consolidated balance sheets. Expected LOC losses and accounts payable are included in "Accounts payable and other accrued expenses" in our condensed consolidated balance sheets. Maximum exposure for losses on letters of credit if all brokered loans defaulted and none was collected including the portion of that exposure secured by titles to customers' automobiles, not included in our condensed consolidated balance sheets, is summarized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September 30,</w:t>
            </w:r>
          </w:p>
        </w:tc>
      </w:tr>
      <w:tr>
        <w:trPr>
          <w:trHeight w:val="264"/>
        </w:trPr>
        <w:tc>
          <w:tcPr>
            <w:tcW w:w="7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Cash collateral and other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9,063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11,840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9,135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LOC losses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3,297</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4,708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1,113</w:t>
            </w: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1,026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Maximum exposure for LOC losses*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28,132</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35,592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29,502</w:t>
            </w: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right="180" w:firstLine="8"/>
        <w:spacing w:after="0" w:line="273" w:lineRule="auto"/>
        <w:tabs>
          <w:tab w:leader="none" w:pos="10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amounts are not recorded in our condensed consolidated balance sheets. Of the total maximum exposure for LOC losses as of December 31, 2014 and 2013, and September 30, 2014, $8.2 million, $9.9 million and $7.8 million, respectively, was secured by titles to customers' automobiles.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 — Risk Factors" of our Annual Report on Form 10-K for the year ended September 30,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Operations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EZCORP is a Delaware corporation headquartered in Austin, Texas. We are a leader in delivering easy cash solutions to our customers across channels, products, services and markets. With approximately 7,000 teammates and approximately 1,400 locations and branches, we give our customers multiple ways to access instant cash, including pawn loans and consumer loans in the United States, Mexico and Canada, and fee-based credit services to customers seeking loans. At our pawn and buy/sell stores we also sell merchandise which is primarily collateral forfeited from pawn lending operations in addition to used merchandise purchased from customers.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 and multiple-payment unsecured loans and single- and multiple-payment auto title loans. In Texas, we do not offer consumer loan products, but rather offer credit services to help customers obtain loans from independent third party lenders.</w:t>
      </w:r>
    </w:p>
    <w:p>
      <w:pPr>
        <w:spacing w:after="0" w:line="133"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We own a 76% interest in Prestaciones Finmart, S.A.P.I. de C.V., SOFOM, E.N.R. ("Grupo Finmart" doing business under the names "Crediamigo" and "Adex"), a payroll withholding lender headquartered in Mexico City; and a 59% interest in Renueva Commercial S.A.P.I. de C.V. ("TUYO"), a company headquartered in Mexico City that owns and operates buy/sell stores in Mexico City and the surrounding metropolitan area.</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vision is to be the global leader in providing customers with easy cash solutions where they want, when they want and how they want, and we are making the investments in both storefronts and technology platforms to achieve that vision.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we operated a total of 1,368 locations, consisting of:</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502 U.S.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 U.S. buy/sell stores (operating as Cash Converters);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241 Mexico pawn stores (operating as Empeño Fácil);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506 U.S. financial services stores (operating primarily as EZMONEY);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24 Canada financial services stores (operating as CASHMAX);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 Canada buy/sell and financial services stores (operating as Cash Converters);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 Mexico buy/sell stores (operating as TUYO or Cash Converters);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52 Grupo Finmart financial services branches in Mexico (operating as Crediamigo or Adex).</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own approximately 32% of Cash Converters International Limited, based in Australia, which franchises and operates a worldwide network of over 750 locations that provide financial services and buy and sell second-hand goods. We also own the Cash Converters master franchise rights in Canada and are the franchisor of four stores there.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consists of three reportable segments: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 data by segment:</w:t>
      </w:r>
    </w:p>
    <w:p>
      <w:pPr>
        <w:spacing w:after="0" w:line="16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Three Months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49999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580" w:type="dxa"/>
            <w:vAlign w:val="bottom"/>
            <w:gridSpan w:val="2"/>
          </w:tcPr>
          <w:p>
            <w:pPr>
              <w:ind w:left="560"/>
              <w:spacing w:after="0" w:line="153" w:lineRule="exact"/>
              <w:rPr>
                <w:sz w:val="20"/>
                <w:szCs w:val="20"/>
                <w:color w:val="auto"/>
              </w:rPr>
            </w:pPr>
            <w:r>
              <w:rPr>
                <w:rFonts w:ascii="Arial" w:cs="Arial" w:eastAsia="Arial" w:hAnsi="Arial"/>
                <w:sz w:val="14"/>
                <w:szCs w:val="14"/>
                <w:b w:val="1"/>
                <w:bCs w:val="1"/>
                <w:color w:val="auto"/>
              </w:rPr>
              <w:t>Other</w:t>
            </w:r>
          </w:p>
        </w:tc>
        <w:tc>
          <w:tcPr>
            <w:tcW w:w="15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Sold, combined or closed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Three Months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49999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580" w:type="dxa"/>
            <w:vAlign w:val="bottom"/>
            <w:gridSpan w:val="2"/>
          </w:tcPr>
          <w:p>
            <w:pPr>
              <w:ind w:left="560"/>
              <w:spacing w:after="0" w:line="153" w:lineRule="exact"/>
              <w:rPr>
                <w:sz w:val="20"/>
                <w:szCs w:val="20"/>
                <w:color w:val="auto"/>
              </w:rPr>
            </w:pPr>
            <w:r>
              <w:rPr>
                <w:rFonts w:ascii="Arial" w:cs="Arial" w:eastAsia="Arial" w:hAnsi="Arial"/>
                <w:sz w:val="14"/>
                <w:szCs w:val="14"/>
                <w:b w:val="1"/>
                <w:bCs w:val="1"/>
                <w:color w:val="auto"/>
              </w:rPr>
              <w:t>Other</w:t>
            </w:r>
          </w:p>
        </w:tc>
        <w:tc>
          <w:tcPr>
            <w:tcW w:w="15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International</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Activities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At our pawn stores, we offer secured loans, which are typically small, non-recourse loans collateralized by tangible personal property. As of December 31, 2014, we had an aggregate pawn loan principal balance of $150.9 million. We earn pawn service charge revenue on our pawn loans. During the quarter ended December 31, 2014, pawn service charges accounted for approximately 26% of our total revenues and 43% of our net revenues.</w:t>
      </w:r>
    </w:p>
    <w:p>
      <w:pPr>
        <w:spacing w:after="0" w:line="1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While allowable service charges vary by state and loan size, most of our U.S. pawn loans earn 20% per month. The total U.S. pawn loan primary term ranges between 30 and 120 days, with an additional grace period between 0 and 90 days. Individual loans vary depending on the valuation of each item pawned, but typically average $97.</w:t>
      </w:r>
    </w:p>
    <w:p>
      <w:pPr>
        <w:spacing w:after="0" w:line="12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Mexico, pawn service charges range from 12% to 21% per month, including applicable taxes, with the majority of loans earning 21%. The total Mexico pawn loan primary term is 30 days, with an additional grace period up to 10 days. Individual loans are made in Mexican pesos and vary depending on the valuation of each item pawned, but typically average U.S. $60.</w:t>
      </w:r>
    </w:p>
    <w:p>
      <w:pPr>
        <w:spacing w:after="0" w:line="12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our pawn stores, buy/sell stores and certain financial services stores in Canada, we acquire inventory for retail sales through pawn loan forfeitures, purchases of customers’ merchandise and purchases of new or refurbished merchandise from third party vendors.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w:t>
      </w:r>
    </w:p>
    <w:p>
      <w:pPr>
        <w:spacing w:after="0" w:line="10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7.2% of gross inventory as of December 31, 2014, compared to 3.6% as of December 31, 2013 and 9.6% as of September 30, 2014. The increase in valuation allowance from the same prior-year period is reflective of periodic analyses conducted to value the inventory based on aging, profitability, sell-through rates and shrink in each classification, including jewelry and general merchandise. We experienced an increase in aged inventory and margin compression associated with its disposition which contributed to the overall increase in valuation allowance year-over-year.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 Activities</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Outside of Texas, we earn loan fee revenue on our consumer loans. As of December 31, 2014, we offered single-payment unsecured consumer loans in 128 U.S. financial services stores, two U.S. pawn stores and 39 Canadian financial services stores. The average single-payment loan amount was approximately $460 and the term is generally less than 30 days, averaging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about 18 days. We typically charge a fee of 10% to 18% of the loan amount. In 123 of our U.S. financial services stores, we offer multiple-payment unsecured consumer loans. These loans carry a term of up to seven months with a series of equal installment payments including principal amortization due monthly, semi-monthly or on the customers' paydays. Total interest and fees on these loans vary in accordance with state law, local ordinances and loan terms, but over the entire loan term total approximately 45% to 175% of the original principal amount of the loan. Multiple-payment loan principal amounts range from $100 to $3,500, but average approximately $570.</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December 31, 2014, we offered credit services to customers seeking consumer loans from unaffiliated lenders in 288 U.S. financial services stores and two U.S. pawn stores. In these locations, we act as a credit services organization ("CSO") on behalf of customers in accordance with applicable state and local laws.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For credit services in connection with arranging a single-payment loan (average loan amount of about $540), our fee is approximately 22% to 44% of the loan amount. For credit services in connection with arranging an unsecured multiple-payment loan (average loan amount of about $915), our fee is 175% of the initial loan amount. For credit services in connection with arranging single-payment auto title loans (average loan amount of about $1,240), the fee is up to 30% of the loan amount with an average rate of 20%. We also assist customers in obtaining longer term multiple-payment auto title loans from unaffiliated lenders. Multiple-payment auto title loans typically carry terms of five months with up to ten equal installments. Multiple-payment auto title loan principal amounts range from $150 to $10,000, but average about $1,220; and we earn a fee of 45% to 150% of the initial loan amount.</w:t>
      </w:r>
    </w:p>
    <w:p>
      <w:pPr>
        <w:spacing w:after="0" w:line="11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December 31, 2014, 442 of our U.S. financial services stores and two of our U.S. pawn stores offered auto title loans or, in Texas, credit services to assist customers in obtaining auto title loans from unaffiliated lenders. Auto title loans are 30-day loans secured by the titles to customers’ automobiles. Loan principal amounts range from $50 to $20,000, but average about $1,060. We earn a fee of 9% to 30% of auto title loan amounts. In Texas, we assist customers in obtaining multiple-payment auto title loans from unaffiliated lenders. These loans typically carry terms of five months with up to ten equal installments. Principal amounts range from $150 to $10,000, but average about $1,220; and we earn a fee of 45% to 150% of the initial loan amount.</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Mexico, Grupo Finmart offers multiple-payment consumer loans with projected annual yields of approximately 77% and collects interest and principal through payroll deductions. The average loan is approximately $1,400 with a term of 30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Growth</w:t>
      </w:r>
    </w:p>
    <w:p>
      <w:pPr>
        <w:spacing w:after="0" w:line="171"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Within our Mexican consumer loan business, we anticipate Grupo Finmart will continue to sign new contracts with federal, state and local governments as well as further penetrate the existing contracts. As of December 31, 2014, our lending penetration into the booked contracts was approximately 4%, which indicates further growth opportunities. In addition, we are seeking to diversify our product offerings to this customer base. We expect to continue to obtain local financing to fund Grupo Finmart’s lending growth, and we anticipate this financing will continue to be non-recourse to EZCORP.</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intend to continue to maximize lending opportunity in key product categories as well as evaluate potential acquisition targets in our Mexican pawn business, but will adjust growth from time-to-time to conform to near-term market conditions. The Mexican pawn environment has mirrored the U.S. pawn environment as gold prices have dropped and the industry has seen a shift from gold and jewelry pawn activity to general merchandise pawn activity. We intend to secure local financing for our Mexican pawn growth.</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2014, we operated 21 buy/sell stores within the Mexico market. We intend to finance any future de novo stores using cash flow generated from our Mexican operations, as well as local financing.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availability of excess jewelry inventory and timing of decisions to scrap excess jewelry inventory.</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payroll withholding lending business is less impacted by seasonality, with the exception of the summer months when new loan originations tend to moderate.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in critical accounting policies as described in our Annual Report on Form 10-K for the year ended September 30,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recently adopted accounting pronouncements during the quarter ended December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applicable recently issued accounting pronouncements during the quarter ended December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and Assumptions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122" w:right="37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175" w:lineRule="exact"/>
        <w:rPr>
          <w:sz w:val="20"/>
          <w:szCs w:val="20"/>
          <w:color w:val="auto"/>
        </w:rPr>
      </w:pPr>
    </w:p>
    <w:p>
      <w:pPr>
        <w:ind w:left="60" w:right="80"/>
        <w:spacing w:after="0" w:line="253" w:lineRule="auto"/>
        <w:rPr>
          <w:sz w:val="20"/>
          <w:szCs w:val="20"/>
          <w:color w:val="auto"/>
        </w:rPr>
      </w:pPr>
      <w:r>
        <w:rPr>
          <w:rFonts w:ascii="Arial" w:cs="Arial" w:eastAsia="Arial" w:hAnsi="Arial"/>
          <w:sz w:val="18"/>
          <w:szCs w:val="18"/>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results of the Latin America segment operations, which are denominated in Mexican pesos and believe that presentation of constant currency results is meaningful and useful in understanding the activities and business metrics of our Latin America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condensed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Constant currency results reported herein are calculated by translating balance sheet and income statement items denominated in Mexican pesos to U.S. dollars using the exchange rate from the prior-year comparable period, as opposed to the current comparable period, in order to exclude the effects of foreign currency rate fluctuations. For balance sheet items, the end of period rate at December 31, 2013 of 13.1 to 1 was used, compared to the current end of period rate at December 31, 2014 of 14.7 to 1. For statement of operations items, the average closing daily exchange rate for the appropriate period was used. The average exchange rate for the prior-year quarter ended December 31, 2013 was 13.0 to 1 compared to the current quarter ended December 31, 2014 rate of 13.9 to 1.</w:t>
      </w:r>
    </w:p>
    <w:p>
      <w:pPr>
        <w:spacing w:after="0" w:line="1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presents selected summary financial data for our three month periods ended December 31, 2014 and 2013 (the "current quarter" and "prior-year quarter," respectively). This table, as well as the discussion that follows, should be read with the accompanying condensed consolidated financial statements and related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16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109,639</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105,587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27,703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64,927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64,133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 and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60,117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Consumer loan sales and other revenues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7,312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252,644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263,039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72,388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63,588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15,251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15,574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163,857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14,070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27,889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15,113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24,395</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(loss) income from continuing operations attributable to redeemable noncontrolling</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Net income attributable to EZCORP</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15,260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22,569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7"/>
        </w:trPr>
        <w:tc>
          <w:tcPr>
            <w:tcW w:w="6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Net earning assets: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Pawn loans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150,930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153,421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Consumer loans, net</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62,380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82,807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142,711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Arial" w:cs="Arial" w:eastAsia="Arial" w:hAnsi="Arial"/>
                <w:sz w:val="18"/>
                <w:szCs w:val="18"/>
                <w:color w:val="auto"/>
              </w:rPr>
              <w:t>Non-current consumer loans, net</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36,449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60,750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loans outstanding with unaffiliated lenders*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22,666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6660" w:type="dxa"/>
            <w:vAlign w:val="bottom"/>
          </w:tcPr>
          <w:p>
            <w:pPr>
              <w:ind w:left="720"/>
              <w:spacing w:after="0"/>
              <w:rPr>
                <w:sz w:val="20"/>
                <w:szCs w:val="20"/>
                <w:color w:val="auto"/>
              </w:rPr>
            </w:pPr>
            <w:r>
              <w:rPr>
                <w:rFonts w:ascii="Arial" w:cs="Arial" w:eastAsia="Arial" w:hAnsi="Arial"/>
                <w:sz w:val="18"/>
                <w:szCs w:val="18"/>
                <w:color w:val="auto"/>
              </w:rPr>
              <w:t>Total net earning assets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406,411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470,602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Consumer loans outstanding with unaffiliated lenders "CSO loans" are not recorded in our condensed consolidated balance sheets.</w:t>
      </w:r>
    </w:p>
    <w:p>
      <w:pPr>
        <w:sectPr>
          <w:pgSz w:w="11900" w:h="16838" w:orient="portrait"/>
          <w:cols w:equalWidth="0" w:num="1">
            <w:col w:w="11420"/>
          </w:cols>
          <w:pgMar w:left="240" w:top="122"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Net income from continuing operations, net of tax, was $14.1 million compared to $27.9 million during the prior-year quarter. This $13.8 million decrease was primarily attributable to a $4.7 million decrease in merchandise sales gross profit primarily due to our efforts to reshape our inventory profile and increase the velocity of inventory, a $3.8 million decrease in jewelry scrapping sales gross profit primarily due to a decrease in proceeds realized per gram of gold jewelry scrapped coupled with a decrease in gold volume, a $7.9 million decrease in revenue related to consumer loan fees and interest primarily due to a decrease in consumer loan balances in Texas ordinance cities, a $4.5 million increase in interest expense primarily due to debt discount amortization pertaining to our 2.125% cash convertible senior notes due 2019 coupled with a higher weighted-average debt outstanding, and a $6.5 million decrease in gain on sale or disposal of assets primarily due to a prior-year quarter gain realized on sale of seven U.S. pawn stores, partially offset by a $1.8 million increase in consumer loan sales and other revenues due to a structured sale of consumer loan portfolios by Grupo Finmart in the current quarter, a $5.6 million decrease in administrative expenses primarily due to one-time incentive bonus awards in the prior-year quarter of $2.2 million coupled with a $2.1 million decrease in contract labor costs, and a $3.6 million decrease in income tax expense primarily due to a decrease in income from continuing operations, partially offset by an increase in the effective tax rate primarily due to elimination of the tax rate differential on discontinued foreign operations, a reduction of costs paid to offshore affiliates and lower non-U.S. undistributed earnings. We also experienced a negative impact from translating Latin America segment earnings denominated in Mexican pesos to U.S. dollars.</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revenues were $252.6 million compared to $263.0 million in the prior-year quarter. Excluding jewelry scrapping sales, total revenues decreased $1.2 million, or 1%, driven by decreased consumer loan fees and interest, partially offset by increased merchandise sales.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Income from discontinued operations was $1.0 million in the current quarter compared to a loss of $3.5 million in the prior-year quarter primarily due to better-than-anticipated wind-down collection experience.</w:t>
      </w:r>
    </w:p>
    <w:p>
      <w:pPr>
        <w:spacing w:after="0" w:line="11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Net earning assets including our CSO loans were $406.4 million at quarter end, an overall decrease of 14% from the prior-year quarter. On a constant currency basis, net earning assets decreased 11% from the prior-year quarter. This was primarily due to a 40%, 27% and 25% decrease in net non-current consumer loans, consumer loans outstanding with unaffiliated lenders and net current consumer loans, respectively, as a result of the sale of Grupo Finmart portfolios subsequent to the prior-year first quarter in addition to regulatory changes in Texas. On a constant currency basis, net non-current consumer loans, and net current consumer loans decreased 33% and 19%, respectively. Furthermore, inventory decreased 6% from the prior-year quarter due to our efforts to drive increased inventory turnover. On a constant currency basis, inventory decreased 4% from the prior-year quarter.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U.S. &amp; Canada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&amp; Canada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Percentage Change</w:t>
            </w:r>
          </w:p>
        </w:tc>
      </w:tr>
      <w:tr>
        <w:trPr>
          <w:trHeight w:val="264"/>
        </w:trPr>
        <w:tc>
          <w:tcPr>
            <w:tcW w:w="6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90,059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88,890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17,127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25,925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57,035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57,069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 and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42,162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45,824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Consumer loan sales and other revenues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206,803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218,085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59,031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53,047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18,570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14,310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14,183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6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120,048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132,285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84,746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86,573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Loss (gain) on sale or disposal of assets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N/A</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N/A</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30,834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47,678</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67"/>
        </w:trPr>
        <w:tc>
          <w:tcPr>
            <w:tcW w:w="65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Gross margin on total sales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 assets —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300,221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319,803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Average pawn loan balance per pawn store at period end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yield on pawn loan portfolio*</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Pawn loan redemption rate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Consumer loan bad debt as a percentage of consumer loan fees</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60"/>
        <w:spacing w:after="0"/>
        <w:rPr>
          <w:sz w:val="20"/>
          <w:szCs w:val="20"/>
          <w:color w:val="auto"/>
        </w:rPr>
      </w:pPr>
      <w:r>
        <w:rPr>
          <w:rFonts w:ascii="Arial" w:cs="Arial" w:eastAsia="Arial" w:hAnsi="Arial"/>
          <w:sz w:val="14"/>
          <w:szCs w:val="14"/>
          <w:color w:val="auto"/>
        </w:rPr>
        <w:t>* Average yield on pawn loan portfolio is calculated as pawn service charge revenues for the period divided by the average pawn loan balance during the period.</w:t>
      </w:r>
    </w:p>
    <w:p>
      <w:pPr>
        <w:spacing w:after="0" w:line="1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U.S. &amp; Canada segment total revenues decreased $11.3 million from the prior-year quarter to $206.8 million. Same-store total revenues decreased $11.9 million, or 6%, and new and acquired stores, net of closed stores contributed $0.6 million. The overall decrease in total revenues was primarily due to an $8.8 million decrease in jewelry scrapping sales. Excluding jewelry scrapping sales, total revenues decreased $2.5 million, or 1%, primarily due to a $3.7 million decrease in consumer loan fees and interest, offset by a $1.2 million increase in merchandise sales. In the current quarter we opened ten de novo locations (consisting of five pawn locations and five financial services locations) bringing our total number of stores in the U.S. &amp; Canada segment to 1,054, a 3% increase over the prior-year quarter. Subsequent to December 31, 2014, we signed a definitive agreement to acquire 12 additional pawn stores in the United States.</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merchandise sales increased $1.2 million, or 1%, from the prior-year quarter to $90.1 million. Same-store merchandise sales increased $0.7 million, or 1%, from the prior-year quarter, and new and acquired stores, net of closed stores contributed sales of $0.5 million. The same store increase is mostly due to a 4% increase in jewelry sales, partially offset by a 1% decrease in general merchandise sales. Gross margin was 34% during the current quarter, down from 40% in the prior-year quarter,</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primarily as a result of our efforts to reshape our inventory profile and increase the velocity of inventory. General merchandise inventory held for a year or more turned 3.2 times compared to 2.3 times in the prior-year quarter and aged inventory decreased 10%. Jewelry inventory held for a year or more turned 1.8 times compared to 0.8 times in the prior-year quarter and aged inventory decreased 17%. We will continue a concerted effort to improve the velocity of inventory and expect to further reduce aged inventory through the remainder of the fiscal year.</w:t>
      </w:r>
    </w:p>
    <w:p>
      <w:pPr>
        <w:spacing w:after="0" w:line="13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Gross profit on jewelry scrapping sales decreased $3.6 million, or 50%, from the prior-year quarter to $3.7 million. Jewelry scrapping revenues decreased $8.8 million, or 34%, due to a 10% decrease in proceeds realized per gram of gold jewelry scrapped coupled with a 29% decrease in gold volume. The decrease in volume was primarily due to a change in strategy to retail jewelry rather than scrap it in addition to an overall decline due to the market price of gold. Same-store jewelry scrapping sales decreased $8.7 million, or 34%, with the remaining decrease due to stores sold during the prior-year quarter. Jewelry scrapping sales include approximately $2.6 million and $3.3 million of loose diamonds removed from scrap jewelry and sold in the current quarter and prior-year quarter, respectively. Scrap cost of goods sold decreased $5.2 million from the prior-year quarter, primarily due to a decrease in volume.</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current quarter pawn service charge revenues remained flat as compared to the prior-year quarter. The $0.4 million, or 1%, increase in same-store pawn service charges was mostly offset by pawn service charges from stores sold in the prior-year quarter.</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Consumer loan fees and interest decreased by $3.7 million, or 8%, from the prior-year quarter to $42.2 million. The overall decrease in consumer loan fees and interest was primarily due to a decrease in consumer loan balances in Texas ordinance cities, mainly Houston and El Paso. Total consumer loan bad debt as a percentage of consumer loan fees increased 10% primarily due to higher duration products attributable to new customers acquired which generated higher than anticipated bad debt. Houston and El Paso ordinances have been in effect for two quarters, and we expect the year-over-year comparable amounts for the next two quarters to show similar trends.</w:t>
      </w:r>
    </w:p>
    <w:p>
      <w:pPr>
        <w:spacing w:after="0" w:line="13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Total segment expenses increased to $89.2 million (43% of revenues) during the current quarter from $84.6 million (39% of revenues) in the prior-year quarter. This increase was primarily due to a prior-year quarter gain on sale or disposal of other assets of $6.3 million as a result of the gain realized on sale of seven U.S. pawn stores (three in Louisiana, two in Mississippi, one in Alabama and one in Florida), which reduced prior-year segment expenses.</w:t>
      </w:r>
    </w:p>
    <w:p>
      <w:pPr>
        <w:spacing w:after="0" w:line="9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the current quarter, U.S. &amp; Canada delivered a segment contribution of $30.8 million, a $16.8 million decrease compared to the prior-year quarter. In the current and prior-year quarter, the U.S. &amp; Canada segment's contribution represented 83% of consolidated segment contribution.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Latin America</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Latin America segment after translation to U.S. dollars from its functional currency of the Mexican peso: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126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264"/>
        </w:trPr>
        <w:tc>
          <w:tcPr>
            <w:tcW w:w="6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19,580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16,697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7,892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7,064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10,070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14,293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Consumer loan sales and other revenues</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5,122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45,841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44,954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13,357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10,541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30,282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31,572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18,910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18,382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4,167 %</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7,990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67"/>
        </w:trPr>
        <w:tc>
          <w:tcPr>
            <w:tcW w:w="68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6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Gross margin on total sales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 assets —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106,190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148,513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Average pawn loan balance per pawn store at period end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yield on pawn loan portfolio*</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Pawn loan redemption rate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Consumer loan bad debt as a percentage of consumer loan fees</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60"/>
        <w:spacing w:after="0"/>
        <w:rPr>
          <w:sz w:val="20"/>
          <w:szCs w:val="20"/>
          <w:color w:val="auto"/>
        </w:rPr>
      </w:pPr>
      <w:r>
        <w:rPr>
          <w:rFonts w:ascii="Arial" w:cs="Arial" w:eastAsia="Arial" w:hAnsi="Arial"/>
          <w:sz w:val="14"/>
          <w:szCs w:val="14"/>
          <w:color w:val="auto"/>
        </w:rPr>
        <w:t>* Average yield on pawn loan portfolio is calculated as pawn service charge revenues for the period divided by the average pawn loan balance during the period.</w:t>
      </w:r>
    </w:p>
    <w:p>
      <w:pPr>
        <w:spacing w:after="0" w:line="16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average exchange rate used to translate Latin America's results from Mexican pesos to U.S. dollars was 13.9 to 1, which was 7% higher than the prior-year quarter's rate of 13.0 to 1. At the end of the current quarter, we had 314 stores in the Latin America segment, operating under various brands, including Empeño Fácil, Crediamigo, Adex and TUYO.</w:t>
      </w:r>
    </w:p>
    <w:p>
      <w:pPr>
        <w:spacing w:after="0" w:line="12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Latin America segment's total revenues increased $0.9 million, or 2%, from the prior-year quarter to $45.8 million. On a constant currency basis, total revenues increased $4.1 million, or 9%, from the prior-year quarter. The overall increase in total revenues was due to a $2.9 million increase in merchandise sales and a $1.8 million increase in consumer loan sales and other, partially offset by a $4.2 million decrease in consumer loan fees and interest.</w:t>
      </w:r>
    </w:p>
    <w:p>
      <w:pPr>
        <w:spacing w:after="0" w:line="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Merchandise sales and gross profit increased $2.9 million, or 17%, and $0.1 million, or 1%, respectively, from the prior-year quarter. On a constant currency basis, merchandise sales and gross profit increased $4.2 million, or 25%, and $0.5 million, or 8%, respectively, from the prior-year quarter. Gross margin was 32% during the current quarter, down from 37% in the prior-</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year quarter, primarily as a result of our efforts to reshape our inventory profile and increase the velocity of inventory. General merchandise inventory held for a year or more turned 3.2 times compared to 1.5 times in the prior-year quarter and aged inventory decreased 43%. We will continue a concerted effort to improve the velocity of inventory and expect to further reduce aged inventory through the remainder of the fiscal year.</w:t>
      </w:r>
    </w:p>
    <w:p>
      <w:pPr>
        <w:spacing w:after="0" w:line="1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Latin America's pawn service charge revenues increased $0.8 million, or 12%, from the prior-year quarter to $7.9 million. On a constant currency basis, pawn service charge revenues increased $1.4 million, or 19% from the prior-year quarter. This increase is attributable to an increase in same-store pawn service charges. The average yield on pawn loan portfolio declined to 199%.</w:t>
      </w:r>
    </w:p>
    <w:p>
      <w:pPr>
        <w:spacing w:after="0" w:line="12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Consumer loan fees and interest decreased $4.2 million, or 30%, from the prior-year quarter to $10.1 million. On a constant currency basis, consumer loan fees and interest decreased $3.5 million, or 25% from the prior-year quarter. The decrease was driven primarily by sales of loan portfolios, resulting in a decrease in average earning assets.</w:t>
      </w:r>
    </w:p>
    <w:p>
      <w:pPr>
        <w:spacing w:after="0" w:line="12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Latin America's consumer loan sales and other revenues increased $1.8 million, or 35%, from the prior-year quarter to $6.9 million. On a constant currency basis, consumer loan sales and other revenues increased $2.2 million, or 44% from the prior-year quarter. The increase was primarily due to a structured sale of consumer loan portfolios by Grupo Finmart at a gain of $6.6 million in the current quarter. We expect to continue to use these and other types of structured transactions to finance Grupo Finmart going forward.</w:t>
      </w:r>
    </w:p>
    <w:p>
      <w:pPr>
        <w:spacing w:after="0" w:line="13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Total segment expenses increased to $26.1 million (57% of revenues) during the current quarter from $23.6 million (52% of revenues) in the prior-year quarter. The increase was primarily due to a $1.9 million increase in interest expense and a $0.5 million increase in operations expenses. The increase in interest expense was primarily due to a higher weighted-average debt outstanding as compared to the prior-year quarter, offset by a decrease in the weighted-average rate on Grupo Finmart's third party debt. The weighted-average rate on Grupo Finmart's third party debt decreased to 9%, from 11% in the prior-year quarter, on outstanding debt of $115.9 million as of December 31, 2014. On a constant currency basis, total segment expenses increased to $27.9 million during the current quarter, or 18%, from $23.6 million in the prior-year quarter.</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revenues decreased $1.3 million and segment expenses increased $2.5 million from the prior-year quarter, resulting in a $3.8 million decrease in contribution for the Latin America segment from the prior-year quarter. On a constant currency basis, net revenues increased $0.8 million and segment expenses increased $4.3 million from the prior-year quarter, resulting in a $3.5 million decrease in contribution for the Latin America segment from the prior-year quarter. In the current quarter, the Latin America segment contribution decreased to 11% of consolidated segment contribution, compared to 14% in the prior-year quarter.</w:t>
      </w:r>
    </w:p>
    <w:p>
      <w:pPr>
        <w:spacing w:after="0" w:line="13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Latin America segment's net earning assets decreased $42.3 million, or 28%, from the prior-year quarter primarily due to a decrease in consumer loans outstanding as a result of structured sales. On a constant currency basis, net earning assets decreased $29.4 million, or 20%, from the prior-year quarter.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International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30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December 31,</w:t>
            </w:r>
          </w:p>
        </w:tc>
        <w:tc>
          <w:tcPr>
            <w:tcW w:w="126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264"/>
        </w:trPr>
        <w:tc>
          <w:tcPr>
            <w:tcW w:w="6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Equity in net income of unconsolidated affiliates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(2,194)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7"/>
        </w:trPr>
        <w:tc>
          <w:tcPr>
            <w:tcW w:w="6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equity in the net income of unconsolidated affiliates increased $0.9 million, 73%, from the prior-year quarter to $2.2 million. The increase was due to a $0.3 million decrease from Cash Converters International and a $1.2 million increase due to no reported earnings from Albemarle &amp; Bond in the current quarter from a reported loss in the prior-year quarter.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1260" w:type="dxa"/>
            <w:vAlign w:val="bottom"/>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264"/>
        </w:trPr>
        <w:tc>
          <w:tcPr>
            <w:tcW w:w="7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56,968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Loss on sale or disposal of assets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20,435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37,847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9,958</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14,070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27,889</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15,113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24,395</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Net (loss) income from continuing operations attributable to redeemable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Net income attributable to EZCORP</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15,260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22,569</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Total corporate expenses were $16.8 million compared to $19.1 million during the prior-year quarter. This $2.3 million decrease was primarily due to a $5.6 million decrease in administrative expenses, partially offset by a $2.5 million increase in interest expense. The decrease in administrative expenses was primarily due to one-time incentive bonus awards in the prior-year quarter of $2.2 million in addition to a $2.1 million decrease in contract labor costs as compared to the prior-year quarter. The increase in interest expense was primarily due to $2.1 million of debt discount amortization in the current quarter pertaining to our 2.125% cash convertible senior notes due 2019 issued in June 2014.</w:t>
      </w:r>
    </w:p>
    <w:p>
      <w:pPr>
        <w:spacing w:after="0" w:line="119"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Consolidated income from continuing operations before income taxes decreased $17.4 million, or 46%, to $20.4 million primarily due to a $16.8 million decrease in contribution from the U.S. and Canada segment and a $3.8 million decrease in contribution from the Latin America segment, offset by a $0.9 million increase in contribution from the Other International segment and a $2.3 million decrease in corporate expenses.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the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15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10,935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17,454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38,874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21,270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881 %</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decrease in cash flows from operations was primarily due to a $7.9 million decrease in net income plus several non-cash items, partially offset by a $3.8 million increase in operating assets and liabilities from normal, recurring changes.</w:t>
      </w:r>
    </w:p>
    <w:p>
      <w:pPr>
        <w:spacing w:after="0" w:line="1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increase in cash flows from investing activities was primarily due to a $36.9 million increase in proceeds from sale of assets, primarily Grupo Finmart loan portfolios, and a $10.4 million decrease in acquisitions, net of cash acquired, partially offset by a $12.1 million investment in Cash Converters International in order to maintain our equity ownership percentage in connection with a non-underwritten placement of shares, in addition to other normal, recurring changes.</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cash flows from financing activities was primarily due to a $19.4 million increase in net payments on our outstanding bank borrowings and a $6.0 million decrease in net proceeds from our revolving line of credit that was terminated in June 2014, partially offset by a $3.1 million decrease in debt issuance costs and a $5.5 million decrease in deferred and contingent consideration.</w:t>
      </w:r>
    </w:p>
    <w:p>
      <w:pPr>
        <w:spacing w:after="0" w:line="12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Total debt and capital lease obligations outstanding increased by $96.3 million, or 38%, to $349.1 million as compared to the prior-year quarter. Of this amount, $115.9 million was non-recourse to EZCORP and attributable to our payroll withholding lending business in Mexico (Grupo Finmart).</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net effect of these and other smaller items was a $21.3 million increase in cash on hand, providing a $77.6 million ending cash balance. Of the aforementioned ending cash balance, approximately 41%, or $31.9 million, is held by foreign subsidiaries and is not available to fund domestic operations as we intend to permanently reinvest earnings from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our cash needs to meet future aggregate contractual obligations as of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3"/>
                <w:szCs w:val="13"/>
                <w:color w:val="auto"/>
              </w:rPr>
            </w:pPr>
          </w:p>
        </w:tc>
        <w:tc>
          <w:tcPr>
            <w:tcW w:w="10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1 year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345,814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34,611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290,824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11,855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24,246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292,053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consideration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697,586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151,336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360,097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99,165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right="3440" w:hanging="5"/>
        <w:spacing w:after="0" w:line="301" w:lineRule="auto"/>
        <w:tabs>
          <w:tab w:leader="none" w:pos="148"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debt premium related to Grupo Finmart and 2.125% cash convertible senior notes due 2019 embedded derivative and discount ** Future interest on long-term obligations calculated based on interest rates effective at the balance sheet date</w:t>
      </w:r>
    </w:p>
    <w:p>
      <w:pPr>
        <w:spacing w:after="0" w:line="1" w:lineRule="exact"/>
        <w:rPr>
          <w:sz w:val="20"/>
          <w:szCs w:val="20"/>
          <w:color w:val="auto"/>
        </w:rPr>
      </w:pPr>
    </w:p>
    <w:p>
      <w:pPr>
        <w:ind w:left="40" w:right="240" w:hanging="5"/>
        <w:spacing w:after="0" w:line="291" w:lineRule="auto"/>
        <w:tabs>
          <w:tab w:leader="none" w:pos="292"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13 year corporate office lease signed in December 2014 with initial rent payment due beginning February 2016 after a five month rent holiday, and ending March 2029. Annual rent escalates from $3.0 million at lease inception to $4.6 million in the terminal year of the lease. Lease includes two five year extension options at the end of the initial lease term.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contractual obligations in the table above, we are obligated under letters of credit issued to unaffiliated lenders as part of our credit service operations. As of December 31, 2014, our maximum exposure for losses on letters of credit, if all brokered loans defaulted and none were collected, was $28.1 million. Of that total, $8.2 million was secured by titles to customers’ automobiles. These amounts include principal, interest and insufficient funds fees.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fiscal year ended September 30, 2014, these collectively amounted to $22.8 million.</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operating lease obligations in the table above include expected rent for all our store locations through the end of their current lease terms. Of the 506 U.S. financial services stores, 215 adjoin a pawn store and are covered by the same lease agreement. The lease agreements at approximately 95% of the remaining 291 free-standing U.S. financial services stores contain provisions that limit our exposure for additional rent to only a few months if laws were enacted that had a significant negative effect on our operations at these stores. If such laws were passed, the space currently utilized by stores adjoining pawn stores could be re-incorporated into the pawn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252525"/>
        </w:rPr>
        <w:t>Sources of Cash</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252525"/>
        </w:rPr>
        <w:t xml:space="preserve">In June 2014, we issued $200.0 million aggregate principal amount of 2.125% cash convertible senior notes due 2019 (the </w:t>
      </w:r>
      <w:r>
        <w:rPr>
          <w:rFonts w:ascii="Arial" w:cs="Arial" w:eastAsia="Arial" w:hAnsi="Arial"/>
          <w:sz w:val="16"/>
          <w:szCs w:val="16"/>
          <w:color w:val="000000"/>
        </w:rPr>
        <w:t>“Convertible Notes”). We granted</w:t>
      </w:r>
      <w:r>
        <w:rPr>
          <w:rFonts w:ascii="Arial" w:cs="Arial" w:eastAsia="Arial" w:hAnsi="Arial"/>
          <w:sz w:val="16"/>
          <w:szCs w:val="16"/>
          <w:color w:val="252525"/>
        </w:rPr>
        <w:t xml:space="preserve"> </w:t>
      </w:r>
      <w:r>
        <w:rPr>
          <w:rFonts w:ascii="Arial" w:cs="Arial" w:eastAsia="Arial" w:hAnsi="Arial"/>
          <w:sz w:val="16"/>
          <w:szCs w:val="16"/>
          <w:color w:val="000000"/>
        </w:rPr>
        <w:t xml:space="preserve">the initial purchasers the option to purchase up to an additional $30.0 million aggregate principal amount of Convertible Notes. On June 27, 2014, such option was exercised in full, and we issued the additional $30.0 million of Convertible Notes on July 2, 2014. All of the Convertible Notes were issued </w:t>
      </w:r>
      <w:r>
        <w:rPr>
          <w:rFonts w:ascii="Arial" w:cs="Arial" w:eastAsia="Arial" w:hAnsi="Arial"/>
          <w:sz w:val="16"/>
          <w:szCs w:val="16"/>
          <w:color w:val="252525"/>
        </w:rPr>
        <w:t>pursuant to</w:t>
      </w:r>
      <w:r>
        <w:rPr>
          <w:rFonts w:ascii="Arial" w:cs="Arial" w:eastAsia="Arial" w:hAnsi="Arial"/>
          <w:sz w:val="16"/>
          <w:szCs w:val="16"/>
          <w:color w:val="000000"/>
        </w:rPr>
        <w:t xml:space="preserve"> </w:t>
      </w:r>
      <w:r>
        <w:rPr>
          <w:rFonts w:ascii="Arial" w:cs="Arial" w:eastAsia="Arial" w:hAnsi="Arial"/>
          <w:sz w:val="16"/>
          <w:szCs w:val="16"/>
          <w:color w:val="252525"/>
        </w:rPr>
        <w:t xml:space="preserve">an indenture dated June 23, 2014 (the "Indenture") by and between us and Wells Fargo Bank, National Association as the trustee. The Convertible Notes were issued in a private offering </w:t>
      </w:r>
      <w:r>
        <w:rPr>
          <w:rFonts w:ascii="Arial" w:cs="Arial" w:eastAsia="Arial" w:hAnsi="Arial"/>
          <w:sz w:val="16"/>
          <w:szCs w:val="16"/>
          <w:color w:val="000000"/>
        </w:rPr>
        <w:t>pursuant to Rule 144A under the Securities Act of 1933.</w:t>
      </w:r>
      <w:r>
        <w:rPr>
          <w:rFonts w:ascii="Arial" w:cs="Arial" w:eastAsia="Arial" w:hAnsi="Arial"/>
          <w:sz w:val="16"/>
          <w:szCs w:val="16"/>
          <w:color w:val="252525"/>
        </w:rPr>
        <w:t xml:space="preserve"> The Convertible Notes pay interest semi-annually in arrears at a rate of</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252525"/>
        </w:rPr>
        <w:t>2.125% per annum on June 15 and December 15 of each year, commencing on December 15, 2014, and will mature on June 15, 2019 (the "Maturity Date"). Upon conversion or maturity, the Convertible Notes will be settled only in cash (including, in the case of conversion, an amount of cash representing the net value attributable to certain increases in the price of our Class A Non-voting Common Stock).</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252525"/>
        </w:rPr>
        <w:t>Prior to December 15, 2018, the Convertible Notes will be convertible only upon the occurrence of certain events and during certain periods, and thereafter, at any time prior to the close of business on the second scheduled trading day immediately preceding the Maturity Date, as described in the indenture. The Convertible Notes are convertible into cash based on an initial conversion rate of 62.2471 shares of Class A Non-voting Common Stock per $1,000 principal amount of Convertible Notes (equivalent to an initial conversion price of approximately $16.065 per share of our Class A Non-voting Common Stock). The conversion rate will not be adjusted for any accrued and unpaid interest.</w:t>
      </w:r>
    </w:p>
    <w:p>
      <w:pPr>
        <w:spacing w:after="0" w:line="13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entered into hedges with counterparties to limit our exposure to the additional cash payments above the $230.0 million aggregate principal amount of the Convertible Notes that may be due to the holders upon conversion. In separate transactions, we sold warrants with a strike price of $20.83 per share.</w:t>
      </w:r>
    </w:p>
    <w:p>
      <w:pPr>
        <w:spacing w:after="0" w:line="70"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252525"/>
        </w:rPr>
        <w:t>The Convertible Notes are our unsubordinated unsecured obligations and rank senior in right of payment to any of our indebtedness that is expressly subordinated in right of payment to the Convertible Notes; equal in right of payment with all of our other unsecured unsubordinated indebtedness; and effectively junior to all debt or other obligations (including trade payables) of our wholly-owned subsidiaries.</w:t>
      </w:r>
    </w:p>
    <w:p>
      <w:pPr>
        <w:spacing w:after="0" w:line="1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As of December 31, 2014, the Convertible Notes are not convertible because the </w:t>
      </w:r>
      <w:r>
        <w:rPr>
          <w:rFonts w:ascii="Arial" w:cs="Arial" w:eastAsia="Arial" w:hAnsi="Arial"/>
          <w:sz w:val="16"/>
          <w:szCs w:val="16"/>
          <w:color w:val="252525"/>
        </w:rPr>
        <w:t>conversion conditions</w:t>
      </w:r>
      <w:r>
        <w:rPr>
          <w:rFonts w:ascii="Arial" w:cs="Arial" w:eastAsia="Arial" w:hAnsi="Arial"/>
          <w:sz w:val="16"/>
          <w:szCs w:val="16"/>
          <w:color w:val="auto"/>
        </w:rPr>
        <w:t xml:space="preserve"> have not been met. Accordingly, the net balance of the Convertible Notes of $187.7 million is classified as a non-current liability on our condensed consolidated balance sheets as of December 31, 2014.</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an additional description of the Convertible Notes, the conversion terms thereof and the hedges and warrants transactions, see Note 6 "Long-term Debt and Capital Lease Obligations" in the notes to the condensed consolidated financial statements.</w:t>
      </w:r>
    </w:p>
    <w:p>
      <w:pPr>
        <w:spacing w:after="0" w:line="1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As of December 31, 2014, Grupo Finmart's third party debt (non-recourse to EZCORP) was $115.9 million, with a weighted-average interest rate of 9%. Since the acquisition of Grupo Finmart in January 2012, Grupo Finmart's debt has increased $6.2 million, and its weighted-average interest rate has decreased 10 percentage points, due to debt refinancing. This refinancing effort was a key assumption in our investment analysis and will result in significantly reduced interest expenses going forward.</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July 2012 Grupo Finmart transferred certain consumer loans to a bankruptcy remote trust in a securitization transaction. The securitization borrowing facility had a maximum capacity of approximately $115.4 million. On February 17, 2014, Grupo Finmart repaid this facility and entered into a new securitization transaction to transfer collection rights of certain eligible consumer loans to a bankruptcy remote trust. As of December 31, 2014, $49.5 million was outstanding under the securitization borrowing facility. The trust received financing as a result of the issuance of debt securities and delivered the proceeds of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financing to Grupo Finmart. The unrestricted cash received from this borrowing in the amount of $31.3 million was primarily used to repay the previous securitization borrowing facility due in 2017 and the transaction costs associated with this transaction. The cash proceeds of approximately $18.2 million is restricted primarily for $15.8 million of collection rights on the additional eligible loans from Grupo Finmart, which Grupo Finmart expects to deliver to the trust within the next 12 months, and $2.4 million of interest and trust maintenance costs to be recovered at repayment. The restricted cash proceeds of $15.8 million are recourse to Grupo Finmart unless additional eligible loans are delivered within two-year period specified in the agreement. As a result of higher average debt outstanding and greater utilization of our revolver, we have experienced an increase in payments on bank borrowings and revolving line of credit. We expect Grupo Finmart to continue its use of the borrowing facility, in addition to structured sales of assets, and utilize proceeds to fund loan originations, operations and contractual obligations.</w:t>
      </w:r>
    </w:p>
    <w:p>
      <w:pPr>
        <w:spacing w:after="0" w:line="1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anticipate that cash flow from operations and our cash on hand will be adequate to fund our contractual obligations, planned store growth, capital expenditures and working capital requirements during the remainder of the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issue letters of credit to enhance the creditworthiness of our credit service customers seeking unsecured consumer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condensed consolidated balance sheets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include an allowance for expected LOC losses under "Accounts payable and other accrued expenses" on our condensed consolidated balance sheets. As of December 31, 2014 the allowance for expected LOC losses was $3.3 million. At that date, our maximum exposure for losses on letters of credit, if all brokered loans defaulted and none were collected, was $28.1 million. This amount includes principal, interest and insufficient funds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 — Risk Factors" of this Quarterly Report and "Part I, Item 1A — Risk Factors" of our Annual Report on Form 10-K for the year ended September 30, 2014.</w:t>
      </w:r>
    </w:p>
    <w:p>
      <w:pPr>
        <w:spacing w:after="0" w:line="1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2014. There have been no material changes to our exposure to market risks since September 30, 2014.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December 31, 2014. Based on that evaluation, our Chief Executive Officer and Chief Financial Officer concluded that our disclosure controls and procedures were effective as of December 31,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 13a-15(f)) during the quarter ended December 31, 2014 that have materially affected or are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are currently subject to various litigation and regulatory actions. In addition to the matters described in Note 10 of "Part I, Item 1 — Condensed Consolidated Financial Statements and Supplementary Data," we are from time to time subject to other legal and regulatory actions, including the following:</w:t>
      </w:r>
    </w:p>
    <w:p>
      <w:pPr>
        <w:spacing w:after="0" w:line="70" w:lineRule="exact"/>
        <w:rPr>
          <w:sz w:val="20"/>
          <w:szCs w:val="20"/>
          <w:color w:val="auto"/>
        </w:rPr>
      </w:pPr>
    </w:p>
    <w:p>
      <w:pPr>
        <w:ind w:left="660" w:right="2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CFPB </w:t>
      </w:r>
      <w:r>
        <w:rPr>
          <w:rFonts w:ascii="Arial" w:cs="Arial" w:eastAsia="Arial" w:hAnsi="Arial"/>
          <w:sz w:val="18"/>
          <w:szCs w:val="18"/>
          <w:color w:val="auto"/>
        </w:rPr>
        <w:t>— In February 2014, we received a Civil Investigative Demand ("CID") from the Consumer Financial Protection Bureau ("CFPB"). The CID</w:t>
      </w:r>
      <w:r>
        <w:rPr>
          <w:rFonts w:ascii="Arial" w:cs="Arial" w:eastAsia="Arial" w:hAnsi="Arial"/>
          <w:sz w:val="18"/>
          <w:szCs w:val="18"/>
          <w:i w:val="1"/>
          <w:iCs w:val="1"/>
          <w:color w:val="auto"/>
        </w:rPr>
        <w:t xml:space="preserve"> </w:t>
      </w:r>
      <w:r>
        <w:rPr>
          <w:rFonts w:ascii="Arial" w:cs="Arial" w:eastAsia="Arial" w:hAnsi="Arial"/>
          <w:sz w:val="18"/>
          <w:szCs w:val="18"/>
          <w:color w:val="auto"/>
        </w:rPr>
        <w:t>requested us to produce documents and provide answers to written questions. We submitted all information requested by this CID. In October 2014, we received a follow-up CID requesting additional information regarding certain of the matters addressed in the initial CID, and since then, the CFPB has taken oral testimony from Company representatives and has requested certain follow-up information. We continue to cooperate fully with the CFPB in its investigation. To date, no claims have been asserted by the CFPB as a result of our responses, although there can be no assurance that the CFPB will not assert claims, including that one or more of our historical practices constitute "unfair, deceptive or abusive acts or practices" ("UDAAP"), as defined in the Dodd-</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22" w:right="29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60"/>
        <w:spacing w:after="0" w:line="324" w:lineRule="auto"/>
        <w:rPr>
          <w:sz w:val="20"/>
          <w:szCs w:val="20"/>
          <w:color w:val="auto"/>
        </w:rPr>
      </w:pPr>
      <w:r>
        <w:rPr>
          <w:rFonts w:ascii="Arial" w:cs="Arial" w:eastAsia="Arial" w:hAnsi="Arial"/>
          <w:sz w:val="18"/>
          <w:szCs w:val="18"/>
          <w:color w:val="auto"/>
        </w:rPr>
        <w:t>Frank Wall Street Reform and Consumer Protection Act of 2010. Any such claim could require us to pay fines, penalties and/or customer restitution, or could result in changes to our business practices to address the claims asserted.</w:t>
      </w:r>
    </w:p>
    <w:p>
      <w:pPr>
        <w:spacing w:after="0" w:line="89" w:lineRule="exact"/>
        <w:rPr>
          <w:sz w:val="20"/>
          <w:szCs w:val="20"/>
          <w:color w:val="auto"/>
        </w:rPr>
      </w:pPr>
    </w:p>
    <w:p>
      <w:pPr>
        <w:ind w:left="660" w:right="200" w:hanging="328"/>
        <w:spacing w:after="0" w:line="29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FCA </w:t>
      </w:r>
      <w:r>
        <w:rPr>
          <w:rFonts w:ascii="Arial" w:cs="Arial" w:eastAsia="Arial" w:hAnsi="Arial"/>
          <w:sz w:val="16"/>
          <w:szCs w:val="16"/>
          <w:color w:val="auto"/>
        </w:rPr>
        <w:t>— In the course of evaluating and preparing our Cash Genie business (our U.K. online lending business, which we discontinued in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2014) for compliance with new guidelines and rules issued by the Financial Conduct Authority ("FCA"), we noted three issues primarily related to our legacy business and self-reported those to the FCA in June 2014 and have been in regular dialog with the FCA regarding those issues since. In July 2014, we agreed to the imposition of a Voluntary Requirement formalizing our commitment to review and evaluate the issues under the oversight of an independent "skilled person" appointed by the FCA to determine whether customers have been adversely affected by those issues and, if so, to assess the redress that would be appropriate. Grant Thornton was selected as the skilled person to oversee the process (referred to as a "section 166 process"), which commenced in November 2014. The section 166 process is ongoing, and at this point, we are unable to determine whether resolution of this matter will have a material adverse effect on our results of operations.</w:t>
      </w:r>
    </w:p>
    <w:p>
      <w:pPr>
        <w:spacing w:after="0" w:line="11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unable to determine the ultimate outcome of any current litigation or regulatory actions.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results of operations and could negatively affect our reputation.</w:t>
      </w:r>
    </w:p>
    <w:p>
      <w:pPr>
        <w:spacing w:after="0" w:line="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procured management liability insurance policies that should protect us from much of the potential exposure related to the shareholder derivative litigation and the federal securities litigation described in Note 10 of "Part I, Item 1 — Condensed Consolidated Financial Statements and Supplementary Data." However, under the terms of those policies, we bear the first $1 million of costs or liability associated with those actions. Consequently, we expect that our results of operations will be adversely affected by the current litigation until we exhaust the retention under our management liability insurance policies. In addition, to the extent that our ultimate liability in the current litigation or any subsequent litigation that is included in the same policy year exceeds the management liability policy limits, our results of operations could be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2014. These factors are further supplemented by those discussed in "Part II, Item 7A — Quantitative and Qualitative Disclosures about Market Risk" of our Annual Report on Form 10-K for the year ended September 30, 2014 and in “Part I, Item 3 — Quantitative and Qualitative Disclosures about Market Risk” and "Part II — Item 1 — Legal Proceedings" of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following disclosure is not required. However, we are providing this information on a voluntary basis in the interest of transparency to investors.</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December 2014, Phillip E. Cohen, the beneficial owner of all of our outstanding Class B Voting Common Stock, made a $550,000 personal loan to Stuart I. Grimshaw, our Chief Executive Officer. The loan bears interest at the rate of 4.5% per annum and is due to be repaid in 12 months. The Company had no involvement in this personal transaction between Mr. Grimshaw and Mr. Cohen.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31.1*</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Certification of Stuart I. Grimshaw, Chief Executive Officer, pursuant to Rule 13a-14(a) under the Securities Exchange Act of</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 of Mark E. Kuchenrither, Chief Financial Officer, pursuant to Rule 13a-14(a) under the Securities Exchange Act of</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Certifications of Stuart I. Grimshaw, Chief Executive Officer, and Mark E. Kuchenrither, Chief Financial Officer, pursuant to 18</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r>
        <w:trPr>
          <w:trHeight w:val="50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rPr>
              <w:t>101.INS***</w:t>
            </w:r>
          </w:p>
        </w:tc>
        <w:tc>
          <w:tcPr>
            <w:tcW w:w="94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101.SCH***</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101.CAL***</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101.LAB***</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101.DEF***</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101.PRE***</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00" w:hanging="465"/>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500" w:right="100" w:hanging="465"/>
        <w:spacing w:after="0" w:line="297"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December 31, 2014, December 31, 2013 and September 30, 2014; (ii) Condensed Consolidated Statements of Operations for the three months ended December 31, 2014 and December 31, 2013; (iii) Condensed Consolidated Statements of Comprehensive (Loss) Income for the three months ended December 31, 2014 and December 31, 2013 (iv) Condensed Consolidated Statements of Cash Flows for the three months ended December 31, 2014 and December 31, 2013; and (v) Notes to Interim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w:t>
      </w:r>
    </w:p>
    <w:p>
      <w:pPr>
        <w:spacing w:after="0" w:line="387"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February 6, 2015</w:t>
      </w:r>
      <w:r>
        <w:rPr>
          <w:sz w:val="20"/>
          <w:szCs w:val="20"/>
          <w:color w:val="auto"/>
        </w:rPr>
        <w:tab/>
      </w:r>
      <w:r>
        <w:rPr>
          <w:rFonts w:ascii="Arial" w:cs="Arial" w:eastAsia="Arial" w:hAnsi="Arial"/>
          <w:sz w:val="16"/>
          <w:szCs w:val="16"/>
          <w:color w:val="auto"/>
        </w:rPr>
        <w:t>/s/ Stephen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M. Brown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Chief 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122" w:right="4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31.1*</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Certification of Stuart I. Grimshaw, Chief Executive Officer, pursuant to Rule 13a-14(a) under the Securities Exchange Act of</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 of Mark E. Kuchenrither, Chief Financial Officer, pursuant to Rule 13a-14(a) under the Securities Exchange Act of</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4"/>
              </w:rPr>
              <w:t>Certifications of Stuart I. Grimshaw, Chief Executive Officer, and Mark E. Kuchenrither, Chief Financial Officer, pursuant to 18</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r>
        <w:trPr>
          <w:trHeight w:val="50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rPr>
              <w:t>101.INS***</w:t>
            </w:r>
          </w:p>
        </w:tc>
        <w:tc>
          <w:tcPr>
            <w:tcW w:w="94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101.SCH***</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101.CAL***</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101.LAB***</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101.DEF***</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101.PRE***</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20" w:hanging="458"/>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20" w:hanging="458"/>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520" w:right="80" w:hanging="458"/>
        <w:spacing w:after="0" w:line="297"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December 31, 2014, December 31, 2013 and September 30, 2014; (ii) Condensed Consolidated Statements of Operations for the three months ended December 31, 2014 and December 31, 2013; (iii) Condensed Consolidated Statements of Comprehensive (Loss) Income for the three months ended December 31, 2014 and December 31, 2013 (iv) Condensed Consolidated Statements of Cash Flows for the three months ended December 31, 2014 and December 31, 2013; and (v) Notes to Interim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6, 2015</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Mark E. Kuchenrither,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Mark E. Kuchenrither, certify that:</w:t>
      </w:r>
    </w:p>
    <w:p>
      <w:pPr>
        <w:spacing w:after="0" w:line="171"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6, 2015</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E. Kuchenrither</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Chief Operating Officer and Chief Financial</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Certifications of Stuart I. Grimshaw, Chief Executive Officer, and Mark E. Kuchenrither, Chief Financial Officer, pursuant to 18 U.S.C.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as adopted pursuant to Section 906 of the Sarbanes-Oxley Act of 2002</w:t>
      </w:r>
    </w:p>
    <w:p>
      <w:pPr>
        <w:spacing w:after="0" w:line="15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December 31, 2014,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February 6, 2015</w:t>
      </w:r>
      <w:r>
        <w:rPr>
          <w:sz w:val="20"/>
          <w:szCs w:val="20"/>
          <w:color w:val="auto"/>
        </w:rPr>
        <w:tab/>
      </w: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February 6, 2015</w:t>
      </w:r>
      <w:r>
        <w:rPr>
          <w:sz w:val="20"/>
          <w:szCs w:val="20"/>
          <w:color w:val="auto"/>
        </w:rPr>
        <w:tab/>
      </w:r>
      <w:r>
        <w:rPr>
          <w:rFonts w:ascii="Arial" w:cs="Arial" w:eastAsia="Arial" w:hAnsi="Arial"/>
          <w:sz w:val="16"/>
          <w:szCs w:val="16"/>
          <w:color w:val="auto"/>
        </w:rPr>
        <w:t>/s/ 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Mark E. Kuchenrither</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Chief Operating Officer and Chief</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2020-01-22T13:52:24Z</dcterms:created>
  <dcterms:modified xsi:type="dcterms:W3CDTF">2020-01-22T13:52:24Z</dcterms:modified>
</cp:coreProperties>
</file>