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16,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16, 2014, EZCORP, Inc. (the “Company”) issued a press release disclosing forecasts of its financial results for the second half of fiscal year 2014. A copy of that press release is furnished as Exhibit 99.1 to this Report.</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press release contains the non-GAAP financial measures of Adjusted Net Income Attributable to EZCORP, Inc. and Adjusted Earnings per Share Attributable to EZCORP, Inc. The Company defines Adjusted Net Income Attributable to EZCORP, Inc. and Adjusted Earnings per Share Attributable to EZCORP, Inc. as reported Net Income to EZCORP, Inc. and reported EPS attributable to EZCORP, Inc., less non-recurring or unusual items, including expenses/charges related to organizational changes like discontinued operations, non-operating items related to our Board of Directors, unscheduled material events, unusual earnings from non-controlled affiliate investments and non-cash writedowns of affiliate investments. The Company’s management believes the use of non-GAAP measures assists investors in understanding the ongoing operating performance by presenting comparable financial results between periods. Adjusted Net Income Attributable to EZCORP, Inc. and Adjusted Earnings per Share Attributable to EZCORP, Inc. provide a supplemental presentation of our operating performance. Adjusted Net Income Attributable to EZCORP, Inc. and Adjusted Earnings per Share Attributable to EZCORP, Inc.: (i) do not represent net income or cash flows from operating activities as defined by GAAP; (ii) are not necessarily indicative of cash available to fund the Company’s cash flow needs; and (iii) should not be considered as alternatives to net income, income from operations, cash provided by operating activities or our other financial information as determined under GAAP. The Company’s management believes that net income and earnings per share are the most directly comparable GAAP measures to Adjusted Net Income Attributable to EZCORP, Inc. and Adjusted Earnings per Share Attributable to EZCORP, Inc.</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General Instruction B.2 of Form 8-K, the information presented herein under Item 2.02 and set forth in the attached Exhibit 99.1 shall not be deemed to be “filed” for the purposes of Section 18 of the Securities Exchange Act of 1934, as amended (the “Exchange Act”), or otherwise subject to the liability of that section, and is not to be incorporated by reference into any filing of the Company under the Securities Act of 1933 or the Exchange Act, except as shall be expressly set forth by specific reference in such a filing.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EZCORP, Inc., dated June 16, 2014.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8"/>
          <w:szCs w:val="18"/>
          <w:color w:val="auto"/>
        </w:rPr>
        <w:t>Date: June 16, 2014</w:t>
      </w:r>
      <w:r>
        <w:rPr>
          <w:sz w:val="20"/>
          <w:szCs w:val="20"/>
          <w:color w:val="auto"/>
        </w:rPr>
        <w:tab/>
      </w:r>
      <w:r>
        <w:rPr>
          <w:rFonts w:ascii="Arial" w:cs="Arial" w:eastAsia="Arial" w:hAnsi="Arial"/>
          <w:sz w:val="16"/>
          <w:szCs w:val="16"/>
          <w:color w:val="auto"/>
        </w:rPr>
        <w:t>By: /s/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31750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General Counsel and Secretary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r>
      <w:tr>
        <w:trPr>
          <w:trHeight w:val="426"/>
        </w:trPr>
        <w:tc>
          <w:tcPr>
            <w:tcW w:w="2520" w:type="dxa"/>
            <w:vAlign w:val="bottom"/>
          </w:tcPr>
          <w:p>
            <w:pPr>
              <w:jc w:val="right"/>
              <w:ind w:right="101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Press release of EZCORP, Inc., dated June 16, 2014.</w:t>
            </w:r>
          </w:p>
        </w:tc>
      </w:tr>
    </w:tbl>
    <w:p>
      <w:pPr>
        <w:sectPr>
          <w:pgSz w:w="11900" w:h="16838" w:orient="portrait"/>
          <w:cols w:equalWidth="0" w:num="1">
            <w:col w:w="11420"/>
          </w:cols>
          <w:pgMar w:left="240" w:top="58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175260</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ANNOUNCES EARNINGS OUTLOOK FOR FISCAL YEAR 2014</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Expects Non-GAAP Earnings Growth of more than 80% in Second Half</w:t>
      </w:r>
    </w:p>
    <w:p>
      <w:pPr>
        <w:spacing w:after="0" w:line="200" w:lineRule="exact"/>
        <w:rPr>
          <w:sz w:val="20"/>
          <w:szCs w:val="20"/>
          <w:color w:val="auto"/>
        </w:rPr>
      </w:pPr>
    </w:p>
    <w:p>
      <w:pPr>
        <w:spacing w:after="0" w:line="235" w:lineRule="exact"/>
        <w:rPr>
          <w:sz w:val="20"/>
          <w:szCs w:val="20"/>
          <w:color w:val="auto"/>
        </w:rPr>
      </w:pPr>
    </w:p>
    <w:p>
      <w:pPr>
        <w:jc w:val="both"/>
        <w:ind w:right="240"/>
        <w:spacing w:after="0" w:line="256" w:lineRule="auto"/>
        <w:rPr>
          <w:sz w:val="20"/>
          <w:szCs w:val="20"/>
          <w:color w:val="auto"/>
        </w:rPr>
      </w:pPr>
      <w:r>
        <w:rPr>
          <w:rFonts w:ascii="Arial" w:cs="Arial" w:eastAsia="Arial" w:hAnsi="Arial"/>
          <w:sz w:val="22"/>
          <w:szCs w:val="22"/>
          <w:b w:val="1"/>
          <w:bCs w:val="1"/>
          <w:color w:val="auto"/>
        </w:rPr>
        <w:t xml:space="preserve">AUSTIN, Texas </w:t>
      </w:r>
      <w:r>
        <w:rPr>
          <w:rFonts w:ascii="Arial" w:cs="Arial" w:eastAsia="Arial" w:hAnsi="Arial"/>
          <w:sz w:val="22"/>
          <w:szCs w:val="22"/>
          <w:color w:val="auto"/>
        </w:rPr>
        <w:t>(June 16, 2014)</w:t>
      </w:r>
      <w:r>
        <w:rPr>
          <w:rFonts w:ascii="Arial" w:cs="Arial" w:eastAsia="Arial" w:hAnsi="Arial"/>
          <w:sz w:val="22"/>
          <w:szCs w:val="22"/>
          <w:b w:val="1"/>
          <w:bCs w:val="1"/>
          <w:color w:val="auto"/>
        </w:rPr>
        <w:t xml:space="preserve"> — </w:t>
      </w:r>
      <w:r>
        <w:rPr>
          <w:rFonts w:ascii="Arial" w:cs="Arial" w:eastAsia="Arial" w:hAnsi="Arial"/>
          <w:sz w:val="22"/>
          <w:szCs w:val="22"/>
          <w:color w:val="auto"/>
        </w:rPr>
        <w:t>EZCORP, Inc. (NASDAQ: EZPW), a leading provider of easy cash solutions for consumers,</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its outlook for the second half of fiscal year 2014, and noted that it will provide estimates for earnings per share on both a quarterly and an annual basis going forward.</w:t>
      </w:r>
    </w:p>
    <w:p>
      <w:pPr>
        <w:spacing w:after="0" w:line="182"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For the second half of fiscal year 2014, the company expects earnings per share in the range of $0.60 to $0.64 compared to a loss of $(0.57) for the second half last year. On a non-GAAP basis, these expected results represent second half earnings growth of more than 80%. This guidance is in line with the business outlook the company has previously provided. Please see the attached chart for a reconciliation between the company’s non-GAAP and GAAP results and expectations.</w:t>
      </w:r>
    </w:p>
    <w:p>
      <w:pPr>
        <w:spacing w:after="0" w:line="143"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The company expects earnings per share in the range of $0.20 to $0.22 for the third quarter (ending June 30), and $0.40 to $0.42 for the fourth quarter (ending September 30). On a non-GAAP basis, the fourth quarter expected results compare to $0.09 last year, up over 300%. These results are expected to be driven by improving trends in the company's pawn and financial services loan metrics in the U.S. and Mexico, continued strong retail sales in the U.S., and improving overhead expense trends at the consolidated level.</w:t>
      </w:r>
    </w:p>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The company estimates that its earnings per share outlook for the fourth quarter of fiscal 2014 may be reduced by $0.02 to $0.03 if it successfully completes the convertible debt offering that was announced simultaneously with this release.</w:t>
      </w:r>
    </w:p>
    <w:p>
      <w:pPr>
        <w:spacing w:after="0" w:line="14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i w:val="1"/>
          <w:iCs w:val="1"/>
          <w:color w:val="auto"/>
        </w:rPr>
        <w:t xml:space="preserve">The company provides supplemental information on its website. For a reconciliation of EZCORP’s last six fiscal quarters GAAP and adjusted EPS results, please see "Investor Resources &amp; Supplemental Information" at </w:t>
      </w:r>
      <w:r>
        <w:rPr>
          <w:rFonts w:ascii="Arial" w:cs="Arial" w:eastAsia="Arial" w:hAnsi="Arial"/>
          <w:sz w:val="20"/>
          <w:szCs w:val="20"/>
          <w:i w:val="1"/>
          <w:iCs w:val="1"/>
          <w:u w:val="single" w:color="auto"/>
          <w:color w:val="0000FF"/>
        </w:rPr>
        <w:t>http://investors.ezcorp.com/</w:t>
      </w:r>
      <w:r>
        <w:rPr>
          <w:rFonts w:ascii="Arial" w:cs="Arial" w:eastAsia="Arial" w:hAnsi="Arial"/>
          <w:sz w:val="20"/>
          <w:szCs w:val="20"/>
          <w:i w:val="1"/>
          <w:iCs w:val="1"/>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26" w:lineRule="exact"/>
        <w:rPr>
          <w:sz w:val="20"/>
          <w:szCs w:val="20"/>
          <w:color w:val="auto"/>
        </w:rPr>
      </w:pPr>
    </w:p>
    <w:p>
      <w:pPr>
        <w:ind w:right="140"/>
        <w:spacing w:after="0" w:line="261" w:lineRule="auto"/>
        <w:rPr>
          <w:sz w:val="20"/>
          <w:szCs w:val="20"/>
          <w:color w:val="auto"/>
        </w:rPr>
      </w:pPr>
      <w:r>
        <w:rPr>
          <w:rFonts w:ascii="Arial" w:cs="Arial" w:eastAsia="Arial" w:hAnsi="Arial"/>
          <w:sz w:val="21"/>
          <w:szCs w:val="21"/>
          <w:color w:val="auto"/>
        </w:rPr>
        <w:t>EZCORP, Inc. is a leader in delivering easy cash solutions to our customers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spacing w:after="0" w:line="180"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the latest information on EZCORP, please visit our website at: </w:t>
      </w:r>
      <w:r>
        <w:rPr>
          <w:rFonts w:ascii="Arial" w:cs="Arial" w:eastAsia="Arial" w:hAnsi="Arial"/>
          <w:sz w:val="22"/>
          <w:szCs w:val="22"/>
          <w:u w:val="single" w:color="auto"/>
          <w:color w:val="auto"/>
        </w:rPr>
        <w:t>http://investors.ezcorp.com/</w:t>
      </w:r>
      <w:r>
        <w:rPr>
          <w:rFonts w:ascii="Arial" w:cs="Arial" w:eastAsia="Arial" w:hAnsi="Arial"/>
          <w:sz w:val="22"/>
          <w:szCs w:val="22"/>
          <w:color w:val="auto"/>
        </w:rPr>
        <w:t>.</w:t>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This announcement contains certain forward-looking statements regarding the company’s expected operating and financial performance for future periods.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01" w:right="299" w:bottom="1440" w:gutter="0" w:footer="0" w:header="0"/>
        </w:sectPr>
      </w:pPr>
    </w:p>
    <w:bookmarkStart w:id="4" w:name="page5"/>
    <w:bookmarkEnd w:id="4"/>
    <w:p>
      <w:pPr>
        <w:ind w:left="40"/>
        <w:spacing w:after="0"/>
        <w:rPr>
          <w:sz w:val="20"/>
          <w:szCs w:val="20"/>
          <w:color w:val="auto"/>
        </w:rPr>
      </w:pPr>
      <w:r>
        <w:rPr>
          <w:rFonts w:ascii="Arial" w:cs="Arial" w:eastAsia="Arial" w:hAnsi="Arial"/>
          <w:sz w:val="14"/>
          <w:szCs w:val="14"/>
          <w:b w:val="1"/>
          <w:bCs w:val="1"/>
          <w:color w:val="auto"/>
        </w:rPr>
        <w:t>EZCORP, Inc.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Earnings (Loss) Per Share - Actual and Guidance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 except share data)</w:t>
      </w: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9"/>
          </w:tcPr>
          <w:p>
            <w:pPr>
              <w:jc w:val="right"/>
              <w:ind w:right="269"/>
              <w:spacing w:after="0"/>
              <w:rPr>
                <w:sz w:val="20"/>
                <w:szCs w:val="20"/>
                <w:color w:val="auto"/>
              </w:rPr>
            </w:pPr>
            <w:r>
              <w:rPr>
                <w:rFonts w:ascii="Arial" w:cs="Arial" w:eastAsia="Arial" w:hAnsi="Arial"/>
                <w:sz w:val="14"/>
                <w:szCs w:val="14"/>
                <w:b w:val="1"/>
                <w:bCs w:val="1"/>
                <w:color w:val="000005"/>
                <w:w w:val="96"/>
              </w:rPr>
              <w:t>Second Half FY2014 Comparable Results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9"/>
          </w:tcPr>
          <w:p>
            <w:pPr>
              <w:jc w:val="right"/>
              <w:ind w:right="190"/>
              <w:spacing w:after="0"/>
              <w:rPr>
                <w:sz w:val="20"/>
                <w:szCs w:val="20"/>
                <w:color w:val="auto"/>
              </w:rPr>
            </w:pPr>
            <w:r>
              <w:rPr>
                <w:rFonts w:ascii="Arial" w:cs="Arial" w:eastAsia="Arial" w:hAnsi="Arial"/>
                <w:sz w:val="14"/>
                <w:szCs w:val="14"/>
                <w:b w:val="1"/>
                <w:bCs w:val="1"/>
                <w:color w:val="000005"/>
                <w:w w:val="97"/>
              </w:rPr>
              <w:t>Fiscal 2013 versus Fiscal 2014 Guidance</w:t>
            </w:r>
          </w:p>
        </w:tc>
        <w:tc>
          <w:tcPr>
            <w:tcW w:w="0" w:type="dxa"/>
            <w:vAlign w:val="bottom"/>
          </w:tcPr>
          <w:p>
            <w:pPr>
              <w:spacing w:after="0"/>
              <w:rPr>
                <w:sz w:val="1"/>
                <w:szCs w:val="1"/>
                <w:color w:val="auto"/>
              </w:rPr>
            </w:pPr>
          </w:p>
        </w:tc>
      </w:tr>
      <w:tr>
        <w:trPr>
          <w:trHeight w:val="143"/>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Fiscal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29"/>
              <w:spacing w:after="0"/>
              <w:rPr>
                <w:sz w:val="20"/>
                <w:szCs w:val="20"/>
                <w:color w:val="auto"/>
              </w:rPr>
            </w:pPr>
            <w:r>
              <w:rPr>
                <w:rFonts w:ascii="Arial" w:cs="Arial" w:eastAsia="Arial" w:hAnsi="Arial"/>
                <w:sz w:val="13"/>
                <w:szCs w:val="13"/>
                <w:b w:val="1"/>
                <w:bCs w:val="1"/>
                <w:color w:val="auto"/>
              </w:rPr>
              <w:t>3Q13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29"/>
              <w:spacing w:after="0"/>
              <w:rPr>
                <w:sz w:val="20"/>
                <w:szCs w:val="20"/>
                <w:color w:val="auto"/>
              </w:rPr>
            </w:pPr>
            <w:r>
              <w:rPr>
                <w:rFonts w:ascii="Arial" w:cs="Arial" w:eastAsia="Arial" w:hAnsi="Arial"/>
                <w:sz w:val="13"/>
                <w:szCs w:val="13"/>
                <w:b w:val="1"/>
                <w:bCs w:val="1"/>
                <w:color w:val="auto"/>
                <w:w w:val="88"/>
              </w:rPr>
              <w:t>3Q14E</w:t>
            </w:r>
          </w:p>
        </w:tc>
        <w:tc>
          <w:tcPr>
            <w:tcW w:w="220" w:type="dxa"/>
            <w:vAlign w:val="bottom"/>
          </w:tcPr>
          <w:p>
            <w:pPr>
              <w:spacing w:after="0"/>
              <w:rPr>
                <w:sz w:val="15"/>
                <w:szCs w:val="15"/>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Variance</w:t>
            </w:r>
          </w:p>
        </w:tc>
        <w:tc>
          <w:tcPr>
            <w:tcW w:w="500" w:type="dxa"/>
            <w:vAlign w:val="bottom"/>
          </w:tcPr>
          <w:p>
            <w:pPr>
              <w:jc w:val="right"/>
              <w:ind w:right="11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3"/>
                <w:szCs w:val="13"/>
                <w:b w:val="1"/>
                <w:bCs w:val="1"/>
                <w:color w:val="auto"/>
              </w:rPr>
              <w:t>4Q13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49"/>
              <w:spacing w:after="0"/>
              <w:rPr>
                <w:sz w:val="20"/>
                <w:szCs w:val="20"/>
                <w:color w:val="auto"/>
              </w:rPr>
            </w:pPr>
            <w:r>
              <w:rPr>
                <w:rFonts w:ascii="Arial" w:cs="Arial" w:eastAsia="Arial" w:hAnsi="Arial"/>
                <w:sz w:val="13"/>
                <w:szCs w:val="13"/>
                <w:b w:val="1"/>
                <w:bCs w:val="1"/>
                <w:color w:val="auto"/>
                <w:w w:val="88"/>
              </w:rPr>
              <w:t>4Q14E</w:t>
            </w:r>
          </w:p>
        </w:tc>
        <w:tc>
          <w:tcPr>
            <w:tcW w:w="220" w:type="dxa"/>
            <w:vAlign w:val="bottom"/>
          </w:tcPr>
          <w:p>
            <w:pPr>
              <w:spacing w:after="0"/>
              <w:rPr>
                <w:sz w:val="15"/>
                <w:szCs w:val="15"/>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Variance</w:t>
            </w:r>
          </w:p>
        </w:tc>
        <w:tc>
          <w:tcPr>
            <w:tcW w:w="500" w:type="dxa"/>
            <w:vAlign w:val="bottom"/>
          </w:tcPr>
          <w:p>
            <w:pPr>
              <w:jc w:val="right"/>
              <w:ind w:right="11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Fiscal 2013</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2014E</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Variance</w:t>
            </w:r>
          </w:p>
        </w:tc>
        <w:tc>
          <w:tcPr>
            <w:tcW w:w="520" w:type="dxa"/>
            <w:vAlign w:val="bottom"/>
          </w:tcPr>
          <w:p>
            <w:pPr>
              <w:jc w:val="right"/>
              <w:ind w:right="13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28"/>
        </w:trPr>
        <w:tc>
          <w:tcPr>
            <w:tcW w:w="1760" w:type="dxa"/>
            <w:vAlign w:val="bottom"/>
          </w:tcPr>
          <w:p>
            <w:pPr>
              <w:spacing w:after="0"/>
              <w:rPr>
                <w:sz w:val="20"/>
                <w:szCs w:val="20"/>
                <w:color w:val="auto"/>
              </w:rPr>
            </w:pPr>
            <w:r>
              <w:rPr>
                <w:rFonts w:ascii="Arial" w:cs="Arial" w:eastAsia="Arial" w:hAnsi="Arial"/>
                <w:sz w:val="14"/>
                <w:szCs w:val="14"/>
                <w:b w:val="1"/>
                <w:bCs w:val="1"/>
                <w:color w:val="auto"/>
              </w:rPr>
              <w:t>Net Income attributable to</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20"/>
                <w:szCs w:val="20"/>
                <w:color w:val="auto"/>
              </w:rPr>
            </w:pPr>
            <w:r>
              <w:rPr>
                <w:rFonts w:ascii="Arial" w:cs="Arial" w:eastAsia="Arial" w:hAnsi="Arial"/>
                <w:sz w:val="14"/>
                <w:szCs w:val="14"/>
                <w:b w:val="1"/>
                <w:bCs w:val="1"/>
                <w:color w:val="auto"/>
              </w:rPr>
              <w:t>EZCORP, Inc.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(5,881)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w w:val="93"/>
              </w:rPr>
              <w:t>10,750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16,631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(24,740)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21,750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46,490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34,077</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w w:val="88"/>
              </w:rPr>
              <w:t>63,061</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28,984</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0"/>
                <w:szCs w:val="20"/>
                <w:color w:val="auto"/>
              </w:rPr>
            </w:pPr>
            <w:r>
              <w:rPr>
                <w:rFonts w:ascii="Arial" w:cs="Arial" w:eastAsia="Arial" w:hAnsi="Arial"/>
                <w:sz w:val="14"/>
                <w:szCs w:val="14"/>
                <w:color w:val="auto"/>
              </w:rPr>
              <w:t>Less Adjustments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(19,042)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19,042</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(29,866)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29,866</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(46,917)</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(7,179)</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39,739</w:t>
            </w: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760" w:type="dxa"/>
            <w:vAlign w:val="bottom"/>
          </w:tcPr>
          <w:p>
            <w:pPr>
              <w:spacing w:after="0" w:line="139" w:lineRule="exact"/>
              <w:rPr>
                <w:sz w:val="20"/>
                <w:szCs w:val="20"/>
                <w:color w:val="auto"/>
              </w:rPr>
            </w:pPr>
            <w:r>
              <w:rPr>
                <w:rFonts w:ascii="Arial" w:cs="Arial" w:eastAsia="Arial" w:hAnsi="Arial"/>
                <w:sz w:val="14"/>
                <w:szCs w:val="14"/>
                <w:b w:val="1"/>
                <w:bCs w:val="1"/>
                <w:color w:val="auto"/>
              </w:rPr>
              <w:t>Adj. Net Income</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b w:val="1"/>
                <w:bCs w:val="1"/>
                <w:color w:val="auto"/>
              </w:rPr>
              <w:t>attributable to EZCORP,</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w w:val="97"/>
              </w:rPr>
              <w:t>13,161</w:t>
            </w:r>
          </w:p>
        </w:tc>
        <w:tc>
          <w:tcPr>
            <w:tcW w:w="22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w w:val="93"/>
              </w:rPr>
              <w:t>10,750</w:t>
            </w:r>
          </w:p>
        </w:tc>
        <w:tc>
          <w:tcPr>
            <w:tcW w:w="22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(2,411)</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5,126</w:t>
            </w:r>
          </w:p>
        </w:tc>
        <w:tc>
          <w:tcPr>
            <w:tcW w:w="24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w w:val="97"/>
              </w:rPr>
              <w:t>21,750</w:t>
            </w:r>
          </w:p>
        </w:tc>
        <w:tc>
          <w:tcPr>
            <w:tcW w:w="22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16,624</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324 %</w:t>
            </w:r>
          </w:p>
        </w:tc>
        <w:tc>
          <w:tcPr>
            <w:tcW w:w="200" w:type="dxa"/>
            <w:vAlign w:val="bottom"/>
            <w:vMerge w:val="restart"/>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w w:val="97"/>
              </w:rPr>
              <w:t>80,994</w:t>
            </w:r>
          </w:p>
        </w:tc>
        <w:tc>
          <w:tcPr>
            <w:tcW w:w="1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30"/>
              <w:spacing w:after="0"/>
              <w:rPr>
                <w:sz w:val="20"/>
                <w:szCs w:val="20"/>
                <w:color w:val="auto"/>
              </w:rPr>
            </w:pPr>
            <w:r>
              <w:rPr>
                <w:rFonts w:ascii="Arial" w:cs="Arial" w:eastAsia="Arial" w:hAnsi="Arial"/>
                <w:sz w:val="14"/>
                <w:szCs w:val="14"/>
                <w:color w:val="auto"/>
                <w:w w:val="88"/>
              </w:rPr>
              <w:t>70,240</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(10,754)</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20"/>
                <w:szCs w:val="20"/>
                <w:color w:val="auto"/>
              </w:rPr>
            </w:pPr>
            <w:r>
              <w:rPr>
                <w:rFonts w:ascii="Arial" w:cs="Arial" w:eastAsia="Arial" w:hAnsi="Arial"/>
                <w:sz w:val="14"/>
                <w:szCs w:val="14"/>
                <w:b w:val="1"/>
                <w:bCs w:val="1"/>
                <w:color w:val="auto"/>
              </w:rPr>
              <w:t>Inc.</w:t>
            </w: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9"/>
              </w:rPr>
              <w:t>Earnings (Loss) Per Share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17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(0.11)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0.20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0.31</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(0.46)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0.40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0.85</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0.63</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0.52</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0"/>
                <w:szCs w:val="20"/>
                <w:color w:val="auto"/>
              </w:rPr>
            </w:pPr>
            <w:r>
              <w:rPr>
                <w:rFonts w:ascii="Arial" w:cs="Arial" w:eastAsia="Arial" w:hAnsi="Arial"/>
                <w:sz w:val="14"/>
                <w:szCs w:val="14"/>
                <w:color w:val="auto"/>
              </w:rPr>
              <w:t>Less Adjustments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c>
          <w:tcPr>
            <w:tcW w:w="2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0.35</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(0.55)</w:t>
            </w:r>
          </w:p>
        </w:tc>
        <w:tc>
          <w:tcPr>
            <w:tcW w:w="24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0.55</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1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2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0.73</w:t>
            </w:r>
          </w:p>
        </w:tc>
        <w:tc>
          <w:tcPr>
            <w:tcW w:w="18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760" w:type="dxa"/>
            <w:vAlign w:val="bottom"/>
          </w:tcPr>
          <w:p>
            <w:pPr>
              <w:spacing w:after="0" w:line="139" w:lineRule="exact"/>
              <w:rPr>
                <w:sz w:val="20"/>
                <w:szCs w:val="20"/>
                <w:color w:val="auto"/>
              </w:rPr>
            </w:pPr>
            <w:r>
              <w:rPr>
                <w:rFonts w:ascii="Arial" w:cs="Arial" w:eastAsia="Arial" w:hAnsi="Arial"/>
                <w:sz w:val="14"/>
                <w:szCs w:val="14"/>
                <w:b w:val="1"/>
                <w:bCs w:val="1"/>
                <w:color w:val="auto"/>
              </w:rPr>
              <w:t>Adjusted Earnings (Loss)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0.24</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0.20</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0.09</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0.40</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0.30</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320 %</w:t>
            </w:r>
          </w:p>
        </w:tc>
        <w:tc>
          <w:tcPr>
            <w:tcW w:w="300" w:type="dxa"/>
            <w:vAlign w:val="bottom"/>
            <w:gridSpan w:val="2"/>
            <w:vMerge w:val="restart"/>
          </w:tcPr>
          <w:p>
            <w:pPr>
              <w:ind w:left="22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1.50</w:t>
            </w:r>
          </w:p>
        </w:tc>
        <w:tc>
          <w:tcPr>
            <w:tcW w:w="1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30"/>
              <w:spacing w:after="0"/>
              <w:rPr>
                <w:sz w:val="20"/>
                <w:szCs w:val="20"/>
                <w:color w:val="auto"/>
              </w:rPr>
            </w:pPr>
            <w:r>
              <w:rPr>
                <w:rFonts w:ascii="Arial" w:cs="Arial" w:eastAsia="Arial" w:hAnsi="Arial"/>
                <w:sz w:val="14"/>
                <w:szCs w:val="14"/>
                <w:color w:val="auto"/>
              </w:rPr>
              <w:t>1.29</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(0.21)</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1760" w:type="dxa"/>
            <w:vAlign w:val="bottom"/>
          </w:tcPr>
          <w:p>
            <w:pPr>
              <w:spacing w:after="0"/>
              <w:rPr>
                <w:sz w:val="20"/>
                <w:szCs w:val="20"/>
                <w:color w:val="auto"/>
              </w:rPr>
            </w:pPr>
            <w:r>
              <w:rPr>
                <w:rFonts w:ascii="Arial" w:cs="Arial" w:eastAsia="Arial" w:hAnsi="Arial"/>
                <w:sz w:val="14"/>
                <w:szCs w:val="14"/>
                <w:b w:val="1"/>
                <w:bCs w:val="1"/>
                <w:color w:val="auto"/>
              </w:rPr>
              <w:t>Per Share</w:t>
            </w: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line="151" w:lineRule="exact"/>
              <w:rPr>
                <w:sz w:val="20"/>
                <w:szCs w:val="20"/>
                <w:color w:val="auto"/>
              </w:rPr>
            </w:pPr>
            <w:r>
              <w:rPr>
                <w:rFonts w:ascii="Arial" w:cs="Arial" w:eastAsia="Arial" w:hAnsi="Arial"/>
                <w:sz w:val="14"/>
                <w:szCs w:val="14"/>
                <w:color w:val="auto"/>
              </w:rPr>
              <w:t>Weighted Average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60" w:type="dxa"/>
            <w:vAlign w:val="bottom"/>
          </w:tcPr>
          <w:p>
            <w:pPr>
              <w:spacing w:after="0"/>
              <w:rPr>
                <w:sz w:val="20"/>
                <w:szCs w:val="20"/>
                <w:color w:val="auto"/>
              </w:rPr>
            </w:pPr>
            <w:r>
              <w:rPr>
                <w:rFonts w:ascii="Arial" w:cs="Arial" w:eastAsia="Arial" w:hAnsi="Arial"/>
                <w:sz w:val="14"/>
                <w:szCs w:val="14"/>
                <w:color w:val="auto"/>
              </w:rPr>
              <w:t>Outstanding Diluted</w:t>
            </w: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54,255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w w:val="93"/>
              </w:rPr>
              <w:t>54,642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1 %</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54,310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54,820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510</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1 %</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53,737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30"/>
              <w:spacing w:after="0"/>
              <w:rPr>
                <w:sz w:val="20"/>
                <w:szCs w:val="20"/>
                <w:color w:val="auto"/>
              </w:rPr>
            </w:pPr>
            <w:r>
              <w:rPr>
                <w:rFonts w:ascii="Arial" w:cs="Arial" w:eastAsia="Arial" w:hAnsi="Arial"/>
                <w:sz w:val="14"/>
                <w:szCs w:val="14"/>
                <w:color w:val="auto"/>
                <w:w w:val="88"/>
              </w:rPr>
              <w:t>54,556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819</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0"/>
        </w:trPr>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329"/>
              <w:spacing w:after="0"/>
              <w:rPr>
                <w:sz w:val="20"/>
                <w:szCs w:val="20"/>
                <w:color w:val="auto"/>
              </w:rPr>
            </w:pPr>
            <w:r>
              <w:rPr>
                <w:rFonts w:ascii="Arial" w:cs="Arial" w:eastAsia="Arial" w:hAnsi="Arial"/>
                <w:sz w:val="14"/>
                <w:szCs w:val="14"/>
                <w:b w:val="1"/>
                <w:bCs w:val="1"/>
                <w:color w:val="000005"/>
              </w:rPr>
              <w:t>First Half FY2014 Comparable Results</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29"/>
              <w:spacing w:after="0"/>
              <w:rPr>
                <w:sz w:val="20"/>
                <w:szCs w:val="20"/>
                <w:color w:val="auto"/>
              </w:rPr>
            </w:pPr>
            <w:r>
              <w:rPr>
                <w:rFonts w:ascii="Arial" w:cs="Arial" w:eastAsia="Arial" w:hAnsi="Arial"/>
                <w:sz w:val="13"/>
                <w:szCs w:val="13"/>
                <w:b w:val="1"/>
                <w:bCs w:val="1"/>
                <w:color w:val="auto"/>
              </w:rPr>
              <w:t>1Q13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1Q14</w:t>
            </w:r>
          </w:p>
        </w:tc>
        <w:tc>
          <w:tcPr>
            <w:tcW w:w="220" w:type="dxa"/>
            <w:vAlign w:val="bottom"/>
          </w:tcPr>
          <w:p>
            <w:pPr>
              <w:spacing w:after="0"/>
              <w:rPr>
                <w:sz w:val="22"/>
                <w:szCs w:val="22"/>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Variance</w:t>
            </w:r>
          </w:p>
        </w:tc>
        <w:tc>
          <w:tcPr>
            <w:tcW w:w="500" w:type="dxa"/>
            <w:vAlign w:val="bottom"/>
          </w:tcPr>
          <w:p>
            <w:pPr>
              <w:jc w:val="right"/>
              <w:ind w:right="11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09"/>
              <w:spacing w:after="0"/>
              <w:rPr>
                <w:sz w:val="20"/>
                <w:szCs w:val="20"/>
                <w:color w:val="auto"/>
              </w:rPr>
            </w:pPr>
            <w:r>
              <w:rPr>
                <w:rFonts w:ascii="Arial" w:cs="Arial" w:eastAsia="Arial" w:hAnsi="Arial"/>
                <w:sz w:val="13"/>
                <w:szCs w:val="13"/>
                <w:b w:val="1"/>
                <w:bCs w:val="1"/>
                <w:color w:val="auto"/>
              </w:rPr>
              <w:t>2Q13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2Q14</w:t>
            </w:r>
          </w:p>
        </w:tc>
        <w:tc>
          <w:tcPr>
            <w:tcW w:w="220" w:type="dxa"/>
            <w:vAlign w:val="bottom"/>
          </w:tcPr>
          <w:p>
            <w:pPr>
              <w:spacing w:after="0"/>
              <w:rPr>
                <w:sz w:val="22"/>
                <w:szCs w:val="22"/>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Variance</w:t>
            </w:r>
          </w:p>
        </w:tc>
        <w:tc>
          <w:tcPr>
            <w:tcW w:w="500" w:type="dxa"/>
            <w:vAlign w:val="bottom"/>
          </w:tcPr>
          <w:p>
            <w:pPr>
              <w:jc w:val="right"/>
              <w:ind w:right="11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1760" w:type="dxa"/>
            <w:vAlign w:val="bottom"/>
          </w:tcPr>
          <w:p>
            <w:pPr>
              <w:spacing w:after="0"/>
              <w:rPr>
                <w:sz w:val="20"/>
                <w:szCs w:val="20"/>
                <w:color w:val="auto"/>
              </w:rPr>
            </w:pPr>
            <w:r>
              <w:rPr>
                <w:rFonts w:ascii="Arial" w:cs="Arial" w:eastAsia="Arial" w:hAnsi="Arial"/>
                <w:sz w:val="14"/>
                <w:szCs w:val="14"/>
                <w:b w:val="1"/>
                <w:bCs w:val="1"/>
                <w:color w:val="auto"/>
              </w:rPr>
              <w:t>Net Income attributable to</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20"/>
                <w:szCs w:val="20"/>
                <w:color w:val="auto"/>
              </w:rPr>
            </w:pPr>
            <w:r>
              <w:rPr>
                <w:rFonts w:ascii="Arial" w:cs="Arial" w:eastAsia="Arial" w:hAnsi="Arial"/>
                <w:sz w:val="14"/>
                <w:szCs w:val="14"/>
                <w:b w:val="1"/>
                <w:bCs w:val="1"/>
                <w:color w:val="auto"/>
              </w:rPr>
              <w:t>EZCORP, Inc.</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30,717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w w:val="93"/>
              </w:rPr>
              <w:t>22,569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(8,148)</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33,981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7,992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(25,989)</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0"/>
                <w:szCs w:val="20"/>
                <w:color w:val="auto"/>
              </w:rPr>
            </w:pPr>
            <w:r>
              <w:rPr>
                <w:rFonts w:ascii="Arial" w:cs="Arial" w:eastAsia="Arial" w:hAnsi="Arial"/>
                <w:sz w:val="14"/>
                <w:szCs w:val="14"/>
                <w:color w:val="auto"/>
              </w:rPr>
              <w:t>Less Adjustments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1,253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[5] $</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3,602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[6] $</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2,349</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737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(10,781)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560" w:type="dxa"/>
            <w:vAlign w:val="bottom"/>
          </w:tcPr>
          <w:p>
            <w:pPr>
              <w:jc w:val="right"/>
              <w:spacing w:after="0"/>
              <w:rPr>
                <w:sz w:val="20"/>
                <w:szCs w:val="20"/>
                <w:color w:val="auto"/>
              </w:rPr>
            </w:pPr>
            <w:r>
              <w:rPr>
                <w:rFonts w:ascii="Arial" w:cs="Arial" w:eastAsia="Arial" w:hAnsi="Arial"/>
                <w:sz w:val="14"/>
                <w:szCs w:val="14"/>
                <w:color w:val="auto"/>
                <w:w w:val="91"/>
              </w:rPr>
              <w:t>(11,518)</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760" w:type="dxa"/>
            <w:vAlign w:val="bottom"/>
          </w:tcPr>
          <w:p>
            <w:pPr>
              <w:spacing w:after="0" w:line="139" w:lineRule="exact"/>
              <w:rPr>
                <w:sz w:val="20"/>
                <w:szCs w:val="20"/>
                <w:color w:val="auto"/>
              </w:rPr>
            </w:pPr>
            <w:r>
              <w:rPr>
                <w:rFonts w:ascii="Arial" w:cs="Arial" w:eastAsia="Arial" w:hAnsi="Arial"/>
                <w:sz w:val="14"/>
                <w:szCs w:val="14"/>
                <w:b w:val="1"/>
                <w:bCs w:val="1"/>
                <w:color w:val="auto"/>
              </w:rPr>
              <w:t>Adj. Net Income</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b w:val="1"/>
                <w:bCs w:val="1"/>
                <w:color w:val="auto"/>
              </w:rPr>
              <w:t>attributable to EZCORP,</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w w:val="97"/>
              </w:rPr>
              <w:t>29,464</w:t>
            </w:r>
          </w:p>
        </w:tc>
        <w:tc>
          <w:tcPr>
            <w:tcW w:w="22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w w:val="93"/>
              </w:rPr>
              <w:t>18,967</w:t>
            </w:r>
          </w:p>
        </w:tc>
        <w:tc>
          <w:tcPr>
            <w:tcW w:w="22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w w:val="88"/>
              </w:rPr>
              <w:t>(10,497)</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33,244</w:t>
            </w:r>
          </w:p>
        </w:tc>
        <w:tc>
          <w:tcPr>
            <w:tcW w:w="24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w w:val="97"/>
              </w:rPr>
              <w:t>18,773</w:t>
            </w:r>
          </w:p>
        </w:tc>
        <w:tc>
          <w:tcPr>
            <w:tcW w:w="22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1"/>
              </w:rPr>
              <w:t>(14,471)</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760" w:type="dxa"/>
            <w:vAlign w:val="bottom"/>
          </w:tcPr>
          <w:p>
            <w:pPr>
              <w:spacing w:after="0"/>
              <w:rPr>
                <w:sz w:val="20"/>
                <w:szCs w:val="20"/>
                <w:color w:val="auto"/>
              </w:rPr>
            </w:pPr>
            <w:r>
              <w:rPr>
                <w:rFonts w:ascii="Arial" w:cs="Arial" w:eastAsia="Arial" w:hAnsi="Arial"/>
                <w:sz w:val="14"/>
                <w:szCs w:val="14"/>
                <w:b w:val="1"/>
                <w:bCs w:val="1"/>
                <w:color w:val="auto"/>
              </w:rPr>
              <w:t>Inc.</w:t>
            </w: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9"/>
              </w:rPr>
              <w:t>Earnings (Loss) Per Share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176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0.59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0.42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(0.17)</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0.63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0.15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(0.48)</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0"/>
                <w:szCs w:val="20"/>
                <w:color w:val="auto"/>
              </w:rPr>
            </w:pPr>
            <w:r>
              <w:rPr>
                <w:rFonts w:ascii="Arial" w:cs="Arial" w:eastAsia="Arial" w:hAnsi="Arial"/>
                <w:sz w:val="14"/>
                <w:szCs w:val="14"/>
                <w:color w:val="auto"/>
              </w:rPr>
              <w:t>Less Adjustments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0.02</w:t>
            </w:r>
          </w:p>
        </w:tc>
        <w:tc>
          <w:tcPr>
            <w:tcW w:w="2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0.07</w:t>
            </w:r>
          </w:p>
        </w:tc>
        <w:tc>
          <w:tcPr>
            <w:tcW w:w="2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0.01</w:t>
            </w:r>
          </w:p>
        </w:tc>
        <w:tc>
          <w:tcPr>
            <w:tcW w:w="24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22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2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1760" w:type="dxa"/>
            <w:vAlign w:val="bottom"/>
          </w:tcPr>
          <w:p>
            <w:pPr>
              <w:spacing w:after="0" w:line="139" w:lineRule="exact"/>
              <w:rPr>
                <w:sz w:val="20"/>
                <w:szCs w:val="20"/>
                <w:color w:val="auto"/>
              </w:rPr>
            </w:pPr>
            <w:r>
              <w:rPr>
                <w:rFonts w:ascii="Arial" w:cs="Arial" w:eastAsia="Arial" w:hAnsi="Arial"/>
                <w:sz w:val="14"/>
                <w:szCs w:val="14"/>
                <w:b w:val="1"/>
                <w:bCs w:val="1"/>
                <w:color w:val="auto"/>
              </w:rPr>
              <w:t>Adjusted Earnings (Loss)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0.57</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0.35</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(0.22)</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9"/>
              <w:spacing w:after="0"/>
              <w:rPr>
                <w:sz w:val="20"/>
                <w:szCs w:val="20"/>
                <w:color w:val="auto"/>
              </w:rPr>
            </w:pPr>
            <w:r>
              <w:rPr>
                <w:rFonts w:ascii="Arial" w:cs="Arial" w:eastAsia="Arial" w:hAnsi="Arial"/>
                <w:sz w:val="14"/>
                <w:szCs w:val="14"/>
                <w:color w:val="auto"/>
              </w:rPr>
              <w:t>0.61</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0.34</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(0.27)</w:t>
            </w:r>
          </w:p>
        </w:tc>
        <w:tc>
          <w:tcPr>
            <w:tcW w:w="2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60" w:type="dxa"/>
            <w:vAlign w:val="bottom"/>
          </w:tcPr>
          <w:p>
            <w:pPr>
              <w:spacing w:after="0"/>
              <w:rPr>
                <w:sz w:val="20"/>
                <w:szCs w:val="20"/>
                <w:color w:val="auto"/>
              </w:rPr>
            </w:pPr>
            <w:r>
              <w:rPr>
                <w:rFonts w:ascii="Arial" w:cs="Arial" w:eastAsia="Arial" w:hAnsi="Arial"/>
                <w:sz w:val="14"/>
                <w:szCs w:val="14"/>
                <w:b w:val="1"/>
                <w:bCs w:val="1"/>
                <w:color w:val="auto"/>
              </w:rPr>
              <w:t>Per Share</w:t>
            </w: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line="151" w:lineRule="exact"/>
              <w:rPr>
                <w:sz w:val="20"/>
                <w:szCs w:val="20"/>
                <w:color w:val="auto"/>
              </w:rPr>
            </w:pPr>
            <w:r>
              <w:rPr>
                <w:rFonts w:ascii="Arial" w:cs="Arial" w:eastAsia="Arial" w:hAnsi="Arial"/>
                <w:sz w:val="14"/>
                <w:szCs w:val="14"/>
                <w:color w:val="auto"/>
              </w:rPr>
              <w:t>Weighted Average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760" w:type="dxa"/>
            <w:vAlign w:val="bottom"/>
          </w:tcPr>
          <w:p>
            <w:pPr>
              <w:spacing w:after="0"/>
              <w:rPr>
                <w:sz w:val="20"/>
                <w:szCs w:val="20"/>
                <w:color w:val="auto"/>
              </w:rPr>
            </w:pPr>
            <w:r>
              <w:rPr>
                <w:rFonts w:ascii="Arial" w:cs="Arial" w:eastAsia="Arial" w:hAnsi="Arial"/>
                <w:sz w:val="14"/>
                <w:szCs w:val="14"/>
                <w:color w:val="auto"/>
              </w:rPr>
              <w:t>Outstanding Diluted</w:t>
            </w: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52,112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w w:val="93"/>
              </w:rPr>
              <w:t>54,362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2,250</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4 %</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54,252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54,586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1 %</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3"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3Q13 Adjusted for one-time discontinued operations charges of $20.0 million and Albemarle &amp; Bond income of $1.0 million, after tax</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4Q13 Adjusted for Albemarle &amp; Bond impairment charge of $28.4 million and Albemarle &amp; Bond losses of $1.4 million, after tax</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3Q14E Quarterly guidance range: $0.20 to $0.22</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4Q14E Quarterly guidance range: $0.40 to $0.42</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1Q13 Adjusted for Albemarle &amp; Bond income of $1.3 million, after tax</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1Q14 Adjusted for gain on the sale of US Pawn &amp; Retail stores of $4.4 million and Albemarle &amp; Bond losses of $0.8 million, after tax</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2Q13 Adjusted for Albemarle &amp; Bond income of $0.7 million, after tax</w:t>
      </w:r>
    </w:p>
    <w:p>
      <w:pPr>
        <w:spacing w:after="0" w:line="1" w:lineRule="exact"/>
        <w:rPr>
          <w:rFonts w:ascii="Arial" w:cs="Arial" w:eastAsia="Arial" w:hAnsi="Arial"/>
          <w:sz w:val="14"/>
          <w:szCs w:val="14"/>
          <w:color w:val="auto"/>
        </w:rPr>
      </w:pPr>
    </w:p>
    <w:p>
      <w:pPr>
        <w:ind w:right="540" w:firstLine="8"/>
        <w:spacing w:after="0" w:line="255" w:lineRule="auto"/>
        <w:tabs>
          <w:tab w:leader="none" w:pos="204" w:val="left"/>
        </w:tabs>
        <w:numPr>
          <w:ilvl w:val="0"/>
          <w:numId w:val="2"/>
        </w:numPr>
        <w:rPr>
          <w:rFonts w:ascii="Arial" w:cs="Arial" w:eastAsia="Arial" w:hAnsi="Arial"/>
          <w:sz w:val="14"/>
          <w:szCs w:val="14"/>
          <w:color w:val="auto"/>
        </w:rPr>
      </w:pPr>
      <w:r>
        <w:rPr>
          <w:rFonts w:ascii="Arial" w:cs="Arial" w:eastAsia="Arial" w:hAnsi="Arial"/>
          <w:sz w:val="14"/>
          <w:szCs w:val="14"/>
          <w:color w:val="auto"/>
        </w:rPr>
        <w:t>2Q14 Adjusted for Albemarle &amp; Bond final impairment charge of $5.7 million, recognized deferred gain on the sale of US Pawn &amp; Retail stores of $0.3 million and Executive Chairman retirement benefit of $5.4 million, after tax</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sectPr>
      <w:pgSz w:w="11900" w:h="16838" w:orient="portrait"/>
      <w:cols w:equalWidth="0" w:num="1">
        <w:col w:w="9019"/>
      </w:cols>
      <w:pgMar w:left="144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2020-01-27T16:24:35Z</dcterms:created>
  <dcterms:modified xsi:type="dcterms:W3CDTF">2020-01-27T16:24:35Z</dcterms:modified>
</cp:coreProperties>
</file>