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22, 2017 (March 21, 2017)</w:t>
      </w:r>
    </w:p>
    <w:p>
      <w:pPr>
        <w:spacing w:after="0" w:line="38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8"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6560" w:type="dxa"/>
            <w:vAlign w:val="bottom"/>
            <w:gridSpan w:val="2"/>
          </w:tcPr>
          <w:p>
            <w:pPr>
              <w:jc w:val="right"/>
              <w:ind w:right="22"/>
              <w:spacing w:after="0"/>
              <w:rPr>
                <w:sz w:val="20"/>
                <w:szCs w:val="20"/>
                <w:color w:val="auto"/>
              </w:rPr>
            </w:pPr>
            <w:r>
              <w:rPr>
                <w:rFonts w:ascii="Arial" w:cs="Arial" w:eastAsia="Arial" w:hAnsi="Arial"/>
                <w:sz w:val="18"/>
                <w:szCs w:val="18"/>
                <w:color w:val="auto"/>
              </w:rPr>
              <w:t>_______________________________________________________</w:t>
            </w:r>
          </w:p>
        </w:tc>
        <w:tc>
          <w:tcPr>
            <w:tcW w:w="1200" w:type="dxa"/>
            <w:vAlign w:val="bottom"/>
          </w:tcPr>
          <w:p>
            <w:pPr>
              <w:spacing w:after="0"/>
              <w:rPr>
                <w:sz w:val="20"/>
                <w:szCs w:val="20"/>
                <w:color w:val="auto"/>
              </w:rPr>
            </w:pPr>
          </w:p>
        </w:tc>
      </w:tr>
      <w:tr>
        <w:trPr>
          <w:trHeight w:val="540"/>
        </w:trPr>
        <w:tc>
          <w:tcPr>
            <w:tcW w:w="2620" w:type="dxa"/>
            <w:vAlign w:val="bottom"/>
          </w:tcPr>
          <w:p>
            <w:pPr>
              <w:jc w:val="center"/>
              <w:ind w:right="879"/>
              <w:spacing w:after="0"/>
              <w:rPr>
                <w:sz w:val="20"/>
                <w:szCs w:val="20"/>
                <w:color w:val="auto"/>
              </w:rPr>
            </w:pPr>
            <w:r>
              <w:rPr>
                <w:rFonts w:ascii="Arial" w:cs="Arial" w:eastAsia="Arial" w:hAnsi="Arial"/>
                <w:sz w:val="18"/>
                <w:szCs w:val="18"/>
                <w:b w:val="1"/>
                <w:bCs w:val="1"/>
                <w:color w:val="auto"/>
                <w:w w:val="93"/>
              </w:rPr>
              <w:t>Delaware</w:t>
            </w:r>
          </w:p>
        </w:tc>
        <w:tc>
          <w:tcPr>
            <w:tcW w:w="3940" w:type="dxa"/>
            <w:vAlign w:val="bottom"/>
          </w:tcPr>
          <w:p>
            <w:pPr>
              <w:jc w:val="center"/>
              <w:ind w:right="1062"/>
              <w:spacing w:after="0"/>
              <w:rPr>
                <w:sz w:val="20"/>
                <w:szCs w:val="20"/>
                <w:color w:val="auto"/>
              </w:rPr>
            </w:pPr>
            <w:r>
              <w:rPr>
                <w:rFonts w:ascii="Arial" w:cs="Arial" w:eastAsia="Arial" w:hAnsi="Arial"/>
                <w:sz w:val="18"/>
                <w:szCs w:val="18"/>
                <w:b w:val="1"/>
                <w:bCs w:val="1"/>
                <w:color w:val="auto"/>
                <w:w w:val="90"/>
              </w:rPr>
              <w:t>0-19424</w:t>
            </w:r>
          </w:p>
        </w:tc>
        <w:tc>
          <w:tcPr>
            <w:tcW w:w="1200" w:type="dxa"/>
            <w:vAlign w:val="bottom"/>
          </w:tcPr>
          <w:p>
            <w:pPr>
              <w:jc w:val="center"/>
              <w:ind w:left="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2620" w:type="dxa"/>
            <w:vAlign w:val="bottom"/>
          </w:tcPr>
          <w:p>
            <w:pPr>
              <w:jc w:val="center"/>
              <w:ind w:right="899"/>
              <w:spacing w:after="0"/>
              <w:rPr>
                <w:sz w:val="20"/>
                <w:szCs w:val="20"/>
                <w:color w:val="auto"/>
              </w:rPr>
            </w:pPr>
            <w:r>
              <w:rPr>
                <w:rFonts w:ascii="Arial" w:cs="Arial" w:eastAsia="Arial" w:hAnsi="Arial"/>
                <w:sz w:val="14"/>
                <w:szCs w:val="14"/>
                <w:b w:val="1"/>
                <w:bCs w:val="1"/>
                <w:color w:val="auto"/>
                <w:w w:val="93"/>
              </w:rPr>
              <w:t>(State or other jurisdiction</w:t>
            </w:r>
          </w:p>
        </w:tc>
        <w:tc>
          <w:tcPr>
            <w:tcW w:w="3940" w:type="dxa"/>
            <w:vAlign w:val="bottom"/>
          </w:tcPr>
          <w:p>
            <w:pPr>
              <w:jc w:val="center"/>
              <w:ind w:right="1062"/>
              <w:spacing w:after="0"/>
              <w:rPr>
                <w:sz w:val="20"/>
                <w:szCs w:val="20"/>
                <w:color w:val="auto"/>
              </w:rPr>
            </w:pPr>
            <w:r>
              <w:rPr>
                <w:rFonts w:ascii="Arial" w:cs="Arial" w:eastAsia="Arial" w:hAnsi="Arial"/>
                <w:sz w:val="14"/>
                <w:szCs w:val="14"/>
                <w:b w:val="1"/>
                <w:bCs w:val="1"/>
                <w:color w:val="auto"/>
                <w:w w:val="90"/>
              </w:rPr>
              <w:t>(Commission</w:t>
            </w:r>
          </w:p>
        </w:tc>
        <w:tc>
          <w:tcPr>
            <w:tcW w:w="1200" w:type="dxa"/>
            <w:vAlign w:val="bottom"/>
          </w:tcPr>
          <w:p>
            <w:pPr>
              <w:jc w:val="center"/>
              <w:ind w:left="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20" w:type="dxa"/>
            <w:vAlign w:val="bottom"/>
          </w:tcPr>
          <w:p>
            <w:pPr>
              <w:jc w:val="center"/>
              <w:ind w:right="879"/>
              <w:spacing w:after="0"/>
              <w:rPr>
                <w:sz w:val="20"/>
                <w:szCs w:val="20"/>
                <w:color w:val="auto"/>
              </w:rPr>
            </w:pPr>
            <w:r>
              <w:rPr>
                <w:rFonts w:ascii="Arial" w:cs="Arial" w:eastAsia="Arial" w:hAnsi="Arial"/>
                <w:sz w:val="14"/>
                <w:szCs w:val="14"/>
                <w:b w:val="1"/>
                <w:bCs w:val="1"/>
                <w:color w:val="auto"/>
                <w:w w:val="94"/>
              </w:rPr>
              <w:t>of incorporation)</w:t>
            </w:r>
          </w:p>
        </w:tc>
        <w:tc>
          <w:tcPr>
            <w:tcW w:w="3940" w:type="dxa"/>
            <w:vAlign w:val="bottom"/>
          </w:tcPr>
          <w:p>
            <w:pPr>
              <w:jc w:val="center"/>
              <w:ind w:right="1082"/>
              <w:spacing w:after="0"/>
              <w:rPr>
                <w:sz w:val="20"/>
                <w:szCs w:val="20"/>
                <w:color w:val="auto"/>
              </w:rPr>
            </w:pPr>
            <w:r>
              <w:rPr>
                <w:rFonts w:ascii="Arial" w:cs="Arial" w:eastAsia="Arial" w:hAnsi="Arial"/>
                <w:sz w:val="14"/>
                <w:szCs w:val="14"/>
                <w:b w:val="1"/>
                <w:bCs w:val="1"/>
                <w:color w:val="auto"/>
                <w:w w:val="95"/>
              </w:rPr>
              <w:t>File Number)</w:t>
            </w:r>
          </w:p>
        </w:tc>
        <w:tc>
          <w:tcPr>
            <w:tcW w:w="1200" w:type="dxa"/>
            <w:vAlign w:val="bottom"/>
          </w:tcPr>
          <w:p>
            <w:pPr>
              <w:jc w:val="center"/>
              <w:ind w:left="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2500 Bee Cave Road, Rollingwood, Texas 78746</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(512) 314-3400</w:t>
      </w:r>
    </w:p>
    <w:p>
      <w:pPr>
        <w:spacing w:after="0" w:line="8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color w:val="auto"/>
        </w:rPr>
        <w:t>—</w:t>
      </w:r>
      <w:r>
        <w:rPr>
          <w:rFonts w:ascii="Arial" w:cs="Arial" w:eastAsia="Arial" w:hAnsi="Arial"/>
          <w:sz w:val="18"/>
          <w:szCs w:val="18"/>
          <w:b w:val="1"/>
          <w:bCs w:val="1"/>
          <w:color w:val="auto"/>
        </w:rPr>
        <w:t xml:space="preserve"> Submission of Matters to a Vote of Security Holders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21, 2017, the sole holder of the company’s Class B Voting Common Stock (the "Voting Stockholder") re-elected the following persons to serve on the Company’s Board of Directors, effective at the Annual Meeting of Stockholders held on March 22, 2017: Matthew W. Appel, Santiago Creel Miranda, Peter Cumins, Lachlan P. Given, Stuart I. Grimshaw, Pablo Lagos Espoinosa, Thomas C. Roberts and Joseph L. Rotunda. Each of such persons was previously serving on the Board of Directors, and as a result of his re-election, each shall serve an additional one-year term until the next annual meeting of stockholders (or, if earlier, until his death, removal or resignation).</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March 21, 2017,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7.01 </w:t>
      </w:r>
      <w:r>
        <w:rPr>
          <w:rFonts w:ascii="Arial" w:cs="Arial" w:eastAsia="Arial" w:hAnsi="Arial"/>
          <w:sz w:val="18"/>
          <w:szCs w:val="18"/>
          <w:color w:val="auto"/>
        </w:rPr>
        <w:t>—</w:t>
      </w:r>
      <w:r>
        <w:rPr>
          <w:rFonts w:ascii="Arial" w:cs="Arial" w:eastAsia="Arial" w:hAnsi="Arial"/>
          <w:sz w:val="18"/>
          <w:szCs w:val="18"/>
          <w:b w:val="1"/>
          <w:bCs w:val="1"/>
          <w:color w:val="auto"/>
        </w:rPr>
        <w:t xml:space="preserve"> Regulation FD Disclosure</w:t>
      </w:r>
    </w:p>
    <w:p>
      <w:pPr>
        <w:spacing w:after="0" w:line="17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On March 22, 2017, the Company held its Annual Meeting of Stockholders. The Company’s publicly-traded Class A Non-Voting Common Stock is not entitled to vote on any matters, and thus, no proposals or other matters were presented for voting at the meeting. Management discussed the Company’s strategic plans and initiatives and responded to stockholders’ questions. A copy of the presentation materials that management reviewed during the Company’s Annual Meeting of Stockholders has been posted in the Investor Relations section of the Company’s website at www.ezcorp.com.</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March 22,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Senior Vice President, General Counsel and Secretary</w:t>
      </w:r>
    </w:p>
    <w:sectPr>
      <w:pgSz w:w="11900" w:h="16838" w:orient="portrait"/>
      <w:cols w:equalWidth="0" w:num="1">
        <w:col w:w="11300"/>
      </w:cols>
      <w:pgMar w:left="240" w:top="5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2020-01-16T17:12:52Z</dcterms:created>
  <dcterms:modified xsi:type="dcterms:W3CDTF">2020-01-16T17:12:52Z</dcterms:modified>
</cp:coreProperties>
</file>