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4, 2013</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333-155394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POST-EFFECTIVE AMENDMENT NO. 1</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TO</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FORM S-3</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REGISTRATION STATEMENT UNDER</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THE SECURITIES ACT OF 1933</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468" w:right="239" w:bottom="1440" w:gutter="0" w:footer="0" w:header="0"/>
        </w:sectPr>
      </w:pPr>
    </w:p>
    <w:p>
      <w:pPr>
        <w:spacing w:after="0" w:line="200" w:lineRule="exact"/>
        <w:rPr>
          <w:sz w:val="24"/>
          <w:szCs w:val="24"/>
          <w:color w:val="auto"/>
        </w:rPr>
      </w:pPr>
    </w:p>
    <w:p>
      <w:pPr>
        <w:spacing w:after="0" w:line="377"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4"/>
          <w:szCs w:val="14"/>
          <w:b w:val="1"/>
          <w:bCs w:val="1"/>
          <w:color w:val="auto"/>
        </w:rPr>
        <w:t>Delaware</w:t>
      </w:r>
    </w:p>
    <w:p>
      <w:pPr>
        <w:jc w:val="center"/>
        <w:ind w:right="1460"/>
        <w:spacing w:after="0" w:line="229" w:lineRule="auto"/>
        <w:rPr>
          <w:sz w:val="20"/>
          <w:szCs w:val="20"/>
          <w:color w:val="auto"/>
        </w:rPr>
      </w:pPr>
      <w:r>
        <w:rPr>
          <w:rFonts w:ascii="Times New Roman" w:cs="Times New Roman" w:eastAsia="Times New Roman" w:hAnsi="Times New Roman"/>
          <w:sz w:val="14"/>
          <w:szCs w:val="14"/>
          <w:color w:val="auto"/>
        </w:rPr>
        <w:t>(State or other jurisdiction</w:t>
      </w:r>
    </w:p>
    <w:p>
      <w:pPr>
        <w:spacing w:after="0" w:line="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74-2540145</w:t>
      </w:r>
    </w:p>
    <w:p>
      <w:pPr>
        <w:ind w:left="200"/>
        <w:spacing w:after="0" w:line="229" w:lineRule="auto"/>
        <w:rPr>
          <w:sz w:val="20"/>
          <w:szCs w:val="20"/>
          <w:color w:val="auto"/>
        </w:rPr>
      </w:pPr>
      <w:r>
        <w:rPr>
          <w:rFonts w:ascii="Times New Roman" w:cs="Times New Roman" w:eastAsia="Times New Roman" w:hAnsi="Times New Roman"/>
          <w:sz w:val="14"/>
          <w:szCs w:val="14"/>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200" w:lineRule="exact"/>
        <w:rPr>
          <w:sz w:val="24"/>
          <w:szCs w:val="24"/>
          <w:color w:val="auto"/>
        </w:rPr>
      </w:pPr>
    </w:p>
    <w:p>
      <w:pPr>
        <w:sectPr>
          <w:pgSz w:w="11900" w:h="16838" w:orient="portrait"/>
          <w:cols w:equalWidth="0" w:num="2">
            <w:col w:w="7180" w:space="720"/>
            <w:col w:w="3520"/>
          </w:cols>
          <w:pgMar w:left="240" w:top="468" w:right="239" w:bottom="1440" w:gutter="0" w:footer="0" w:header="0"/>
          <w:type w:val="continuous"/>
        </w:sectPr>
      </w:pP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1901 Capital Parkway</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Austin, Texas 78746</w:t>
      </w:r>
    </w:p>
    <w:p>
      <w:pPr>
        <w:jc w:val="center"/>
        <w:ind w:right="-19"/>
        <w:spacing w:after="0" w:line="222" w:lineRule="auto"/>
        <w:rPr>
          <w:sz w:val="20"/>
          <w:szCs w:val="20"/>
          <w:color w:val="auto"/>
        </w:rPr>
      </w:pPr>
      <w:r>
        <w:rPr>
          <w:rFonts w:ascii="Times New Roman" w:cs="Times New Roman" w:eastAsia="Times New Roman" w:hAnsi="Times New Roman"/>
          <w:sz w:val="14"/>
          <w:szCs w:val="14"/>
          <w:b w:val="1"/>
          <w:bCs w:val="1"/>
          <w:color w:val="auto"/>
        </w:rPr>
        <w:t>(512) 314-3400</w:t>
      </w:r>
    </w:p>
    <w:p>
      <w:pPr>
        <w:jc w:val="center"/>
        <w:ind w:right="-39"/>
        <w:spacing w:after="0" w:line="221" w:lineRule="auto"/>
        <w:rPr>
          <w:sz w:val="20"/>
          <w:szCs w:val="20"/>
          <w:color w:val="auto"/>
        </w:rPr>
      </w:pPr>
      <w:r>
        <w:rPr>
          <w:rFonts w:ascii="Times New Roman" w:cs="Times New Roman" w:eastAsia="Times New Roman" w:hAnsi="Times New Roman"/>
          <w:sz w:val="14"/>
          <w:szCs w:val="14"/>
          <w:color w:val="auto"/>
        </w:rPr>
        <w:t>(Address, including zip code, and telephone number, including area code,</w:t>
      </w:r>
    </w:p>
    <w:p>
      <w:pPr>
        <w:jc w:val="center"/>
        <w:ind w:right="-19"/>
        <w:spacing w:after="0"/>
        <w:rPr>
          <w:sz w:val="20"/>
          <w:szCs w:val="20"/>
          <w:color w:val="auto"/>
        </w:rPr>
      </w:pPr>
      <w:r>
        <w:rPr>
          <w:rFonts w:ascii="Times New Roman" w:cs="Times New Roman" w:eastAsia="Times New Roman" w:hAnsi="Times New Roman"/>
          <w:sz w:val="14"/>
          <w:szCs w:val="14"/>
          <w:color w:val="auto"/>
        </w:rPr>
        <w:t>of registrant’s principal executive offices)</w:t>
      </w:r>
    </w:p>
    <w:p>
      <w:pPr>
        <w:spacing w:after="0" w:line="310" w:lineRule="exact"/>
        <w:rPr>
          <w:sz w:val="24"/>
          <w:szCs w:val="24"/>
          <w:color w:val="auto"/>
        </w:rPr>
      </w:pPr>
    </w:p>
    <w:tbl>
      <w:tblPr>
        <w:tblLayout w:type="fixed"/>
        <w:tblInd w:w="1200" w:type="dxa"/>
        <w:tblCellMar>
          <w:top w:w="0" w:type="dxa"/>
          <w:left w:w="0" w:type="dxa"/>
          <w:bottom w:w="0" w:type="dxa"/>
          <w:right w:w="0" w:type="dxa"/>
        </w:tblCellMar>
      </w:tblPr>
      <w:tr>
        <w:trPr>
          <w:trHeight w:val="161"/>
        </w:trPr>
        <w:tc>
          <w:tcPr>
            <w:tcW w:w="4900" w:type="dxa"/>
            <w:vAlign w:val="bottom"/>
          </w:tcPr>
          <w:p>
            <w:pPr>
              <w:jc w:val="center"/>
              <w:ind w:right="1488"/>
              <w:spacing w:after="0"/>
              <w:rPr>
                <w:sz w:val="20"/>
                <w:szCs w:val="20"/>
                <w:color w:val="auto"/>
              </w:rPr>
            </w:pPr>
            <w:r>
              <w:rPr>
                <w:rFonts w:ascii="Times New Roman" w:cs="Times New Roman" w:eastAsia="Times New Roman" w:hAnsi="Times New Roman"/>
                <w:sz w:val="14"/>
                <w:szCs w:val="14"/>
                <w:color w:val="auto"/>
              </w:rPr>
              <w:t>Name, address, including zip code, and telephone</w:t>
            </w:r>
          </w:p>
        </w:tc>
        <w:tc>
          <w:tcPr>
            <w:tcW w:w="3380" w:type="dxa"/>
            <w:vAlign w:val="bottom"/>
          </w:tcPr>
          <w:p>
            <w:pPr>
              <w:jc w:val="center"/>
              <w:ind w:left="1488"/>
              <w:spacing w:after="0"/>
              <w:rPr>
                <w:sz w:val="20"/>
                <w:szCs w:val="20"/>
                <w:color w:val="auto"/>
              </w:rPr>
            </w:pPr>
            <w:r>
              <w:rPr>
                <w:rFonts w:ascii="Times New Roman" w:cs="Times New Roman" w:eastAsia="Times New Roman" w:hAnsi="Times New Roman"/>
                <w:sz w:val="14"/>
                <w:szCs w:val="14"/>
                <w:color w:val="auto"/>
              </w:rPr>
              <w:t>Copy of communications to:</w:t>
            </w:r>
          </w:p>
        </w:tc>
      </w:tr>
      <w:tr>
        <w:trPr>
          <w:trHeight w:val="188"/>
        </w:trPr>
        <w:tc>
          <w:tcPr>
            <w:tcW w:w="4900" w:type="dxa"/>
            <w:vAlign w:val="bottom"/>
          </w:tcPr>
          <w:p>
            <w:pPr>
              <w:jc w:val="center"/>
              <w:ind w:right="1488"/>
              <w:spacing w:after="0"/>
              <w:rPr>
                <w:sz w:val="20"/>
                <w:szCs w:val="20"/>
                <w:color w:val="auto"/>
              </w:rPr>
            </w:pPr>
            <w:r>
              <w:rPr>
                <w:rFonts w:ascii="Times New Roman" w:cs="Times New Roman" w:eastAsia="Times New Roman" w:hAnsi="Times New Roman"/>
                <w:sz w:val="14"/>
                <w:szCs w:val="14"/>
                <w:color w:val="auto"/>
              </w:rPr>
              <w:t>number, including area code, of agent for service:</w:t>
            </w:r>
          </w:p>
        </w:tc>
        <w:tc>
          <w:tcPr>
            <w:tcW w:w="3380" w:type="dxa"/>
            <w:vAlign w:val="bottom"/>
          </w:tcPr>
          <w:p>
            <w:pPr>
              <w:spacing w:after="0"/>
              <w:rPr>
                <w:sz w:val="16"/>
                <w:szCs w:val="16"/>
                <w:color w:val="auto"/>
              </w:rPr>
            </w:pPr>
          </w:p>
        </w:tc>
      </w:tr>
      <w:tr>
        <w:trPr>
          <w:trHeight w:val="458"/>
        </w:trPr>
        <w:tc>
          <w:tcPr>
            <w:tcW w:w="4900" w:type="dxa"/>
            <w:vAlign w:val="bottom"/>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Thomas H. Welch, Jr.</w:t>
            </w:r>
          </w:p>
        </w:tc>
        <w:tc>
          <w:tcPr>
            <w:tcW w:w="338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Christine A. Hathaway</w:t>
            </w:r>
          </w:p>
        </w:tc>
      </w:tr>
      <w:tr>
        <w:trPr>
          <w:trHeight w:val="149"/>
        </w:trPr>
        <w:tc>
          <w:tcPr>
            <w:tcW w:w="4900" w:type="dxa"/>
            <w:vAlign w:val="bottom"/>
          </w:tcPr>
          <w:p>
            <w:pPr>
              <w:jc w:val="center"/>
              <w:ind w:right="1508"/>
              <w:spacing w:after="0" w:line="149" w:lineRule="exact"/>
              <w:rPr>
                <w:sz w:val="20"/>
                <w:szCs w:val="20"/>
                <w:color w:val="auto"/>
              </w:rPr>
            </w:pPr>
            <w:r>
              <w:rPr>
                <w:rFonts w:ascii="Times New Roman" w:cs="Times New Roman" w:eastAsia="Times New Roman" w:hAnsi="Times New Roman"/>
                <w:sz w:val="14"/>
                <w:szCs w:val="14"/>
                <w:b w:val="1"/>
                <w:bCs w:val="1"/>
                <w:color w:val="auto"/>
              </w:rPr>
              <w:t>Senior Vice President, General Counsel and Secretary</w:t>
            </w:r>
          </w:p>
        </w:tc>
        <w:tc>
          <w:tcPr>
            <w:tcW w:w="3380" w:type="dxa"/>
            <w:vAlign w:val="bottom"/>
          </w:tcPr>
          <w:p>
            <w:pPr>
              <w:jc w:val="center"/>
              <w:ind w:left="1488"/>
              <w:spacing w:after="0" w:line="149" w:lineRule="exact"/>
              <w:rPr>
                <w:sz w:val="20"/>
                <w:szCs w:val="20"/>
                <w:color w:val="auto"/>
              </w:rPr>
            </w:pPr>
            <w:r>
              <w:rPr>
                <w:rFonts w:ascii="Times New Roman" w:cs="Times New Roman" w:eastAsia="Times New Roman" w:hAnsi="Times New Roman"/>
                <w:sz w:val="14"/>
                <w:szCs w:val="14"/>
                <w:b w:val="1"/>
                <w:bCs w:val="1"/>
                <w:color w:val="auto"/>
              </w:rPr>
              <w:t>Vinson &amp; Elkins L.L.P.</w:t>
            </w:r>
          </w:p>
        </w:tc>
      </w:tr>
      <w:tr>
        <w:trPr>
          <w:trHeight w:val="149"/>
        </w:trPr>
        <w:tc>
          <w:tcPr>
            <w:tcW w:w="4900" w:type="dxa"/>
            <w:vAlign w:val="bottom"/>
          </w:tcPr>
          <w:p>
            <w:pPr>
              <w:jc w:val="center"/>
              <w:ind w:right="1488"/>
              <w:spacing w:after="0" w:line="149" w:lineRule="exact"/>
              <w:rPr>
                <w:sz w:val="20"/>
                <w:szCs w:val="20"/>
                <w:color w:val="auto"/>
              </w:rPr>
            </w:pPr>
            <w:r>
              <w:rPr>
                <w:rFonts w:ascii="Times New Roman" w:cs="Times New Roman" w:eastAsia="Times New Roman" w:hAnsi="Times New Roman"/>
                <w:sz w:val="14"/>
                <w:szCs w:val="14"/>
                <w:b w:val="1"/>
                <w:bCs w:val="1"/>
                <w:color w:val="auto"/>
              </w:rPr>
              <w:t>EZCORP, Inc.</w:t>
            </w:r>
          </w:p>
        </w:tc>
        <w:tc>
          <w:tcPr>
            <w:tcW w:w="3380" w:type="dxa"/>
            <w:vAlign w:val="bottom"/>
          </w:tcPr>
          <w:p>
            <w:pPr>
              <w:jc w:val="center"/>
              <w:ind w:left="1488"/>
              <w:spacing w:after="0" w:line="149" w:lineRule="exact"/>
              <w:rPr>
                <w:sz w:val="20"/>
                <w:szCs w:val="20"/>
                <w:color w:val="auto"/>
              </w:rPr>
            </w:pPr>
            <w:r>
              <w:rPr>
                <w:rFonts w:ascii="Times New Roman" w:cs="Times New Roman" w:eastAsia="Times New Roman" w:hAnsi="Times New Roman"/>
                <w:sz w:val="14"/>
                <w:szCs w:val="14"/>
                <w:b w:val="1"/>
                <w:bCs w:val="1"/>
                <w:color w:val="auto"/>
              </w:rPr>
              <w:t>2001 Ross Avenue, Suite 3700</w:t>
            </w:r>
          </w:p>
        </w:tc>
      </w:tr>
      <w:tr>
        <w:trPr>
          <w:trHeight w:val="149"/>
        </w:trPr>
        <w:tc>
          <w:tcPr>
            <w:tcW w:w="4900" w:type="dxa"/>
            <w:vAlign w:val="bottom"/>
          </w:tcPr>
          <w:p>
            <w:pPr>
              <w:jc w:val="center"/>
              <w:ind w:right="1508"/>
              <w:spacing w:after="0" w:line="149" w:lineRule="exact"/>
              <w:rPr>
                <w:sz w:val="20"/>
                <w:szCs w:val="20"/>
                <w:color w:val="auto"/>
              </w:rPr>
            </w:pPr>
            <w:r>
              <w:rPr>
                <w:rFonts w:ascii="Times New Roman" w:cs="Times New Roman" w:eastAsia="Times New Roman" w:hAnsi="Times New Roman"/>
                <w:sz w:val="14"/>
                <w:szCs w:val="14"/>
                <w:b w:val="1"/>
                <w:bCs w:val="1"/>
                <w:color w:val="auto"/>
              </w:rPr>
              <w:t>1901 Capital Parkway</w:t>
            </w:r>
          </w:p>
        </w:tc>
        <w:tc>
          <w:tcPr>
            <w:tcW w:w="3380" w:type="dxa"/>
            <w:vAlign w:val="bottom"/>
          </w:tcPr>
          <w:p>
            <w:pPr>
              <w:jc w:val="center"/>
              <w:ind w:left="1488"/>
              <w:spacing w:after="0" w:line="149" w:lineRule="exact"/>
              <w:rPr>
                <w:sz w:val="20"/>
                <w:szCs w:val="20"/>
                <w:color w:val="auto"/>
              </w:rPr>
            </w:pPr>
            <w:r>
              <w:rPr>
                <w:rFonts w:ascii="Times New Roman" w:cs="Times New Roman" w:eastAsia="Times New Roman" w:hAnsi="Times New Roman"/>
                <w:sz w:val="14"/>
                <w:szCs w:val="14"/>
                <w:b w:val="1"/>
                <w:bCs w:val="1"/>
                <w:color w:val="auto"/>
              </w:rPr>
              <w:t>Dallas, Texas 75201-2975</w:t>
            </w:r>
          </w:p>
        </w:tc>
      </w:tr>
      <w:tr>
        <w:trPr>
          <w:trHeight w:val="149"/>
        </w:trPr>
        <w:tc>
          <w:tcPr>
            <w:tcW w:w="4900" w:type="dxa"/>
            <w:vAlign w:val="bottom"/>
          </w:tcPr>
          <w:p>
            <w:pPr>
              <w:jc w:val="center"/>
              <w:ind w:right="1528"/>
              <w:spacing w:after="0" w:line="149" w:lineRule="exact"/>
              <w:rPr>
                <w:sz w:val="20"/>
                <w:szCs w:val="20"/>
                <w:color w:val="auto"/>
              </w:rPr>
            </w:pPr>
            <w:r>
              <w:rPr>
                <w:rFonts w:ascii="Times New Roman" w:cs="Times New Roman" w:eastAsia="Times New Roman" w:hAnsi="Times New Roman"/>
                <w:sz w:val="14"/>
                <w:szCs w:val="14"/>
                <w:b w:val="1"/>
                <w:bCs w:val="1"/>
                <w:color w:val="auto"/>
              </w:rPr>
              <w:t>Austin, Texas 78746</w:t>
            </w:r>
          </w:p>
        </w:tc>
        <w:tc>
          <w:tcPr>
            <w:tcW w:w="3380" w:type="dxa"/>
            <w:vAlign w:val="bottom"/>
          </w:tcPr>
          <w:p>
            <w:pPr>
              <w:jc w:val="center"/>
              <w:ind w:left="1488"/>
              <w:spacing w:after="0" w:line="149" w:lineRule="exact"/>
              <w:rPr>
                <w:sz w:val="20"/>
                <w:szCs w:val="20"/>
                <w:color w:val="auto"/>
              </w:rPr>
            </w:pPr>
            <w:r>
              <w:rPr>
                <w:rFonts w:ascii="Times New Roman" w:cs="Times New Roman" w:eastAsia="Times New Roman" w:hAnsi="Times New Roman"/>
                <w:sz w:val="14"/>
                <w:szCs w:val="14"/>
                <w:b w:val="1"/>
                <w:bCs w:val="1"/>
                <w:color w:val="auto"/>
              </w:rPr>
              <w:t>214-220-7700</w:t>
            </w:r>
          </w:p>
        </w:tc>
      </w:tr>
      <w:tr>
        <w:trPr>
          <w:trHeight w:val="190"/>
        </w:trPr>
        <w:tc>
          <w:tcPr>
            <w:tcW w:w="4900" w:type="dxa"/>
            <w:vAlign w:val="bottom"/>
          </w:tcPr>
          <w:p>
            <w:pPr>
              <w:jc w:val="center"/>
              <w:ind w:right="1488"/>
              <w:spacing w:after="0"/>
              <w:rPr>
                <w:sz w:val="20"/>
                <w:szCs w:val="20"/>
                <w:color w:val="auto"/>
              </w:rPr>
            </w:pPr>
            <w:r>
              <w:rPr>
                <w:rFonts w:ascii="Times New Roman" w:cs="Times New Roman" w:eastAsia="Times New Roman" w:hAnsi="Times New Roman"/>
                <w:sz w:val="14"/>
                <w:szCs w:val="14"/>
                <w:b w:val="1"/>
                <w:bCs w:val="1"/>
                <w:color w:val="auto"/>
              </w:rPr>
              <w:t>(512) 314-3400</w:t>
            </w:r>
          </w:p>
        </w:tc>
        <w:tc>
          <w:tcPr>
            <w:tcW w:w="3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Not applicable. Removal from registration of securities that were not sold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registration statement.</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only securities being registered on this form are being offered pursuant to dividend or interest reinvestment plans, please check the following box. o</w:t>
      </w:r>
    </w:p>
    <w:p>
      <w:pPr>
        <w:sectPr>
          <w:pgSz w:w="11900" w:h="16838" w:orient="portrait"/>
          <w:cols w:equalWidth="0" w:num="1">
            <w:col w:w="11420"/>
          </w:cols>
          <w:pgMar w:left="240" w:top="468" w:right="239" w:bottom="144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o</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Times New Roman" w:cs="Times New Roman" w:eastAsia="Times New Roman" w:hAnsi="Times New Roman"/>
          <w:sz w:val="14"/>
          <w:szCs w:val="14"/>
          <w:color w:val="auto"/>
        </w:rPr>
        <w:t>x</w:t>
      </w:r>
    </w:p>
    <w:p>
      <w:pPr>
        <w:spacing w:after="0" w:line="13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7" w:lineRule="exact"/>
        <w:rPr>
          <w:sz w:val="20"/>
          <w:szCs w:val="20"/>
          <w:color w:val="auto"/>
        </w:rPr>
      </w:pPr>
    </w:p>
    <w:p>
      <w:pPr>
        <w:spacing w:after="0"/>
        <w:tabs>
          <w:tab w:leader="none" w:pos="1420" w:val="left"/>
          <w:tab w:leader="none" w:pos="1640" w:val="left"/>
          <w:tab w:leader="none" w:pos="2740" w:val="left"/>
          <w:tab w:leader="none" w:pos="2960" w:val="left"/>
          <w:tab w:leader="none" w:pos="4320" w:val="left"/>
          <w:tab w:leader="none" w:pos="4540" w:val="left"/>
          <w:tab w:leader="none" w:pos="6260" w:val="left"/>
        </w:tabs>
        <w:rPr>
          <w:sz w:val="20"/>
          <w:szCs w:val="20"/>
          <w:color w:val="auto"/>
        </w:rPr>
      </w:pPr>
      <w:r>
        <w:rPr>
          <w:rFonts w:ascii="Times New Roman" w:cs="Times New Roman" w:eastAsia="Times New Roman" w:hAnsi="Times New Roman"/>
          <w:sz w:val="14"/>
          <w:szCs w:val="14"/>
          <w:color w:val="auto"/>
        </w:rPr>
        <w:t>Large accelerated filer</w:t>
        <w:tab/>
        <w:t>x</w:t>
        <w:tab/>
        <w:t>Accelerated filer</w:t>
        <w:tab/>
        <w:t>o</w:t>
        <w:tab/>
        <w:t>Non-accelerated filer</w:t>
        <w:tab/>
        <w:t>o</w:t>
        <w:tab/>
        <w:t>Smaller reporting company</w:t>
      </w:r>
      <w:r>
        <w:rPr>
          <w:sz w:val="20"/>
          <w:szCs w:val="20"/>
          <w:color w:val="auto"/>
        </w:rPr>
        <w:tab/>
      </w:r>
      <w:r>
        <w:rPr>
          <w:rFonts w:ascii="Times New Roman" w:cs="Times New Roman" w:eastAsia="Times New Roman" w:hAnsi="Times New Roman"/>
          <w:sz w:val="12"/>
          <w:szCs w:val="12"/>
          <w:color w:val="auto"/>
        </w:rPr>
        <w:t>o</w:t>
      </w:r>
    </w:p>
    <w:p>
      <w:pPr>
        <w:spacing w:after="0" w:line="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(Do not check if a smaller reporting company)</w:t>
      </w:r>
    </w:p>
    <w:p>
      <w:pPr>
        <w:sectPr>
          <w:pgSz w:w="11900" w:h="16838" w:orient="portrait"/>
          <w:cols w:equalWidth="0" w:num="1">
            <w:col w:w="11340"/>
          </w:cols>
          <w:pgMar w:left="240" w:top="553"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This Post-Effective Amendment No. 1 to the Registration Statement on Form S-3 (File No. 333-155394)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on November 14, 2008 by EZCORP, Inc., a Delaware corporation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which registered 1,116,505 shares of Registrant’s Class A Non-Voting Common Stock, par value $0.01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is being filed to deregister any securities registered pursuant to the Registration Statement and not otherwise sold thereunder.</w:t>
      </w:r>
    </w:p>
    <w:p>
      <w:pPr>
        <w:spacing w:after="0" w:line="14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October 2, 2013, pursuant to the Agreement and Plan of Merger, dated as of October 1, 2013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between Registrant and EZMergeco, Inc., a Delaware corporation and a newly formed direct wholly owned subsidiary of Registrant (“</w:t>
      </w:r>
      <w:r>
        <w:rPr>
          <w:rFonts w:ascii="Times New Roman" w:cs="Times New Roman" w:eastAsia="Times New Roman" w:hAnsi="Times New Roman"/>
          <w:sz w:val="18"/>
          <w:szCs w:val="18"/>
          <w:u w:val="single" w:color="auto"/>
          <w:color w:val="auto"/>
        </w:rPr>
        <w:t>MergeCo</w:t>
      </w:r>
      <w:r>
        <w:rPr>
          <w:rFonts w:ascii="Times New Roman" w:cs="Times New Roman" w:eastAsia="Times New Roman" w:hAnsi="Times New Roman"/>
          <w:sz w:val="18"/>
          <w:szCs w:val="18"/>
          <w:color w:val="auto"/>
        </w:rPr>
        <w:t>”), in an internal reorganization transaction structured as a merger, Registrant merged with and into MergeCo, with MergeCo continuing as the surviving corporation (the “</w:t>
      </w:r>
      <w:r>
        <w:rPr>
          <w:rFonts w:ascii="Times New Roman" w:cs="Times New Roman" w:eastAsia="Times New Roman" w:hAnsi="Times New Roman"/>
          <w:sz w:val="18"/>
          <w:szCs w:val="18"/>
          <w:u w:val="single" w:color="auto"/>
          <w:color w:val="auto"/>
        </w:rPr>
        <w:t>Reorganization</w:t>
      </w:r>
      <w:r>
        <w:rPr>
          <w:rFonts w:ascii="Times New Roman" w:cs="Times New Roman" w:eastAsia="Times New Roman" w:hAnsi="Times New Roman"/>
          <w:sz w:val="18"/>
          <w:szCs w:val="18"/>
          <w:color w:val="auto"/>
        </w:rPr>
        <w:t>”). At the effective time of the Reorganization, MergeCo changed its name to “EZCORP, Inc.” (referred to herein as “</w:t>
      </w:r>
      <w:r>
        <w:rPr>
          <w:rFonts w:ascii="Times New Roman" w:cs="Times New Roman" w:eastAsia="Times New Roman" w:hAnsi="Times New Roman"/>
          <w:sz w:val="18"/>
          <w:szCs w:val="18"/>
          <w:u w:val="single" w:color="auto"/>
          <w:color w:val="auto"/>
        </w:rPr>
        <w:t>EZCORP</w:t>
      </w:r>
      <w:r>
        <w:rPr>
          <w:rFonts w:ascii="Times New Roman" w:cs="Times New Roman" w:eastAsia="Times New Roman" w:hAnsi="Times New Roman"/>
          <w:sz w:val="18"/>
          <w:szCs w:val="18"/>
          <w:color w:val="auto"/>
        </w:rPr>
        <w:t>”) and succeeded to all of the assets and liabilities of Registrant. EZCORP has conducted and will continue to conduct the same business and operations as Registrant immediately prior to the Reorganization.</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Reorganization, Registrant has terminated any and all offerings of its securities pursuant to its existing registration statements, including the Registration Statement. Accordingly, Registrant hereby terminates the effectiveness of the Registration Statement and, in accordance with an undertaking made by Registrant in Part II of the Registration Statement to remove from registration by means of a post-effective amendment any of the securities being registered which remain unsold at the termination of the offering, removes from registration any and all Class A Common Stock registered but unsold under the Registration Statement as of the date hereof.</w:t>
      </w:r>
    </w:p>
    <w:p>
      <w:pPr>
        <w:sectPr>
          <w:pgSz w:w="11900" w:h="16838" w:orient="portrait"/>
          <w:cols w:equalWidth="0" w:num="1">
            <w:col w:w="11420"/>
          </w:cols>
          <w:pgMar w:left="240" w:top="360" w:right="2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and Rule 478 thereunder,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Austin, State of Texas, on this 4th day of October, 2013.</w:t>
      </w:r>
    </w:p>
    <w:p>
      <w:pPr>
        <w:spacing w:after="0" w:line="29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EZCORP, INC.</w:t>
      </w:r>
    </w:p>
    <w:p>
      <w:pPr>
        <w:spacing w:after="0" w:line="297" w:lineRule="exact"/>
        <w:rPr>
          <w:sz w:val="20"/>
          <w:szCs w:val="20"/>
          <w:color w:val="auto"/>
        </w:rPr>
      </w:pPr>
    </w:p>
    <w:p>
      <w:pPr>
        <w:ind w:left="6000"/>
        <w:spacing w:after="0"/>
        <w:tabs>
          <w:tab w:leader="none" w:pos="6420" w:val="left"/>
        </w:tabs>
        <w:rPr>
          <w:sz w:val="20"/>
          <w:szCs w:val="20"/>
          <w:color w:val="auto"/>
        </w:rPr>
      </w:pPr>
      <w:r>
        <w:rPr>
          <w:rFonts w:ascii="Times New Roman" w:cs="Times New Roman" w:eastAsia="Times New Roman" w:hAnsi="Times New Roman"/>
          <w:sz w:val="18"/>
          <w:szCs w:val="18"/>
          <w:color w:val="auto"/>
        </w:rPr>
        <w:t>By:</w:t>
        <w:tab/>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23152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Thomas H. Welch, Jr.</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Title: Agent for Service</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Note: No other person is required to sign this Post-Effective Amendment No. 1 to the Registration Statement in reliance on Rule 478 of the Securities Act of 1933.</w:t>
      </w:r>
    </w:p>
    <w:sectPr>
      <w:pgSz w:w="11900" w:h="16838" w:orient="portrait"/>
      <w:cols w:equalWidth="0" w:num="1">
        <w:col w:w="11380"/>
      </w:cols>
      <w:pgMar w:left="240" w:top="36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2020-01-28T22:35:42Z</dcterms:created>
  <dcterms:modified xsi:type="dcterms:W3CDTF">2020-01-28T22:35:42Z</dcterms:modified>
</cp:coreProperties>
</file>