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370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7019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Sajnani Sunil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2500 BEE CAVE ROAD</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BUILDING 1,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EZCORP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11/17/2021</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17"/>
        <w:spacing w:after="0"/>
        <w:rPr>
          <w:sz w:val="20"/>
          <w:szCs w:val="20"/>
          <w:color w:val="auto"/>
        </w:rPr>
      </w:pPr>
      <w:r>
        <w:rPr>
          <w:rFonts w:ascii="Times New Roman" w:cs="Times New Roman" w:eastAsia="Times New Roman" w:hAnsi="Times New Roman"/>
          <w:sz w:val="17"/>
          <w:szCs w:val="17"/>
          <w:color w:val="0000FF"/>
        </w:rPr>
        <w:t>Chief Audit/LP Executive</w:t>
      </w:r>
    </w:p>
    <w:p>
      <w:pPr>
        <w:spacing w:after="0" w:line="388"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8"/>
              <w:spacing w:after="0" w:line="146"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ROLLINGWOOD TX</w:t>
            </w:r>
          </w:p>
        </w:tc>
        <w:tc>
          <w:tcPr>
            <w:tcW w:w="11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78746</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9,278</w:t>
            </w:r>
          </w:p>
        </w:tc>
        <w:tc>
          <w:tcPr>
            <w:tcW w:w="6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5.03</w:t>
            </w:r>
            <w:r>
              <w:rPr>
                <w:rFonts w:ascii="Times New Roman" w:cs="Times New Roman" w:eastAsia="Times New Roman" w:hAnsi="Times New Roman"/>
                <w:sz w:val="21"/>
                <w:szCs w:val="21"/>
                <w:color w:val="008000"/>
                <w:vertAlign w:val="superscript"/>
              </w:rPr>
              <w:t>(3)</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11/17/2021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9,278</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3"/>
                <w:szCs w:val="13"/>
                <w:color w:val="0000FF"/>
              </w:rPr>
              <w:t>121,181</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ind w:right="18"/>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36,316</w:t>
            </w:r>
          </w:p>
        </w:tc>
        <w:tc>
          <w:tcPr>
            <w:tcW w:w="6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7.71</w:t>
            </w:r>
            <w:r>
              <w:rPr>
                <w:rFonts w:ascii="Times New Roman" w:cs="Times New Roman" w:eastAsia="Times New Roman" w:hAnsi="Times New Roman"/>
                <w:sz w:val="21"/>
                <w:szCs w:val="21"/>
                <w:color w:val="008000"/>
                <w:vertAlign w:val="superscript"/>
              </w:rPr>
              <w:t>(5)</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10/11/2022</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1"/>
              <w:spacing w:after="0" w:line="142" w:lineRule="exact"/>
              <w:rPr>
                <w:sz w:val="20"/>
                <w:szCs w:val="20"/>
                <w:color w:val="auto"/>
              </w:rPr>
            </w:pPr>
            <w:r>
              <w:rPr>
                <w:rFonts w:ascii="Times New Roman" w:cs="Times New Roman" w:eastAsia="Times New Roman" w:hAnsi="Times New Roman"/>
                <w:sz w:val="13"/>
                <w:szCs w:val="13"/>
                <w:color w:val="0000FF"/>
              </w:rPr>
              <w:t>36,316</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3"/>
                <w:szCs w:val="13"/>
                <w:color w:val="0000FF"/>
              </w:rPr>
              <w:t>157,497</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920"/>
        <w:spacing w:after="0"/>
        <w:rPr>
          <w:sz w:val="20"/>
          <w:szCs w:val="20"/>
          <w:color w:val="auto"/>
        </w:rPr>
      </w:pPr>
      <w:r>
        <w:rPr>
          <w:rFonts w:ascii="Times New Roman" w:cs="Times New Roman" w:eastAsia="Times New Roman" w:hAnsi="Times New Roman"/>
          <w:sz w:val="13"/>
          <w:szCs w:val="13"/>
          <w:color w:val="0000FF"/>
        </w:rPr>
        <w:t>Stock</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4"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2021 Restricted Stock Unit award. These units were earned with achievement of the specified performance goal for fiscal 2021 and vest on September 30, 2023, subject to continued employment.</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2020. However, no consideration was paid for the award other than services rendered and to be rendered by the Reporting Person.</w:t>
      </w:r>
    </w:p>
    <w:p>
      <w:pPr>
        <w:spacing w:after="0" w:line="44" w:lineRule="exact"/>
        <w:rPr>
          <w:rFonts w:ascii="Times New Roman" w:cs="Times New Roman" w:eastAsia="Times New Roman" w:hAnsi="Times New Roman"/>
          <w:sz w:val="13"/>
          <w:szCs w:val="13"/>
          <w:color w:val="008000"/>
        </w:rPr>
      </w:pPr>
    </w:p>
    <w:p>
      <w:pPr>
        <w:ind w:left="40" w:right="4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will vest in whole or in part on September 30, 2025, with 80% being subject to the attainment of specified performance goals in addition to continued employment, and the remaining 20% being subject to continued employment only.</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2022. However, no consideration was paid for the award other than services rendered and to be rendered by the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Carrie Putnam, Attorney-in- </w:t>
      </w:r>
      <w:r>
        <w:rPr>
          <w:rFonts w:ascii="Times New Roman" w:cs="Times New Roman" w:eastAsia="Times New Roman" w:hAnsi="Times New Roman"/>
          <w:sz w:val="33"/>
          <w:szCs w:val="33"/>
          <w:color w:val="0000FF"/>
          <w:vertAlign w:val="subscript"/>
        </w:rPr>
        <w:t>10/13/2022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15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9629"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2022-10-13T10:27:19Z</dcterms:created>
  <dcterms:modified xsi:type="dcterms:W3CDTF">2022-10-13T10:27:19Z</dcterms:modified>
</cp:coreProperties>
</file>