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rFonts w:ascii="inherit" w:hAnsi="inherit"/>
          <w:sz w:val="17"/>
        </w:rPr>
      </w:pPr>
      <w:r>
        <w:rPr>
          <w:rFonts w:ascii="inherit" w:hAnsi="inherit"/>
          <w:sz w:val="17"/>
        </w:rPr>
      </w:r>
      <w:bookmarkStart w:id="0" w:name="sE791682209EF974B85E50048B3DEEA43"/>
      <w:bookmarkStart w:id="1" w:name="ezpw063020128-k.htm"/>
      <w:bookmarkStart w:id="2" w:name="ksezpw063020128k"/>
      <w:bookmarkStart w:id="3" w:name="sE791682209EF974B85E50048B3DEEA43"/>
      <w:bookmarkStart w:id="4" w:name="ezpw063020128-k.htm"/>
      <w:bookmarkStart w:id="5" w:name="ksezpw063020128k"/>
      <w:bookmarkEnd w:id="3"/>
      <w:bookmarkEnd w:id="4"/>
      <w:bookmarkEnd w:id="5"/>
    </w:p>
    <w:p>
      <w:pPr>
        <w:pStyle w:val="TextBody"/>
        <w:spacing w:before="0" w:after="0"/>
        <w:rPr/>
      </w:pPr>
      <w:r>
        <w:rPr/>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b/>
          <w:sz w:val="30"/>
        </w:rPr>
      </w:pPr>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b/>
          <w:sz w:val="30"/>
        </w:rPr>
      </w:pPr>
      <w:r>
        <w:rPr>
          <w:rFonts w:ascii="inherit" w:hAnsi="inherit"/>
          <w:b/>
          <w:sz w:val="30"/>
        </w:rPr>
        <w:t>FORM 8-K</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23"/>
        </w:rPr>
      </w:pPr>
      <w:r>
        <w:rPr>
          <w:rFonts w:ascii="inherit" w:hAnsi="inherit"/>
          <w:b/>
          <w:sz w:val="23"/>
        </w:rPr>
        <w:t>CURRENT REPORT</w:t>
      </w:r>
    </w:p>
    <w:p>
      <w:pPr>
        <w:pStyle w:val="TextBody"/>
        <w:spacing w:lineRule="auto" w:line="288" w:before="0" w:after="0"/>
        <w:jc w:val="center"/>
        <w:rPr>
          <w:rFonts w:ascii="inherit" w:hAnsi="inherit"/>
          <w:b/>
          <w:sz w:val="20"/>
        </w:rPr>
      </w:pPr>
      <w:r>
        <w:rPr>
          <w:rFonts w:ascii="inherit" w:hAnsi="inherit"/>
          <w:b/>
          <w:sz w:val="20"/>
        </w:rPr>
        <w:t>PURSUANT TO SECTION 13 OR 15(d) OF THE</w:t>
      </w:r>
    </w:p>
    <w:p>
      <w:pPr>
        <w:pStyle w:val="TextBody"/>
        <w:spacing w:lineRule="auto" w:line="288" w:before="0" w:after="0"/>
        <w:jc w:val="center"/>
        <w:rPr>
          <w:rFonts w:ascii="inherit" w:hAnsi="inherit"/>
          <w:b/>
          <w:sz w:val="20"/>
        </w:rPr>
      </w:pPr>
      <w:r>
        <w:rPr>
          <w:rFonts w:ascii="inherit" w:hAnsi="inherit"/>
          <w:b/>
          <w:sz w:val="20"/>
        </w:rPr>
        <w:t>SECURITIES EXCHANGE ACT OF 1934</w:t>
      </w:r>
    </w:p>
    <w:p>
      <w:pPr>
        <w:pStyle w:val="TextBody"/>
        <w:spacing w:lineRule="auto" w:line="288" w:before="0" w:after="0"/>
        <w:jc w:val="center"/>
        <w:rPr>
          <w:sz w:val="20"/>
        </w:rPr>
      </w:pPr>
      <w:r>
        <w:rPr>
          <w:rFonts w:ascii="inherit" w:hAnsi="inherit"/>
          <w:b/>
          <w:sz w:val="20"/>
        </w:rPr>
        <w:t>Date of Report (Date of earliest event reported): July 24, 2012</w:t>
      </w:r>
      <w:r>
        <w:rPr>
          <w:sz w:val="20"/>
        </w:rPr>
        <w:t xml:space="preserve"> </w:t>
      </w:r>
    </w:p>
    <w:p>
      <w:pPr>
        <w:pStyle w:val="TextBody"/>
        <w:spacing w:lineRule="auto" w:line="288" w:before="0" w:after="0"/>
        <w:jc w:val="center"/>
        <w:rPr/>
      </w:pPr>
      <w:r>
        <w:rPr/>
        <w:t> </w:t>
      </w:r>
      <w:r>
        <w:rPr>
          <w:rFonts w:ascii="inherit" w:hAnsi="inherit"/>
          <w:sz w:val="17"/>
        </w:rPr>
        <w:t>_______________________________________________ </w:t>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p>
      <w:pPr>
        <w:pStyle w:val="TextBody"/>
        <w:spacing w:lineRule="auto" w:line="288" w:before="0" w:after="0"/>
        <w:jc w:val="center"/>
        <w:rPr/>
      </w:pPr>
      <w:r>
        <w:rPr/>
        <w:t> </w:t>
      </w:r>
      <w:r>
        <w:rPr>
          <w:rFonts w:ascii="inherit" w:hAnsi="inherit"/>
          <w:sz w:val="17"/>
        </w:rPr>
        <w:t>_______________________________________________________ </w:t>
      </w:r>
    </w:p>
    <w:tbl>
      <w:tblPr>
        <w:tblW w:w="9057" w:type="dxa"/>
        <w:jc w:val="center"/>
        <w:tblInd w:w="0" w:type="dxa"/>
        <w:tblCellMar>
          <w:top w:w="0" w:type="dxa"/>
          <w:left w:w="0" w:type="dxa"/>
          <w:bottom w:w="0" w:type="dxa"/>
          <w:right w:w="0" w:type="dxa"/>
        </w:tblCellMar>
      </w:tblPr>
      <w:tblGrid>
        <w:gridCol w:w="2899"/>
        <w:gridCol w:w="90"/>
        <w:gridCol w:w="2989"/>
        <w:gridCol w:w="90"/>
        <w:gridCol w:w="2989"/>
      </w:tblGrid>
      <w:tr>
        <w:trPr/>
        <w:tc>
          <w:tcPr>
            <w:tcW w:w="9057" w:type="dxa"/>
            <w:gridSpan w:val="5"/>
            <w:tcBorders/>
            <w:shd w:fill="auto" w:val="clear"/>
            <w:vAlign w:val="center"/>
          </w:tcPr>
          <w:p>
            <w:pPr>
              <w:pStyle w:val="TableContents"/>
              <w:spacing w:before="0" w:after="283"/>
              <w:rPr>
                <w:sz w:val="4"/>
                <w:szCs w:val="4"/>
              </w:rPr>
            </w:pPr>
            <w:r>
              <w:rPr>
                <w:sz w:val="4"/>
                <w:szCs w:val="4"/>
              </w:rPr>
            </w:r>
          </w:p>
        </w:tc>
      </w:tr>
      <w:tr>
        <w:trPr/>
        <w:tc>
          <w:tcPr>
            <w:tcW w:w="289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9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0-19424</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2899"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w:t>
            </w:r>
          </w:p>
          <w:p>
            <w:pPr>
              <w:pStyle w:val="TableContents"/>
              <w:spacing w:before="0" w:after="0"/>
              <w:ind w:left="0" w:right="0" w:firstLine="30"/>
              <w:jc w:val="center"/>
              <w:rPr>
                <w:rFonts w:ascii="inherit" w:hAnsi="inherit"/>
                <w:b/>
                <w:sz w:val="13"/>
              </w:rPr>
            </w:pPr>
            <w:r>
              <w:rPr>
                <w:rFonts w:ascii="inherit" w:hAnsi="inherit"/>
                <w:b/>
                <w:sz w:val="13"/>
              </w:rPr>
              <w:t>of incorporation)</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(Commission</w:t>
            </w:r>
          </w:p>
          <w:p>
            <w:pPr>
              <w:pStyle w:val="TableContents"/>
              <w:spacing w:before="0" w:after="0"/>
              <w:ind w:left="0" w:right="0" w:firstLine="30"/>
              <w:jc w:val="center"/>
              <w:rPr>
                <w:rFonts w:ascii="inherit" w:hAnsi="inherit"/>
                <w:b/>
                <w:sz w:val="13"/>
              </w:rPr>
            </w:pPr>
            <w:r>
              <w:rPr>
                <w:rFonts w:ascii="inherit" w:hAnsi="inherit"/>
                <w:b/>
                <w:sz w:val="13"/>
              </w:rPr>
              <w:t>File Number)</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No.)</w:t>
            </w:r>
          </w:p>
        </w:tc>
      </w:tr>
    </w:tbl>
    <w:p>
      <w:pPr>
        <w:pStyle w:val="TextBody"/>
        <w:spacing w:lineRule="auto" w:line="288" w:before="0" w:after="0"/>
        <w:jc w:val="center"/>
        <w:rPr>
          <w:rFonts w:ascii="inherit" w:hAnsi="inherit"/>
          <w:b/>
          <w:sz w:val="17"/>
        </w:rPr>
      </w:pPr>
      <w:r>
        <w:rPr>
          <w:rFonts w:ascii="inherit" w:hAnsi="inherit"/>
          <w:b/>
          <w:sz w:val="17"/>
        </w:rPr>
        <w:t>1901 Capital Parkway, Austin, Texas 78746</w:t>
      </w:r>
    </w:p>
    <w:p>
      <w:pPr>
        <w:pStyle w:val="TextBody"/>
        <w:spacing w:lineRule="auto" w:line="288" w:before="0" w:after="0"/>
        <w:jc w:val="center"/>
        <w:rPr>
          <w:rFonts w:ascii="inherit" w:hAnsi="inherit"/>
          <w:b/>
          <w:sz w:val="13"/>
        </w:rPr>
      </w:pPr>
      <w:r>
        <w:rPr>
          <w:rFonts w:ascii="inherit" w:hAnsi="inherit"/>
          <w:b/>
          <w:sz w:val="13"/>
        </w:rPr>
        <w:t>(Address of principal executive offices) (zip code)</w:t>
      </w:r>
    </w:p>
    <w:p>
      <w:pPr>
        <w:pStyle w:val="TextBody"/>
        <w:spacing w:lineRule="auto" w:line="288" w:before="0" w:after="0"/>
        <w:jc w:val="center"/>
        <w:rPr>
          <w:rFonts w:ascii="inherit" w:hAnsi="inherit"/>
          <w:b/>
          <w:sz w:val="17"/>
        </w:rPr>
      </w:pPr>
      <w:r>
        <w:rPr>
          <w:rFonts w:ascii="inherit" w:hAnsi="inherit"/>
          <w:b/>
          <w:sz w:val="17"/>
        </w:rPr>
        <w:t>Registrant’s telephone number, including area code: (512) 314-3400</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pPr>
      <w:r>
        <w:rPr/>
        <w:t> </w:t>
      </w:r>
    </w:p>
    <w:p>
      <w:pPr>
        <w:pStyle w:val="TextBody"/>
        <w:spacing w:lineRule="auto" w:line="288" w:before="0" w:after="0"/>
        <w:rPr>
          <w:rFonts w:ascii="inherit" w:hAnsi="inherit"/>
          <w:sz w:val="17"/>
        </w:rPr>
      </w:pPr>
      <w:r>
        <w:rPr>
          <w:rFonts w:ascii="inherit" w:hAnsi="inherit"/>
          <w:sz w:val="17"/>
        </w:rPr>
        <w:t>Check the appropriate box below if the Form 8-K filing is intended to simultaneously satisfy the filing obligation of the registrant under any of the following provisions:</w:t>
      </w:r>
    </w:p>
    <w:tbl>
      <w:tblPr>
        <w:tblW w:w="10205" w:type="dxa"/>
        <w:jc w:val="center"/>
        <w:tblInd w:w="0" w:type="dxa"/>
        <w:tblCellMar>
          <w:top w:w="0" w:type="dxa"/>
          <w:left w:w="0" w:type="dxa"/>
          <w:bottom w:w="0" w:type="dxa"/>
          <w:right w:w="0" w:type="dxa"/>
        </w:tblCellMar>
      </w:tblPr>
      <w:tblGrid>
        <w:gridCol w:w="512"/>
        <w:gridCol w:w="8980"/>
        <w:gridCol w:w="713"/>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vAlign w:val="center"/>
          </w:tcPr>
          <w:p>
            <w:pPr>
              <w:pStyle w:val="TableContents"/>
              <w:spacing w:before="0" w:after="283"/>
              <w:rPr>
                <w:sz w:val="4"/>
                <w:szCs w:val="4"/>
              </w:rPr>
            </w:pPr>
            <w:r>
              <w:rPr>
                <w:sz w:val="4"/>
                <w:szCs w:val="4"/>
              </w:rPr>
            </w:r>
          </w:p>
        </w:tc>
        <w:tc>
          <w:tcPr>
            <w:tcW w:w="898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Written communications pursuant to Rule 425 under the Securities Act (17 CFR 230.425)</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Soliciting material pursuant to Rule 14a-12 under the Exchange Act (17 CFR 240.14a-12)</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14d-2(b) under the Exchange Act (17 CFR 240.14d-2(b))</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13e-4(c) under the Exchange Act (17 CFR 240.13e-4(c))</w:t>
            </w:r>
          </w:p>
        </w:tc>
        <w:tc>
          <w:tcPr>
            <w:tcW w:w="713" w:type="dxa"/>
            <w:tcBorders/>
            <w:shd w:fill="auto" w:val="clear"/>
            <w:vAlign w:val="center"/>
          </w:tcPr>
          <w:p>
            <w:pPr>
              <w:pStyle w:val="TableContents"/>
              <w:spacing w:before="0" w:after="0"/>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6" w:name="sA1921DC917078A57E5140048B3FEB225"/>
      <w:bookmarkStart w:id="7" w:name="sA1921DC917078A57E5140048B3FEB225"/>
      <w:bookmarkEnd w:id="7"/>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Item 2.02 — Results of Operations and Financial Condition</w:t>
      </w:r>
    </w:p>
    <w:p>
      <w:pPr>
        <w:pStyle w:val="TextBody"/>
        <w:spacing w:lineRule="auto" w:line="288" w:before="0" w:after="0"/>
        <w:rPr>
          <w:sz w:val="17"/>
        </w:rPr>
      </w:pPr>
      <w:r>
        <w:rPr>
          <w:rFonts w:ascii="inherit" w:hAnsi="inherit"/>
          <w:sz w:val="17"/>
        </w:rPr>
        <w:t xml:space="preserve">On July 24, 2012, EZCORP, Inc. issued a press release announcing its results of operations and financial condition for the third fiscal quarter ended </w:t>
      </w:r>
      <w:r>
        <w:rPr>
          <w:rFonts w:ascii="inherit" w:hAnsi="inherit"/>
          <w:strike w:val="false"/>
          <w:dstrike w:val="false"/>
          <w:color w:val="000000"/>
          <w:sz w:val="17"/>
          <w:u w:val="none"/>
          <w:effect w:val="none"/>
        </w:rPr>
        <w:t>June 30, 2012</w:t>
      </w:r>
      <w:r>
        <w:rPr>
          <w:rFonts w:ascii="inherit" w:hAnsi="inherit"/>
          <w:sz w:val="17"/>
        </w:rPr>
        <w:t>. A copy of that press release is attached as Exhibit 99.1.</w:t>
      </w:r>
    </w:p>
    <w:p>
      <w:pPr>
        <w:pStyle w:val="TextBody"/>
        <w:spacing w:lineRule="auto" w:line="288" w:before="0" w:after="0"/>
        <w:rPr>
          <w:rFonts w:ascii="inherit" w:hAnsi="inherit"/>
          <w:i/>
          <w:sz w:val="17"/>
        </w:rPr>
      </w:pPr>
      <w:r>
        <w:rPr>
          <w:rFonts w:ascii="inherit" w:hAnsi="inherit"/>
          <w:i/>
          <w:sz w:val="17"/>
        </w:rPr>
        <w:t>As used herein, “GAAP” refers to accounting principles generally accepted in the United States.</w:t>
      </w:r>
    </w:p>
    <w:p>
      <w:pPr>
        <w:pStyle w:val="TextBody"/>
        <w:spacing w:lineRule="auto" w:line="288" w:before="0" w:after="0"/>
        <w:rPr>
          <w:rFonts w:ascii="inherit" w:hAnsi="inherit"/>
          <w:sz w:val="17"/>
        </w:rPr>
      </w:pPr>
      <w:r>
        <w:rPr>
          <w:rFonts w:ascii="inherit" w:hAnsi="inherit"/>
          <w:sz w:val="17"/>
        </w:rPr>
        <w:t>The press release furnished in Exhibit 99.1 presents the financial results in accordance with GAAP. In addition, net income, consolidated operating income and earnings per share for the nine months ended June 30, 2011 are also presented on a non-GAAP basis. Information sufficient to reconcile the non-GAAP measure to the GAAP measure is also presented. This non-GAAP financial measure is not meant to be considered in isolation or as a substitute for the corresponding GAAP measure.</w:t>
      </w:r>
    </w:p>
    <w:p>
      <w:pPr>
        <w:pStyle w:val="TextBody"/>
        <w:spacing w:lineRule="auto" w:line="288" w:before="0" w:after="0"/>
        <w:rPr>
          <w:rFonts w:ascii="inherit" w:hAnsi="inherit"/>
          <w:sz w:val="17"/>
        </w:rPr>
      </w:pPr>
      <w:r>
        <w:rPr>
          <w:rFonts w:ascii="inherit" w:hAnsi="inherit"/>
          <w:sz w:val="17"/>
        </w:rPr>
        <w:t>As noted in the press release, the only difference between the presented non-GAAP measures and the GAAP measures is the exclusion of the effect of a one-time charge related to the retirement of the Company’s former Chief Executive Officer and related tax benefit. The Company believes that excluding this one-time charge from the Company’s prior nine month period GAAP results allows management and investors to better understand the Company’s financial performance from period to period and in relation to the Company’s operating results. Management does not believe that the excluded one-time charge is reflective of underlying operating performance. The presentation of these non-GAAP financial measures facilitates an enhanced understanding of the Company’s actual and expected performance and enables more meaningful period-to-period comparisons.</w:t>
      </w:r>
    </w:p>
    <w:p>
      <w:pPr>
        <w:pStyle w:val="TextBody"/>
        <w:spacing w:lineRule="auto" w:line="288" w:before="0" w:after="0"/>
        <w:rPr>
          <w:rFonts w:ascii="inherit" w:hAnsi="inherit"/>
          <w:sz w:val="17"/>
        </w:rPr>
      </w:pPr>
      <w:r>
        <w:rPr>
          <w:rFonts w:ascii="inherit" w:hAnsi="inherit"/>
          <w:sz w:val="17"/>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8" w:name="s47EB7EC1F79DAD140EAB0048B452A6E7"/>
      <w:bookmarkEnd w:id="8"/>
      <w:r>
        <w:rPr>
          <w:rFonts w:ascii="inherit" w:hAnsi="inherit"/>
          <w:b/>
          <w:sz w:val="17"/>
        </w:rPr>
        <w:t>Item 9.01 Financial Statements and Exhibits.</w:t>
      </w:r>
    </w:p>
    <w:p>
      <w:pPr>
        <w:pStyle w:val="TextBody"/>
        <w:spacing w:lineRule="auto" w:line="288" w:before="0" w:after="0"/>
        <w:rPr>
          <w:rFonts w:ascii="inherit" w:hAnsi="inherit"/>
          <w:sz w:val="17"/>
        </w:rPr>
      </w:pPr>
      <w:r>
        <w:rPr>
          <w:rFonts w:ascii="inherit" w:hAnsi="inherit"/>
          <w:sz w:val="17"/>
        </w:rPr>
      </w:r>
    </w:p>
    <w:tbl>
      <w:tblPr>
        <w:tblW w:w="1000" w:type="dxa"/>
        <w:jc w:val="left"/>
        <w:tblInd w:w="0" w:type="dxa"/>
        <w:tblCellMar>
          <w:top w:w="0" w:type="dxa"/>
          <w:left w:w="0" w:type="dxa"/>
          <w:bottom w:w="0" w:type="dxa"/>
          <w:right w:w="0" w:type="dxa"/>
        </w:tblCellMar>
      </w:tblPr>
      <w:tblGrid>
        <w:gridCol w:w="260"/>
        <w:gridCol w:w="740"/>
      </w:tblGrid>
      <w:tr>
        <w:trPr/>
        <w:tc>
          <w:tcPr>
            <w:tcW w:w="2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(d)</w:t>
            </w:r>
          </w:p>
        </w:tc>
        <w:tc>
          <w:tcPr>
            <w:tcW w:w="74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Exhibits.</w:t>
            </w:r>
          </w:p>
        </w:tc>
      </w:tr>
    </w:tbl>
    <w:p>
      <w:pPr>
        <w:pStyle w:val="TextBody"/>
        <w:spacing w:lineRule="auto" w:line="288" w:before="0" w:after="0"/>
        <w:ind w:left="0" w:right="0" w:firstLine="60"/>
        <w:jc w:val="left"/>
        <w:rPr>
          <w:rFonts w:ascii="inherit" w:hAnsi="inherit"/>
          <w:sz w:val="17"/>
        </w:rPr>
      </w:pPr>
      <w:r>
        <w:rPr>
          <w:rFonts w:ascii="inherit" w:hAnsi="inherit"/>
          <w:sz w:val="17"/>
        </w:rPr>
      </w:r>
    </w:p>
    <w:tbl>
      <w:tblPr>
        <w:tblW w:w="9840" w:type="dxa"/>
        <w:jc w:val="left"/>
        <w:tblInd w:w="0" w:type="dxa"/>
        <w:tblCellMar>
          <w:top w:w="0" w:type="dxa"/>
          <w:left w:w="0" w:type="dxa"/>
          <w:bottom w:w="0" w:type="dxa"/>
          <w:right w:w="0" w:type="dxa"/>
        </w:tblCellMar>
      </w:tblPr>
      <w:tblGrid>
        <w:gridCol w:w="615"/>
        <w:gridCol w:w="9225"/>
      </w:tblGrid>
      <w:tr>
        <w:trPr/>
        <w:tc>
          <w:tcPr>
            <w:tcW w:w="9840" w:type="dxa"/>
            <w:gridSpan w:val="2"/>
            <w:tcBorders/>
            <w:shd w:fill="auto" w:val="clear"/>
            <w:vAlign w:val="center"/>
          </w:tcPr>
          <w:p>
            <w:pPr>
              <w:pStyle w:val="TableContents"/>
              <w:spacing w:before="0" w:after="283"/>
              <w:rPr>
                <w:sz w:val="4"/>
                <w:szCs w:val="4"/>
              </w:rPr>
            </w:pPr>
            <w:r>
              <w:rPr>
                <w:sz w:val="4"/>
                <w:szCs w:val="4"/>
              </w:rPr>
            </w:r>
          </w:p>
        </w:tc>
      </w:tr>
      <w:tr>
        <w:trPr/>
        <w:tc>
          <w:tcPr>
            <w:tcW w:w="615" w:type="dxa"/>
            <w:tcBorders/>
            <w:shd w:fill="auto" w:val="clear"/>
            <w:vAlign w:val="center"/>
          </w:tcPr>
          <w:p>
            <w:pPr>
              <w:pStyle w:val="TableContents"/>
              <w:spacing w:before="0" w:after="283"/>
              <w:rPr>
                <w:sz w:val="4"/>
                <w:szCs w:val="4"/>
              </w:rPr>
            </w:pPr>
            <w:r>
              <w:rPr>
                <w:sz w:val="4"/>
                <w:szCs w:val="4"/>
              </w:rPr>
            </w:r>
          </w:p>
        </w:tc>
        <w:tc>
          <w:tcPr>
            <w:tcW w:w="92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99.1</w:t>
            </w:r>
          </w:p>
        </w:tc>
        <w:tc>
          <w:tcPr>
            <w:tcW w:w="9225" w:type="dxa"/>
            <w:tcBorders/>
            <w:shd w:fill="auto" w:val="clear"/>
            <w:vAlign w:val="center"/>
          </w:tcPr>
          <w:p>
            <w:pPr>
              <w:pStyle w:val="TableContents"/>
              <w:spacing w:before="0" w:after="0"/>
              <w:jc w:val="left"/>
              <w:rPr>
                <w:rFonts w:ascii="inherit" w:hAnsi="inherit"/>
                <w:sz w:val="17"/>
              </w:rPr>
            </w:pPr>
            <w:r>
              <w:rPr>
                <w:rFonts w:ascii="inherit" w:hAnsi="inherit"/>
                <w:sz w:val="17"/>
              </w:rPr>
              <w:t>Press Release, dated July 24, 2012, announcing EZCORP, Inc.’s results of operations and financial condition for the third fiscal quarter ended June 30, 2012</w:t>
            </w:r>
          </w:p>
        </w:tc>
      </w:tr>
    </w:tbl>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9" w:name="sE4DB2FF13C4FB7A17AC10048B4844B8E"/>
      <w:bookmarkStart w:id="10" w:name="sE4DB2FF13C4FB7A17AC10048B4844B8E"/>
      <w:bookmarkEnd w:id="10"/>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SIGNATURE</w:t>
      </w:r>
    </w:p>
    <w:p>
      <w:pPr>
        <w:pStyle w:val="TextBody"/>
        <w:spacing w:lineRule="auto" w:line="288" w:before="0" w:after="0"/>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623"/>
        <w:gridCol w:w="3859"/>
        <w:gridCol w:w="306"/>
        <w:gridCol w:w="509"/>
        <w:gridCol w:w="205"/>
        <w:gridCol w:w="515"/>
        <w:gridCol w:w="205"/>
        <w:gridCol w:w="398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23" w:type="dxa"/>
            <w:tcBorders/>
            <w:shd w:fill="auto" w:val="clear"/>
            <w:vAlign w:val="center"/>
          </w:tcPr>
          <w:p>
            <w:pPr>
              <w:pStyle w:val="TableContents"/>
              <w:spacing w:before="0" w:after="283"/>
              <w:rPr>
                <w:sz w:val="4"/>
                <w:szCs w:val="4"/>
              </w:rPr>
            </w:pPr>
            <w:r>
              <w:rPr>
                <w:sz w:val="4"/>
                <w:szCs w:val="4"/>
              </w:rPr>
            </w:r>
          </w:p>
        </w:tc>
        <w:tc>
          <w:tcPr>
            <w:tcW w:w="385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398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3" w:type="dxa"/>
            <w:tcBorders/>
            <w:shd w:fill="auto" w:val="clear"/>
            <w:vAlign w:val="center"/>
          </w:tcPr>
          <w:p>
            <w:pPr>
              <w:pStyle w:val="TableContents"/>
              <w:spacing w:before="0" w:after="0"/>
              <w:ind w:left="0" w:right="0" w:firstLine="30"/>
              <w:rPr/>
            </w:pPr>
            <w:r>
              <w:rPr/>
              <w:t> </w:t>
            </w:r>
          </w:p>
        </w:tc>
        <w:tc>
          <w:tcPr>
            <w:tcW w:w="3859" w:type="dxa"/>
            <w:tcBorders/>
            <w:shd w:fill="auto" w:val="clear"/>
            <w:vAlign w:val="center"/>
          </w:tcPr>
          <w:p>
            <w:pPr>
              <w:pStyle w:val="TableContents"/>
              <w:spacing w:before="0" w:after="0"/>
              <w:ind w:left="0" w:right="0" w:firstLine="30"/>
              <w:rPr/>
            </w:pPr>
            <w:r>
              <w:rPr/>
              <w:t> </w:t>
            </w:r>
          </w:p>
        </w:tc>
        <w:tc>
          <w:tcPr>
            <w:tcW w:w="306" w:type="dxa"/>
            <w:tcBorders/>
            <w:shd w:fill="auto" w:val="clear"/>
            <w:vAlign w:val="center"/>
          </w:tcPr>
          <w:p>
            <w:pPr>
              <w:pStyle w:val="TableContents"/>
              <w:spacing w:before="0" w:after="0"/>
              <w:ind w:left="0" w:right="0" w:firstLine="30"/>
              <w:jc w:val="left"/>
              <w:rPr/>
            </w:pPr>
            <w:r>
              <w:rPr/>
              <w:t> </w:t>
            </w:r>
          </w:p>
        </w:tc>
        <w:tc>
          <w:tcPr>
            <w:tcW w:w="509" w:type="dxa"/>
            <w:tcBorders/>
            <w:shd w:fill="auto" w:val="clear"/>
            <w:vAlign w:val="center"/>
          </w:tcPr>
          <w:p>
            <w:pPr>
              <w:pStyle w:val="TableContents"/>
              <w:spacing w:before="0" w:after="0"/>
              <w:ind w:left="0" w:right="0" w:firstLine="30"/>
              <w:rPr/>
            </w:pPr>
            <w:r>
              <w:rPr/>
              <w:t> </w:t>
            </w:r>
          </w:p>
        </w:tc>
        <w:tc>
          <w:tcPr>
            <w:tcW w:w="205" w:type="dxa"/>
            <w:tcBorders/>
            <w:shd w:fill="auto" w:val="clear"/>
            <w:vAlign w:val="center"/>
          </w:tcPr>
          <w:p>
            <w:pPr>
              <w:pStyle w:val="TableContents"/>
              <w:spacing w:before="0" w:after="0"/>
              <w:ind w:left="0" w:right="0" w:firstLine="30"/>
              <w:jc w:val="left"/>
              <w:rPr/>
            </w:pPr>
            <w:r>
              <w:rPr/>
              <w:t> </w:t>
            </w:r>
          </w:p>
        </w:tc>
        <w:tc>
          <w:tcPr>
            <w:tcW w:w="4703"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623" w:type="dxa"/>
            <w:tcBorders/>
            <w:shd w:fill="auto" w:val="clear"/>
            <w:vAlign w:val="center"/>
          </w:tcPr>
          <w:p>
            <w:pPr>
              <w:pStyle w:val="TableContents"/>
              <w:spacing w:before="0" w:after="0"/>
              <w:ind w:left="0" w:right="0" w:firstLine="30"/>
              <w:rPr/>
            </w:pPr>
            <w:r>
              <w:rPr/>
              <w:t> </w:t>
            </w:r>
          </w:p>
        </w:tc>
        <w:tc>
          <w:tcPr>
            <w:tcW w:w="3859" w:type="dxa"/>
            <w:tcBorders/>
            <w:shd w:fill="auto" w:val="clear"/>
            <w:vAlign w:val="center"/>
          </w:tcPr>
          <w:p>
            <w:pPr>
              <w:pStyle w:val="TableContents"/>
              <w:spacing w:before="0" w:after="0"/>
              <w:ind w:left="0" w:right="0" w:firstLine="30"/>
              <w:rPr/>
            </w:pPr>
            <w:r>
              <w:rPr/>
              <w:t> </w:t>
            </w:r>
          </w:p>
        </w:tc>
        <w:tc>
          <w:tcPr>
            <w:tcW w:w="815" w:type="dxa"/>
            <w:gridSpan w:val="2"/>
            <w:tcBorders/>
            <w:shd w:fill="auto" w:val="clear"/>
            <w:vAlign w:val="center"/>
          </w:tcPr>
          <w:p>
            <w:pPr>
              <w:pStyle w:val="TableContents"/>
              <w:spacing w:before="0" w:after="0"/>
              <w:ind w:left="0" w:right="0" w:firstLine="30"/>
              <w:rPr/>
            </w:pPr>
            <w:r>
              <w:rPr/>
              <w:t> </w:t>
            </w:r>
          </w:p>
        </w:tc>
        <w:tc>
          <w:tcPr>
            <w:tcW w:w="720" w:type="dxa"/>
            <w:gridSpan w:val="2"/>
            <w:tcBorders/>
            <w:shd w:fill="auto" w:val="clear"/>
            <w:vAlign w:val="center"/>
          </w:tcPr>
          <w:p>
            <w:pPr>
              <w:pStyle w:val="TableContents"/>
              <w:spacing w:before="0" w:after="0"/>
              <w:ind w:left="0" w:right="0" w:firstLine="30"/>
              <w:rPr/>
            </w:pPr>
            <w:r>
              <w:rPr/>
              <w:t> </w:t>
            </w:r>
          </w:p>
        </w:tc>
        <w:tc>
          <w:tcPr>
            <w:tcW w:w="205" w:type="dxa"/>
            <w:tcBorders/>
            <w:shd w:fill="auto" w:val="clear"/>
            <w:vAlign w:val="center"/>
          </w:tcPr>
          <w:p>
            <w:pPr>
              <w:pStyle w:val="TableContents"/>
              <w:spacing w:before="0" w:after="0"/>
              <w:ind w:left="0" w:right="0" w:firstLine="30"/>
              <w:rPr/>
            </w:pPr>
            <w:r>
              <w:rPr/>
              <w:t> </w:t>
            </w:r>
          </w:p>
        </w:tc>
        <w:tc>
          <w:tcPr>
            <w:tcW w:w="3983" w:type="dxa"/>
            <w:tcBorders/>
            <w:shd w:fill="auto" w:val="clear"/>
            <w:vAlign w:val="center"/>
          </w:tcPr>
          <w:p>
            <w:pPr>
              <w:pStyle w:val="TableContents"/>
              <w:spacing w:before="0" w:after="0"/>
              <w:ind w:left="0" w:right="0" w:firstLine="30"/>
              <w:rPr/>
            </w:pPr>
            <w:r>
              <w:rPr/>
              <w:t> </w:t>
            </w:r>
          </w:p>
        </w:tc>
      </w:tr>
      <w:tr>
        <w:trPr/>
        <w:tc>
          <w:tcPr>
            <w:tcW w:w="6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38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July 24, 2012</w:t>
            </w:r>
          </w:p>
        </w:tc>
        <w:tc>
          <w:tcPr>
            <w:tcW w:w="306" w:type="dxa"/>
            <w:tcBorders/>
            <w:shd w:fill="auto" w:val="clear"/>
            <w:vAlign w:val="center"/>
          </w:tcPr>
          <w:p>
            <w:pPr>
              <w:pStyle w:val="TableContents"/>
              <w:spacing w:before="0" w:after="0"/>
              <w:ind w:left="0" w:right="0" w:firstLine="30"/>
              <w:jc w:val="left"/>
              <w:rPr/>
            </w:pPr>
            <w:r>
              <w:rPr/>
              <w:t> </w:t>
            </w:r>
          </w:p>
        </w:tc>
        <w:tc>
          <w:tcPr>
            <w:tcW w:w="509" w:type="dxa"/>
            <w:tcBorders/>
            <w:shd w:fill="auto" w:val="clear"/>
            <w:vAlign w:val="center"/>
          </w:tcPr>
          <w:p>
            <w:pPr>
              <w:pStyle w:val="TableContents"/>
              <w:spacing w:before="0" w:after="0"/>
              <w:ind w:left="0" w:right="0" w:firstLine="30"/>
              <w:rPr/>
            </w:pPr>
            <w:r>
              <w:rPr/>
              <w:t> </w:t>
            </w:r>
          </w:p>
        </w:tc>
        <w:tc>
          <w:tcPr>
            <w:tcW w:w="205" w:type="dxa"/>
            <w:tcBorders/>
            <w:shd w:fill="auto" w:val="clear"/>
            <w:vAlign w:val="center"/>
          </w:tcPr>
          <w:p>
            <w:pPr>
              <w:pStyle w:val="TableContents"/>
              <w:spacing w:before="0" w:after="0"/>
              <w:ind w:left="0" w:right="0" w:firstLine="30"/>
              <w:jc w:val="left"/>
              <w:rPr/>
            </w:pPr>
            <w:r>
              <w:rPr/>
              <w:t> </w:t>
            </w:r>
          </w:p>
        </w:tc>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205" w:type="dxa"/>
            <w:tcBorders/>
            <w:shd w:fill="auto" w:val="clear"/>
            <w:vAlign w:val="center"/>
          </w:tcPr>
          <w:p>
            <w:pPr>
              <w:pStyle w:val="TableContents"/>
              <w:spacing w:before="0" w:after="0"/>
              <w:ind w:left="0" w:right="0" w:firstLine="30"/>
              <w:jc w:val="left"/>
              <w:rPr/>
            </w:pPr>
            <w:r>
              <w:rPr/>
              <w:t> </w:t>
            </w:r>
          </w:p>
        </w:tc>
        <w:tc>
          <w:tcPr>
            <w:tcW w:w="398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/s/ Stephen A. Stamp</w:t>
            </w:r>
          </w:p>
        </w:tc>
      </w:tr>
      <w:tr>
        <w:trPr/>
        <w:tc>
          <w:tcPr>
            <w:tcW w:w="623" w:type="dxa"/>
            <w:tcBorders/>
            <w:shd w:fill="auto" w:val="clear"/>
            <w:vAlign w:val="center"/>
          </w:tcPr>
          <w:p>
            <w:pPr>
              <w:pStyle w:val="TableContents"/>
              <w:spacing w:before="0" w:after="0"/>
              <w:ind w:left="0" w:right="0" w:firstLine="30"/>
              <w:rPr/>
            </w:pPr>
            <w:r>
              <w:rPr/>
              <w:t> </w:t>
            </w:r>
          </w:p>
        </w:tc>
        <w:tc>
          <w:tcPr>
            <w:tcW w:w="3859" w:type="dxa"/>
            <w:tcBorders/>
            <w:shd w:fill="auto" w:val="clear"/>
            <w:vAlign w:val="center"/>
          </w:tcPr>
          <w:p>
            <w:pPr>
              <w:pStyle w:val="TableContents"/>
              <w:spacing w:before="0" w:after="0"/>
              <w:ind w:left="0" w:right="0" w:firstLine="30"/>
              <w:rPr/>
            </w:pPr>
            <w:r>
              <w:rPr/>
              <w:t> </w:t>
            </w:r>
          </w:p>
        </w:tc>
        <w:tc>
          <w:tcPr>
            <w:tcW w:w="306" w:type="dxa"/>
            <w:tcBorders/>
            <w:shd w:fill="auto" w:val="clear"/>
            <w:vAlign w:val="center"/>
          </w:tcPr>
          <w:p>
            <w:pPr>
              <w:pStyle w:val="TableContents"/>
              <w:spacing w:before="0" w:after="0"/>
              <w:ind w:left="0" w:right="0" w:firstLine="30"/>
              <w:jc w:val="left"/>
              <w:rPr/>
            </w:pPr>
            <w:r>
              <w:rPr/>
              <w:t> </w:t>
            </w:r>
          </w:p>
        </w:tc>
        <w:tc>
          <w:tcPr>
            <w:tcW w:w="509" w:type="dxa"/>
            <w:tcBorders/>
            <w:shd w:fill="auto" w:val="clear"/>
            <w:vAlign w:val="center"/>
          </w:tcPr>
          <w:p>
            <w:pPr>
              <w:pStyle w:val="TableContents"/>
              <w:spacing w:before="0" w:after="0"/>
              <w:ind w:left="0" w:right="0" w:firstLine="30"/>
              <w:rPr/>
            </w:pPr>
            <w:r>
              <w:rPr/>
              <w:t> </w:t>
            </w:r>
          </w:p>
        </w:tc>
        <w:tc>
          <w:tcPr>
            <w:tcW w:w="205" w:type="dxa"/>
            <w:tcBorders/>
            <w:shd w:fill="auto" w:val="clear"/>
            <w:vAlign w:val="center"/>
          </w:tcPr>
          <w:p>
            <w:pPr>
              <w:pStyle w:val="TableContents"/>
              <w:spacing w:before="0" w:after="0"/>
              <w:ind w:left="0" w:right="0" w:firstLine="30"/>
              <w:jc w:val="left"/>
              <w:rPr/>
            </w:pPr>
            <w:r>
              <w:rPr/>
              <w:t> </w:t>
            </w:r>
          </w:p>
        </w:tc>
        <w:tc>
          <w:tcPr>
            <w:tcW w:w="515" w:type="dxa"/>
            <w:tcBorders/>
            <w:shd w:fill="auto" w:val="clear"/>
            <w:vAlign w:val="center"/>
          </w:tcPr>
          <w:p>
            <w:pPr>
              <w:pStyle w:val="TableContents"/>
              <w:spacing w:before="0" w:after="0"/>
              <w:ind w:left="0" w:right="0" w:firstLine="30"/>
              <w:rPr/>
            </w:pPr>
            <w:r>
              <w:rPr/>
              <w:t> </w:t>
            </w:r>
          </w:p>
        </w:tc>
        <w:tc>
          <w:tcPr>
            <w:tcW w:w="205" w:type="dxa"/>
            <w:tcBorders/>
            <w:shd w:fill="auto" w:val="clear"/>
            <w:vAlign w:val="center"/>
          </w:tcPr>
          <w:p>
            <w:pPr>
              <w:pStyle w:val="TableContents"/>
              <w:spacing w:before="0" w:after="0"/>
              <w:ind w:left="0" w:right="0" w:firstLine="30"/>
              <w:jc w:val="left"/>
              <w:rPr/>
            </w:pPr>
            <w:r>
              <w:rPr/>
              <w:t> </w:t>
            </w:r>
          </w:p>
        </w:tc>
        <w:tc>
          <w:tcPr>
            <w:tcW w:w="39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Stephen A. Stamp</w:t>
            </w:r>
          </w:p>
        </w:tc>
      </w:tr>
      <w:tr>
        <w:trPr/>
        <w:tc>
          <w:tcPr>
            <w:tcW w:w="623" w:type="dxa"/>
            <w:tcBorders/>
            <w:shd w:fill="auto" w:val="clear"/>
            <w:vAlign w:val="center"/>
          </w:tcPr>
          <w:p>
            <w:pPr>
              <w:pStyle w:val="TableContents"/>
              <w:spacing w:before="0" w:after="0"/>
              <w:ind w:left="0" w:right="0" w:firstLine="30"/>
              <w:rPr/>
            </w:pPr>
            <w:r>
              <w:rPr/>
              <w:t> </w:t>
            </w:r>
          </w:p>
        </w:tc>
        <w:tc>
          <w:tcPr>
            <w:tcW w:w="3859" w:type="dxa"/>
            <w:tcBorders/>
            <w:shd w:fill="auto" w:val="clear"/>
            <w:vAlign w:val="center"/>
          </w:tcPr>
          <w:p>
            <w:pPr>
              <w:pStyle w:val="TableContents"/>
              <w:spacing w:before="0" w:after="0"/>
              <w:ind w:left="0" w:right="0" w:firstLine="30"/>
              <w:rPr/>
            </w:pPr>
            <w:r>
              <w:rPr/>
              <w:t> </w:t>
            </w:r>
          </w:p>
        </w:tc>
        <w:tc>
          <w:tcPr>
            <w:tcW w:w="306" w:type="dxa"/>
            <w:tcBorders/>
            <w:shd w:fill="auto" w:val="clear"/>
            <w:vAlign w:val="center"/>
          </w:tcPr>
          <w:p>
            <w:pPr>
              <w:pStyle w:val="TableContents"/>
              <w:spacing w:before="0" w:after="0"/>
              <w:ind w:left="0" w:right="0" w:firstLine="30"/>
              <w:jc w:val="left"/>
              <w:rPr/>
            </w:pPr>
            <w:r>
              <w:rPr/>
              <w:t> </w:t>
            </w:r>
          </w:p>
        </w:tc>
        <w:tc>
          <w:tcPr>
            <w:tcW w:w="509" w:type="dxa"/>
            <w:tcBorders/>
            <w:shd w:fill="auto" w:val="clear"/>
            <w:vAlign w:val="center"/>
          </w:tcPr>
          <w:p>
            <w:pPr>
              <w:pStyle w:val="TableContents"/>
              <w:spacing w:before="0" w:after="0"/>
              <w:ind w:left="0" w:right="0" w:firstLine="30"/>
              <w:rPr/>
            </w:pPr>
            <w:r>
              <w:rPr/>
              <w:t> </w:t>
            </w:r>
          </w:p>
        </w:tc>
        <w:tc>
          <w:tcPr>
            <w:tcW w:w="205" w:type="dxa"/>
            <w:tcBorders/>
            <w:shd w:fill="auto" w:val="clear"/>
            <w:vAlign w:val="center"/>
          </w:tcPr>
          <w:p>
            <w:pPr>
              <w:pStyle w:val="TableContents"/>
              <w:spacing w:before="0" w:after="0"/>
              <w:ind w:left="0" w:right="0" w:firstLine="30"/>
              <w:jc w:val="left"/>
              <w:rPr/>
            </w:pPr>
            <w:r>
              <w:rPr/>
              <w:t> </w:t>
            </w:r>
          </w:p>
        </w:tc>
        <w:tc>
          <w:tcPr>
            <w:tcW w:w="515" w:type="dxa"/>
            <w:tcBorders/>
            <w:shd w:fill="auto" w:val="clear"/>
            <w:vAlign w:val="center"/>
          </w:tcPr>
          <w:p>
            <w:pPr>
              <w:pStyle w:val="TableContents"/>
              <w:spacing w:before="0" w:after="0"/>
              <w:ind w:left="0" w:right="0" w:firstLine="30"/>
              <w:rPr/>
            </w:pPr>
            <w:r>
              <w:rPr/>
              <w:t> </w:t>
            </w:r>
          </w:p>
        </w:tc>
        <w:tc>
          <w:tcPr>
            <w:tcW w:w="205" w:type="dxa"/>
            <w:tcBorders/>
            <w:shd w:fill="auto" w:val="clear"/>
            <w:vAlign w:val="center"/>
          </w:tcPr>
          <w:p>
            <w:pPr>
              <w:pStyle w:val="TableContents"/>
              <w:spacing w:before="0" w:after="0"/>
              <w:ind w:left="0" w:right="0" w:firstLine="30"/>
              <w:jc w:val="left"/>
              <w:rPr/>
            </w:pPr>
            <w:r>
              <w:rPr/>
              <w:t> </w:t>
            </w:r>
          </w:p>
        </w:tc>
        <w:tc>
          <w:tcPr>
            <w:tcW w:w="39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Senior Vice President and Chief Financial Officer</w:t>
            </w:r>
          </w:p>
        </w:tc>
      </w:tr>
      <w:tr>
        <w:trPr/>
        <w:tc>
          <w:tcPr>
            <w:tcW w:w="623" w:type="dxa"/>
            <w:tcBorders/>
            <w:shd w:fill="auto" w:val="clear"/>
            <w:vAlign w:val="center"/>
          </w:tcPr>
          <w:p>
            <w:pPr>
              <w:pStyle w:val="TableContents"/>
              <w:spacing w:before="0" w:after="0"/>
              <w:ind w:left="0" w:right="0" w:firstLine="30"/>
              <w:rPr/>
            </w:pPr>
            <w:r>
              <w:rPr/>
              <w:t> </w:t>
            </w:r>
          </w:p>
        </w:tc>
        <w:tc>
          <w:tcPr>
            <w:tcW w:w="3859" w:type="dxa"/>
            <w:tcBorders/>
            <w:shd w:fill="auto" w:val="clear"/>
            <w:vAlign w:val="center"/>
          </w:tcPr>
          <w:p>
            <w:pPr>
              <w:pStyle w:val="TableContents"/>
              <w:spacing w:before="0" w:after="0"/>
              <w:ind w:left="0" w:right="0" w:firstLine="30"/>
              <w:rPr/>
            </w:pPr>
            <w:r>
              <w:rPr/>
              <w:t> </w:t>
            </w:r>
          </w:p>
        </w:tc>
        <w:tc>
          <w:tcPr>
            <w:tcW w:w="306" w:type="dxa"/>
            <w:tcBorders/>
            <w:shd w:fill="auto" w:val="clear"/>
            <w:vAlign w:val="center"/>
          </w:tcPr>
          <w:p>
            <w:pPr>
              <w:pStyle w:val="TableContents"/>
              <w:spacing w:before="0" w:after="0"/>
              <w:ind w:left="0" w:right="0" w:firstLine="30"/>
              <w:rPr/>
            </w:pPr>
            <w:r>
              <w:rPr/>
              <w:t> </w:t>
            </w:r>
          </w:p>
        </w:tc>
        <w:tc>
          <w:tcPr>
            <w:tcW w:w="509" w:type="dxa"/>
            <w:tcBorders/>
            <w:shd w:fill="auto" w:val="clear"/>
            <w:vAlign w:val="center"/>
          </w:tcPr>
          <w:p>
            <w:pPr>
              <w:pStyle w:val="TableContents"/>
              <w:spacing w:before="0" w:after="0"/>
              <w:ind w:left="0" w:right="0" w:firstLine="30"/>
              <w:rPr/>
            </w:pPr>
            <w:r>
              <w:rPr/>
              <w:t> </w:t>
            </w:r>
          </w:p>
        </w:tc>
        <w:tc>
          <w:tcPr>
            <w:tcW w:w="205" w:type="dxa"/>
            <w:tcBorders/>
            <w:shd w:fill="auto" w:val="clear"/>
            <w:vAlign w:val="center"/>
          </w:tcPr>
          <w:p>
            <w:pPr>
              <w:pStyle w:val="TableContents"/>
              <w:spacing w:before="0" w:after="0"/>
              <w:ind w:left="0" w:right="0" w:firstLine="30"/>
              <w:rPr/>
            </w:pPr>
            <w:r>
              <w:rPr/>
              <w:t> </w:t>
            </w:r>
          </w:p>
        </w:tc>
        <w:tc>
          <w:tcPr>
            <w:tcW w:w="515" w:type="dxa"/>
            <w:tcBorders/>
            <w:shd w:fill="auto" w:val="clear"/>
            <w:vAlign w:val="center"/>
          </w:tcPr>
          <w:p>
            <w:pPr>
              <w:pStyle w:val="TableContents"/>
              <w:spacing w:before="0" w:after="0"/>
              <w:ind w:left="0" w:right="0" w:firstLine="30"/>
              <w:rPr/>
            </w:pPr>
            <w:r>
              <w:rPr/>
              <w:t> </w:t>
            </w:r>
          </w:p>
        </w:tc>
        <w:tc>
          <w:tcPr>
            <w:tcW w:w="205" w:type="dxa"/>
            <w:tcBorders/>
            <w:shd w:fill="auto" w:val="clear"/>
            <w:vAlign w:val="center"/>
          </w:tcPr>
          <w:p>
            <w:pPr>
              <w:pStyle w:val="TableContents"/>
              <w:spacing w:before="0" w:after="0"/>
              <w:ind w:left="0" w:right="0" w:firstLine="30"/>
              <w:rPr/>
            </w:pPr>
            <w:r>
              <w:rPr/>
              <w:t> </w:t>
            </w:r>
          </w:p>
        </w:tc>
        <w:tc>
          <w:tcPr>
            <w:tcW w:w="3983" w:type="dxa"/>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1" w:name="sE6CF3CB3C3A96F17D8CD0048B4A6C1C0"/>
      <w:bookmarkStart w:id="12" w:name="sE6CF3CB3C3A96F17D8CD0048B4A6C1C0"/>
      <w:bookmarkEnd w:id="12"/>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EXHIBIT INDEX</w:t>
      </w:r>
    </w:p>
    <w:p>
      <w:pPr>
        <w:pStyle w:val="TextBody"/>
        <w:spacing w:lineRule="auto" w:line="288" w:before="0" w:after="0"/>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1450"/>
        <w:gridCol w:w="151"/>
        <w:gridCol w:w="8604"/>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4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6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50"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Exhibit</w:t>
            </w:r>
          </w:p>
          <w:p>
            <w:pPr>
              <w:pStyle w:val="TableContents"/>
              <w:spacing w:before="0" w:after="0"/>
              <w:ind w:left="0" w:right="0" w:firstLine="30"/>
              <w:jc w:val="center"/>
              <w:rPr>
                <w:rFonts w:ascii="inherit" w:hAnsi="inherit"/>
                <w:b/>
                <w:sz w:val="13"/>
              </w:rPr>
            </w:pPr>
            <w:r>
              <w:rPr>
                <w:rFonts w:ascii="inherit" w:hAnsi="inherit"/>
                <w:b/>
                <w:sz w:val="13"/>
              </w:rPr>
              <w:t>No.</w:t>
            </w:r>
          </w:p>
        </w:tc>
        <w:tc>
          <w:tcPr>
            <w:tcW w:w="151" w:type="dxa"/>
            <w:tcBorders/>
            <w:shd w:fill="auto" w:val="clear"/>
            <w:vAlign w:val="center"/>
          </w:tcPr>
          <w:p>
            <w:pPr>
              <w:pStyle w:val="TableContents"/>
              <w:spacing w:before="0" w:after="0"/>
              <w:ind w:left="0" w:right="0" w:firstLine="30"/>
              <w:jc w:val="left"/>
              <w:rPr/>
            </w:pPr>
            <w:r>
              <w:rPr/>
              <w:t>  </w:t>
            </w:r>
          </w:p>
        </w:tc>
        <w:tc>
          <w:tcPr>
            <w:tcW w:w="8604" w:type="dxa"/>
            <w:tcBorders/>
            <w:shd w:fill="auto" w:val="clear"/>
            <w:vAlign w:val="center"/>
          </w:tcPr>
          <w:p>
            <w:pPr>
              <w:pStyle w:val="TableContents"/>
              <w:spacing w:before="0" w:after="0"/>
              <w:ind w:left="0" w:right="0" w:firstLine="30"/>
              <w:jc w:val="center"/>
              <w:rPr>
                <w:rFonts w:ascii="inherit" w:hAnsi="inherit"/>
                <w:b/>
                <w:sz w:val="13"/>
                <w:u w:val="single"/>
              </w:rPr>
            </w:pPr>
            <w:r>
              <w:rPr>
                <w:rFonts w:ascii="inherit" w:hAnsi="inherit"/>
                <w:b/>
                <w:sz w:val="13"/>
                <w:u w:val="single"/>
              </w:rPr>
              <w:t>Description of Exhibit</w:t>
            </w:r>
          </w:p>
        </w:tc>
      </w:tr>
      <w:tr>
        <w:trPr/>
        <w:tc>
          <w:tcPr>
            <w:tcW w:w="1450"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8604" w:type="dxa"/>
            <w:tcBorders/>
            <w:shd w:fill="auto" w:val="clear"/>
            <w:vAlign w:val="center"/>
          </w:tcPr>
          <w:p>
            <w:pPr>
              <w:pStyle w:val="TableContents"/>
              <w:spacing w:before="0" w:after="0"/>
              <w:ind w:left="0" w:right="0" w:firstLine="30"/>
              <w:rPr/>
            </w:pPr>
            <w:r>
              <w:rPr/>
              <w:t> </w:t>
            </w:r>
          </w:p>
        </w:tc>
      </w:tr>
      <w:tr>
        <w:trPr/>
        <w:tc>
          <w:tcPr>
            <w:tcW w:w="14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99.1</w:t>
            </w:r>
          </w:p>
        </w:tc>
        <w:tc>
          <w:tcPr>
            <w:tcW w:w="151" w:type="dxa"/>
            <w:tcBorders/>
            <w:shd w:fill="auto" w:val="clear"/>
            <w:vAlign w:val="center"/>
          </w:tcPr>
          <w:p>
            <w:pPr>
              <w:pStyle w:val="TableContents"/>
              <w:spacing w:before="0" w:after="0"/>
              <w:ind w:left="0" w:right="0" w:firstLine="30"/>
              <w:jc w:val="left"/>
              <w:rPr/>
            </w:pPr>
            <w:r>
              <w:rPr/>
              <w:t>  </w:t>
            </w:r>
          </w:p>
        </w:tc>
        <w:tc>
          <w:tcPr>
            <w:tcW w:w="8604" w:type="dxa"/>
            <w:tcBorders/>
            <w:shd w:fill="auto" w:val="clear"/>
            <w:vAlign w:val="center"/>
          </w:tcPr>
          <w:p>
            <w:pPr>
              <w:pStyle w:val="TableContents"/>
              <w:spacing w:before="0" w:after="0"/>
              <w:jc w:val="left"/>
              <w:rPr>
                <w:rFonts w:ascii="inherit" w:hAnsi="inherit"/>
                <w:sz w:val="17"/>
              </w:rPr>
            </w:pPr>
            <w:r>
              <w:rPr>
                <w:rFonts w:ascii="inherit" w:hAnsi="inherit"/>
                <w:sz w:val="17"/>
              </w:rPr>
              <w:t>Press Release, dated July 24, 2012, announcing EZCORP, Inc.’s results of operations and financial condition for the second fiscal quarter ended June 30, 2012.</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3" w:name="sA820EC865680DD2813910048AF1B78A7"/>
      <w:bookmarkStart w:id="14" w:name="ezpw06302012ex991.htm"/>
      <w:bookmarkStart w:id="15" w:name="ksezpw06302012ex991"/>
      <w:bookmarkStart w:id="16" w:name="sA820EC865680DD2813910048AF1B78A7"/>
      <w:bookmarkStart w:id="17" w:name="ezpw06302012ex991.htm"/>
      <w:bookmarkStart w:id="18" w:name="ksezpw06302012ex991"/>
      <w:bookmarkEnd w:id="16"/>
      <w:bookmarkEnd w:id="17"/>
      <w:bookmarkEnd w:id="18"/>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99.1</w:t>
      </w:r>
    </w:p>
    <w:p>
      <w:pPr>
        <w:pStyle w:val="TextBody"/>
        <w:spacing w:lineRule="auto" w:line="288" w:before="0" w:after="0"/>
        <w:jc w:val="center"/>
        <w:rPr>
          <w:rFonts w:ascii="inherit" w:hAnsi="inherit"/>
          <w:sz w:val="30"/>
        </w:rPr>
      </w:pPr>
      <w:r>
        <w:rPr>
          <w:rFonts w:ascii="inherit" w:hAnsi="inherit"/>
          <w:sz w:val="30"/>
        </w:rPr>
      </w:r>
    </w:p>
    <w:p>
      <w:pPr>
        <w:pStyle w:val="TextBody"/>
        <w:spacing w:lineRule="auto" w:line="288" w:before="0" w:after="0"/>
        <w:jc w:val="center"/>
        <w:rPr>
          <w:rFonts w:ascii="inherit" w:hAnsi="inherit"/>
          <w:sz w:val="30"/>
        </w:rPr>
      </w:pPr>
      <w:r>
        <w:rPr>
          <w:rFonts w:ascii="inherit" w:hAnsi="inherit"/>
          <w:sz w:val="30"/>
        </w:rPr>
      </w:r>
    </w:p>
    <w:p>
      <w:pPr>
        <w:pStyle w:val="TextBody"/>
        <w:spacing w:lineRule="auto" w:line="288" w:before="0" w:after="0"/>
        <w:jc w:val="center"/>
        <w:rPr/>
      </w:pPr>
      <w:r>
        <w:rPr/>
        <w:drawing>
          <wp:inline distT="0" distB="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 xml:space="preserve">EZCORP REPORTS RECORD THIRD QUARTER NET INCOME OF $28.5 MILLION, </w:t>
      </w:r>
    </w:p>
    <w:p>
      <w:pPr>
        <w:pStyle w:val="TextBody"/>
        <w:spacing w:lineRule="auto" w:line="288" w:before="0" w:after="0"/>
        <w:jc w:val="center"/>
        <w:rPr>
          <w:rFonts w:ascii="inherit" w:hAnsi="inherit"/>
          <w:b/>
          <w:sz w:val="17"/>
        </w:rPr>
      </w:pPr>
      <w:r>
        <w:rPr>
          <w:rFonts w:ascii="inherit" w:hAnsi="inherit"/>
          <w:b/>
          <w:sz w:val="17"/>
        </w:rPr>
        <w:t xml:space="preserve">DRIVEN BY STRONG INTERNATIONAL GROWTH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both"/>
        <w:rPr>
          <w:sz w:val="17"/>
        </w:rPr>
      </w:pPr>
      <w:r>
        <w:rPr>
          <w:rFonts w:ascii="inherit" w:hAnsi="inherit"/>
          <w:b/>
          <w:sz w:val="17"/>
        </w:rPr>
        <w:t>AUSTIN, Texas (July 24, 2012) –</w:t>
      </w:r>
      <w:r>
        <w:rPr>
          <w:sz w:val="17"/>
        </w:rPr>
        <w:t xml:space="preserve"> </w:t>
      </w:r>
      <w:r>
        <w:rPr>
          <w:rFonts w:ascii="inherit" w:hAnsi="inherit"/>
          <w:sz w:val="17"/>
        </w:rPr>
        <w:t xml:space="preserve">EZCORP, Inc. (NASDAQ: EZPW), a leading provider of instant cash solutions for consumers, today announced results for its third fiscal quarter ended </w:t>
      </w:r>
      <w:r>
        <w:rPr>
          <w:rFonts w:ascii="inherit" w:hAnsi="inherit"/>
          <w:strike w:val="false"/>
          <w:dstrike w:val="false"/>
          <w:color w:val="000000"/>
          <w:sz w:val="17"/>
          <w:u w:val="none"/>
          <w:effect w:val="none"/>
        </w:rPr>
        <w:t>June 30, 2012</w:t>
      </w:r>
      <w:r>
        <w:rPr>
          <w:rFonts w:ascii="inherit" w:hAnsi="inherit"/>
          <w:sz w:val="17"/>
        </w:rPr>
        <w:t xml:space="preserve">. For the quarter, net income was </w:t>
      </w:r>
      <w:r>
        <w:rPr>
          <w:rFonts w:ascii="inherit" w:hAnsi="inherit"/>
          <w:strike w:val="false"/>
          <w:dstrike w:val="false"/>
          <w:color w:val="000000"/>
          <w:sz w:val="17"/>
          <w:u w:val="none"/>
          <w:effect w:val="none"/>
        </w:rPr>
        <w:t>$28.5 million</w:t>
      </w:r>
      <w:r>
        <w:rPr>
          <w:rFonts w:ascii="inherit" w:hAnsi="inherit"/>
          <w:sz w:val="17"/>
        </w:rPr>
        <w:t xml:space="preserve">, a company record for its third fiscal quarter, and earnings per share were $0.56. For the year-to-date, the company reported a 23% increase in net income and a 20% increase in earnings per share, compared with the comparable period last year (13% and 11%, respectively, on a non-GAAP basis). </w:t>
      </w:r>
    </w:p>
    <w:p>
      <w:pPr>
        <w:pStyle w:val="TextBody"/>
        <w:spacing w:lineRule="auto" w:line="288" w:before="0" w:after="0"/>
        <w:rPr/>
      </w:pPr>
      <w:r>
        <w:rPr/>
        <w:t>  </w:t>
      </w:r>
    </w:p>
    <w:p>
      <w:pPr>
        <w:pStyle w:val="TextBody"/>
        <w:spacing w:lineRule="auto" w:line="288" w:before="0" w:after="0"/>
        <w:rPr>
          <w:rFonts w:ascii="inherit" w:hAnsi="inherit"/>
          <w:b/>
          <w:sz w:val="17"/>
          <w:u w:val="single"/>
        </w:rPr>
      </w:pPr>
      <w:r>
        <w:rPr>
          <w:rFonts w:ascii="inherit" w:hAnsi="inherit"/>
          <w:b/>
          <w:sz w:val="17"/>
          <w:u w:val="single"/>
        </w:rPr>
        <w:t>Key Drivers</w:t>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17"/>
              </w:rPr>
            </w:pPr>
            <w:r>
              <w:rPr>
                <w:rFonts w:ascii="inherit" w:hAnsi="inherit"/>
                <w:b/>
                <w:sz w:val="17"/>
              </w:rPr>
              <w:t>International Growth</w:t>
            </w:r>
            <w:r>
              <w:rPr>
                <w:sz w:val="17"/>
              </w:rPr>
              <w:t xml:space="preserve"> </w:t>
            </w:r>
            <w:r>
              <w:rPr>
                <w:rFonts w:ascii="inherit" w:hAnsi="inherit"/>
                <w:sz w:val="17"/>
              </w:rPr>
              <w:t>- With continued execution of the company's geographic and product diversification strategy, nearly 20% of the company's consolidated segment contribution in the quarter was attributable to areas outside the United States, up from 9% a year earlier. Total revenue in the Latin America and Other International segments combined more than doubled, with combined segment contribution increasing 142%. These year-over-year increases are the result of continued strength in the company's Empeño Fácil business in Mexico, the acquisition of controlling interests in Crediamigo and Cash Genie, and the company's strategic investments in the United Kingdom and Australia.</w:t>
            </w:r>
          </w:p>
        </w:tc>
      </w:tr>
    </w:tbl>
    <w:p>
      <w:pPr>
        <w:pStyle w:val="TextBody"/>
        <w:spacing w:lineRule="auto" w:line="288" w:before="0" w:after="0"/>
        <w:jc w:val="both"/>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color w:val="1F497D"/>
              </w:rPr>
            </w:pPr>
            <w:r>
              <w:rPr>
                <w:color w:val="1F497D"/>
              </w:rPr>
              <w:t>•</w:t>
            </w:r>
          </w:p>
        </w:tc>
        <w:tc>
          <w:tcPr>
            <w:tcW w:w="9720" w:type="dxa"/>
            <w:tcBorders/>
            <w:shd w:fill="auto" w:val="clear"/>
            <w:vAlign w:val="center"/>
          </w:tcPr>
          <w:p>
            <w:pPr>
              <w:pStyle w:val="TableContents"/>
              <w:spacing w:lineRule="auto" w:line="288" w:before="0" w:after="0"/>
              <w:jc w:val="both"/>
              <w:rPr>
                <w:sz w:val="17"/>
              </w:rPr>
            </w:pPr>
            <w:r>
              <w:rPr>
                <w:rFonts w:ascii="inherit" w:hAnsi="inherit"/>
                <w:b/>
                <w:sz w:val="17"/>
              </w:rPr>
              <w:t>Storefront Growth −</w:t>
            </w:r>
            <w:r>
              <w:rPr>
                <w:sz w:val="17"/>
              </w:rPr>
              <w:t xml:space="preserve"> </w:t>
            </w:r>
            <w:r>
              <w:rPr>
                <w:rFonts w:ascii="inherit" w:hAnsi="inherit"/>
                <w:sz w:val="17"/>
              </w:rPr>
              <w:t>During the quarter, the company added 30 new stores (9 acquired and 21 de novo). So far this fiscal year, the company has added 139 new stores (94 acquired and 45 de novo) and now operates 1,250 locations in the United States, Canada and Mexico.</w:t>
            </w:r>
          </w:p>
        </w:tc>
      </w:tr>
    </w:tbl>
    <w:p>
      <w:pPr>
        <w:pStyle w:val="TextBody"/>
        <w:spacing w:lineRule="auto" w:line="288" w:before="0" w:after="0"/>
        <w:ind w:left="0" w:right="0" w:firstLine="720"/>
        <w:jc w:val="both"/>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color w:val="1F497D"/>
              </w:rPr>
            </w:pPr>
            <w:r>
              <w:rPr>
                <w:color w:val="1F497D"/>
              </w:rPr>
              <w:t>•</w:t>
            </w:r>
          </w:p>
        </w:tc>
        <w:tc>
          <w:tcPr>
            <w:tcW w:w="9720" w:type="dxa"/>
            <w:tcBorders/>
            <w:shd w:fill="auto" w:val="clear"/>
            <w:vAlign w:val="center"/>
          </w:tcPr>
          <w:p>
            <w:pPr>
              <w:pStyle w:val="TableContents"/>
              <w:spacing w:lineRule="auto" w:line="288" w:before="0" w:after="0"/>
              <w:jc w:val="both"/>
              <w:rPr>
                <w:sz w:val="17"/>
              </w:rPr>
            </w:pPr>
            <w:r>
              <w:rPr>
                <w:rFonts w:ascii="inherit" w:hAnsi="inherit"/>
                <w:b/>
                <w:sz w:val="17"/>
              </w:rPr>
              <w:t>Mexico Pawn Operations −</w:t>
            </w:r>
            <w:r>
              <w:rPr>
                <w:sz w:val="17"/>
              </w:rPr>
              <w:t xml:space="preserve"> </w:t>
            </w:r>
            <w:r>
              <w:rPr>
                <w:rFonts w:ascii="inherit" w:hAnsi="inherit"/>
                <w:sz w:val="17"/>
              </w:rPr>
              <w:t>Empeño Fácil, the company's Mexico pawn operation, continued its strong performance. Compared to the third quarter of last year, merchandise sales were up 59%, pawn service charges were up 37%, and pawn loan balances increased 37%. In a challenging gold environment, jewelry scrapping sales were up 6%. These year-over-year increases are attributable to the continued development and maturity of the existing store base and the addition of new stores. The company now operates 223 pawn stores in Mexico, having opened 45 this fiscal year.</w:t>
            </w:r>
          </w:p>
        </w:tc>
      </w:tr>
    </w:tbl>
    <w:p>
      <w:pPr>
        <w:pStyle w:val="TextBody"/>
        <w:spacing w:lineRule="auto" w:line="288" w:before="0" w:after="0"/>
        <w:ind w:left="0" w:right="0" w:firstLine="1440"/>
        <w:jc w:val="both"/>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color w:val="1F497D"/>
              </w:rPr>
            </w:pPr>
            <w:r>
              <w:rPr>
                <w:color w:val="1F497D"/>
              </w:rPr>
              <w:t>•</w:t>
            </w:r>
          </w:p>
        </w:tc>
        <w:tc>
          <w:tcPr>
            <w:tcW w:w="9720" w:type="dxa"/>
            <w:tcBorders/>
            <w:shd w:fill="auto" w:val="clear"/>
            <w:vAlign w:val="center"/>
          </w:tcPr>
          <w:p>
            <w:pPr>
              <w:pStyle w:val="TableContents"/>
              <w:spacing w:lineRule="auto" w:line="288" w:before="0" w:after="0"/>
              <w:jc w:val="both"/>
              <w:rPr>
                <w:sz w:val="17"/>
              </w:rPr>
            </w:pPr>
            <w:r>
              <w:rPr>
                <w:rFonts w:ascii="inherit" w:hAnsi="inherit"/>
                <w:b/>
                <w:sz w:val="17"/>
              </w:rPr>
              <w:t>Consumer Lending Performance -</w:t>
            </w:r>
            <w:r>
              <w:rPr>
                <w:sz w:val="17"/>
              </w:rPr>
              <w:t xml:space="preserve"> </w:t>
            </w:r>
            <w:r>
              <w:rPr>
                <w:rFonts w:ascii="inherit" w:hAnsi="inherit"/>
                <w:sz w:val="17"/>
              </w:rPr>
              <w:t xml:space="preserve">Consumer loan balances increased to $79.1 million globally at June 30, driving consumer loan fees earned during the quarter up 38%. In addition, improved underwriting and collections effectiveness, coupled with the consolidation of the lower risk profile Crediamigo business, led to a significant improvement in bad debt as a percentage of consumer loan fees. In the U.S. &amp; Canada segment, that measure improved </w:t>
            </w:r>
            <w:r>
              <w:rPr>
                <w:rFonts w:ascii="inherit" w:hAnsi="inherit"/>
                <w:i w:val="false"/>
                <w:caps w:val="false"/>
                <w:smallCaps w:val="false"/>
                <w:strike w:val="false"/>
                <w:dstrike w:val="false"/>
                <w:color w:val="000000"/>
                <w:sz w:val="17"/>
                <w:u w:val="none"/>
                <w:effect w:val="none"/>
              </w:rPr>
              <w:t>450</w:t>
            </w:r>
            <w:r>
              <w:rPr>
                <w:sz w:val="17"/>
              </w:rPr>
              <w:t xml:space="preserve"> </w:t>
            </w:r>
            <w:r>
              <w:rPr>
                <w:rFonts w:ascii="inherit" w:hAnsi="inherit"/>
                <w:sz w:val="17"/>
              </w:rPr>
              <w:t>bps (from 28.4% to 23.9%), and on a consolidated basis, the measure improved 740 bps (from 28.4% to 21.0%).</w:t>
            </w:r>
          </w:p>
        </w:tc>
      </w:tr>
    </w:tbl>
    <w:p>
      <w:pPr>
        <w:pStyle w:val="TextBody"/>
        <w:spacing w:lineRule="auto" w:line="288" w:before="0" w:after="0"/>
        <w:ind w:left="0" w:right="0" w:firstLine="720"/>
        <w:jc w:val="both"/>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17"/>
              </w:rPr>
            </w:pPr>
            <w:r>
              <w:rPr>
                <w:rFonts w:ascii="inherit" w:hAnsi="inherit"/>
                <w:b/>
                <w:sz w:val="17"/>
              </w:rPr>
              <w:t>U.S. Pawn Performance −</w:t>
            </w:r>
            <w:r>
              <w:rPr>
                <w:sz w:val="17"/>
              </w:rPr>
              <w:t xml:space="preserve"> </w:t>
            </w:r>
            <w:r>
              <w:rPr>
                <w:rFonts w:ascii="inherit" w:hAnsi="inherit"/>
                <w:sz w:val="17"/>
              </w:rPr>
              <w:t>With the exception of jewelry sales and scrapping activities, the company's pawn operations in the United States showed continued strength. Merchandise sales were up 12%, with sales of general merchandise up 23%. Pawn loan balances grew 7% to $134.1 million at quarter-end, and pawn service charges increased 14%.</w:t>
            </w:r>
          </w:p>
        </w:tc>
      </w:tr>
    </w:tbl>
    <w:p>
      <w:pPr>
        <w:pStyle w:val="TextBody"/>
        <w:spacing w:lineRule="auto" w:line="288" w:before="0" w:after="0"/>
        <w:ind w:left="0" w:right="0" w:firstLine="1440"/>
        <w:jc w:val="both"/>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color w:val="1F497D"/>
              </w:rPr>
            </w:pPr>
            <w:r>
              <w:rPr>
                <w:color w:val="1F497D"/>
              </w:rPr>
              <w:t>•</w:t>
            </w:r>
          </w:p>
        </w:tc>
        <w:tc>
          <w:tcPr>
            <w:tcW w:w="9720" w:type="dxa"/>
            <w:tcBorders/>
            <w:shd w:fill="auto" w:val="clear"/>
            <w:vAlign w:val="center"/>
          </w:tcPr>
          <w:p>
            <w:pPr>
              <w:pStyle w:val="TableContents"/>
              <w:spacing w:lineRule="auto" w:line="288" w:before="0" w:after="0"/>
              <w:jc w:val="both"/>
              <w:rPr>
                <w:sz w:val="17"/>
              </w:rPr>
            </w:pPr>
            <w:r>
              <w:rPr>
                <w:rFonts w:ascii="inherit" w:hAnsi="inherit"/>
                <w:b/>
                <w:sz w:val="17"/>
              </w:rPr>
              <w:t>Gold</w:t>
            </w:r>
            <w:r>
              <w:rPr>
                <w:sz w:val="17"/>
              </w:rPr>
              <w:t xml:space="preserve"> </w:t>
            </w:r>
            <w:r>
              <w:rPr>
                <w:rFonts w:ascii="inherit" w:hAnsi="inherit"/>
                <w:sz w:val="17"/>
              </w:rPr>
              <w:t>- Moderating gold prices and declining gram volume in the United States continued to negatively impact year-over-year profitability in the quarter. Fewer purchases of gold, coupled with less jewelry forfeited from pawn lending operations, resulted in a 26% decrease in same-store jewelry scrapping sales and a 19% same-store decrease in jewelry merchandise sales. The company estimates that, on a same-store basis, the change in gold metrics (price and volume) from the year-over-year quarter caused a decrease of $6 million in net revenue for the U.S. &amp; Canada segment.</w:t>
            </w:r>
          </w:p>
        </w:tc>
      </w:tr>
    </w:tbl>
    <w:p>
      <w:pPr>
        <w:pStyle w:val="TextBody"/>
        <w:spacing w:lineRule="auto" w:line="288" w:before="0" w:after="0"/>
        <w:ind w:left="0" w:right="0" w:firstLine="180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19" w:name="s8FB07581C6EB83497C820048AF4D459D"/>
      <w:bookmarkStart w:id="20" w:name="s8FB07581C6EB83497C820048AF4D459D"/>
      <w:bookmarkEnd w:id="20"/>
    </w:p>
    <w:p>
      <w:pPr>
        <w:pStyle w:val="TextBody"/>
        <w:spacing w:before="0" w:after="0"/>
        <w:rPr/>
      </w:pPr>
      <w:r>
        <w:rPr/>
      </w:r>
    </w:p>
    <w:p>
      <w:pPr>
        <w:pStyle w:val="TextBody"/>
        <w:spacing w:lineRule="auto" w:line="288" w:before="0" w:after="0"/>
        <w:ind w:left="0" w:right="0" w:firstLine="1800"/>
        <w:jc w:val="left"/>
        <w:rPr>
          <w:rFonts w:ascii="inherit" w:hAnsi="inherit"/>
          <w:sz w:val="17"/>
        </w:rPr>
      </w:pPr>
      <w:r>
        <w:rPr>
          <w:rFonts w:ascii="inherit" w:hAnsi="inherit"/>
          <w:sz w:val="17"/>
        </w:rPr>
      </w:r>
    </w:p>
    <w:p>
      <w:pPr>
        <w:pStyle w:val="TextBody"/>
        <w:spacing w:lineRule="auto" w:line="288" w:before="0" w:after="0"/>
        <w:ind w:left="0" w:right="0" w:hanging="360"/>
        <w:rPr>
          <w:sz w:val="17"/>
        </w:rPr>
      </w:pPr>
      <w:r>
        <w:rPr>
          <w:rFonts w:ascii="inherit" w:hAnsi="inherit"/>
          <w:b/>
          <w:sz w:val="17"/>
          <w:u w:val="single"/>
        </w:rPr>
        <w:t xml:space="preserve">Consolidated Financial Highlights – Three months ended </w:t>
      </w:r>
      <w:r>
        <w:rPr>
          <w:rFonts w:ascii="inherit" w:hAnsi="inherit"/>
          <w:b/>
          <w:color w:val="000000"/>
          <w:sz w:val="17"/>
          <w:u w:val="single"/>
        </w:rPr>
        <w:t>June 30, 2012</w:t>
      </w:r>
      <w:r>
        <w:rPr>
          <w:sz w:val="17"/>
          <w:u w:val="single"/>
        </w:rPr>
        <w:t xml:space="preserve"> </w:t>
      </w:r>
      <w:r>
        <w:rPr>
          <w:rFonts w:ascii="inherit" w:hAnsi="inherit"/>
          <w:b/>
          <w:sz w:val="17"/>
          <w:u w:val="single"/>
        </w:rPr>
        <w:t>versus the prior year quarter</w:t>
      </w:r>
    </w:p>
    <w:p>
      <w:pPr>
        <w:pStyle w:val="TextBody"/>
        <w:spacing w:lineRule="auto" w:line="288" w:before="0" w:after="0"/>
        <w:ind w:left="0" w:right="0" w:hanging="36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Total revenues of $229.0 million, up 13%, were driven by a 16% increase in pawn service charges, a 38% increase in consumer loan fees and an 18% increase in merchandise sales.</w:t>
            </w:r>
          </w:p>
        </w:tc>
      </w:tr>
    </w:tbl>
    <w:tbl>
      <w:tblPr>
        <w:tblW w:w="9955" w:type="dxa"/>
        <w:jc w:val="left"/>
        <w:tblInd w:w="0" w:type="dxa"/>
        <w:tblCellMar>
          <w:top w:w="0" w:type="dxa"/>
          <w:left w:w="0" w:type="dxa"/>
          <w:bottom w:w="0" w:type="dxa"/>
          <w:right w:w="0" w:type="dxa"/>
        </w:tblCellMar>
      </w:tblPr>
      <w:tblGrid>
        <w:gridCol w:w="485"/>
        <w:gridCol w:w="9470"/>
      </w:tblGrid>
      <w:tr>
        <w:trPr/>
        <w:tc>
          <w:tcPr>
            <w:tcW w:w="485" w:type="dxa"/>
            <w:tcBorders/>
            <w:shd w:fill="auto" w:val="clear"/>
            <w:vAlign w:val="center"/>
          </w:tcPr>
          <w:p>
            <w:pPr>
              <w:pStyle w:val="TableContents"/>
              <w:spacing w:before="0" w:after="283"/>
              <w:rPr>
                <w:sz w:val="4"/>
                <w:szCs w:val="4"/>
              </w:rPr>
            </w:pPr>
            <w:r>
              <w:rPr>
                <w:sz w:val="4"/>
                <w:szCs w:val="4"/>
              </w:rPr>
            </w:r>
          </w:p>
        </w:tc>
        <w:tc>
          <w:tcPr>
            <w:tcW w:w="94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470" w:type="dxa"/>
            <w:tcBorders/>
            <w:shd w:fill="auto" w:val="clear"/>
            <w:vAlign w:val="center"/>
          </w:tcPr>
          <w:p>
            <w:pPr>
              <w:pStyle w:val="TableContents"/>
              <w:spacing w:lineRule="auto" w:line="288" w:before="0" w:after="0"/>
              <w:jc w:val="both"/>
              <w:rPr>
                <w:sz w:val="17"/>
              </w:rPr>
            </w:pPr>
            <w:r>
              <w:rPr>
                <w:rFonts w:ascii="inherit" w:hAnsi="inherit"/>
                <w:sz w:val="17"/>
              </w:rPr>
              <w:t xml:space="preserve">Net revenues of </w:t>
            </w:r>
            <w:r>
              <w:rPr>
                <w:rFonts w:ascii="inherit" w:hAnsi="inherit"/>
                <w:strike w:val="false"/>
                <w:dstrike w:val="false"/>
                <w:color w:val="000000"/>
                <w:sz w:val="17"/>
                <w:u w:val="none"/>
                <w:effect w:val="none"/>
              </w:rPr>
              <w:t>$145.3 million</w:t>
            </w:r>
            <w:r>
              <w:rPr>
                <w:rFonts w:ascii="inherit" w:hAnsi="inherit"/>
                <w:sz w:val="17"/>
              </w:rPr>
              <w:t xml:space="preserve">, were up </w:t>
            </w:r>
            <w:r>
              <w:rPr>
                <w:rFonts w:ascii="inherit" w:hAnsi="inherit"/>
                <w:strike w:val="false"/>
                <w:dstrike w:val="false"/>
                <w:color w:val="000000"/>
                <w:sz w:val="17"/>
                <w:u w:val="none"/>
                <w:effect w:val="none"/>
              </w:rPr>
              <w:t>18%</w:t>
            </w:r>
            <w:r>
              <w:rPr>
                <w:rFonts w:ascii="inherit" w:hAnsi="inherit"/>
                <w:sz w:val="17"/>
              </w:rPr>
              <w:t>, with the increase attributable to improvement in bad debt expense.</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17"/>
              </w:rPr>
            </w:pPr>
            <w:r>
              <w:rPr>
                <w:rFonts w:ascii="inherit" w:hAnsi="inherit"/>
                <w:sz w:val="17"/>
              </w:rPr>
              <w:t xml:space="preserve">Net income was up 8% to </w:t>
            </w:r>
            <w:r>
              <w:rPr>
                <w:rFonts w:ascii="inherit" w:hAnsi="inherit"/>
                <w:strike w:val="false"/>
                <w:dstrike w:val="false"/>
                <w:color w:val="000000"/>
                <w:sz w:val="17"/>
                <w:u w:val="none"/>
                <w:effect w:val="none"/>
              </w:rPr>
              <w:t>$28.5 million</w:t>
            </w:r>
            <w:r>
              <w:rPr>
                <w:rFonts w:ascii="inherit" w:hAnsi="inherit"/>
                <w:sz w:val="17"/>
              </w:rPr>
              <w:t xml:space="preserve">, a company record for the third fiscal quarter, and diluted earnings per share were </w:t>
            </w:r>
            <w:r>
              <w:rPr>
                <w:rFonts w:ascii="inherit" w:hAnsi="inherit"/>
                <w:strike w:val="false"/>
                <w:dstrike w:val="false"/>
                <w:color w:val="000000"/>
                <w:sz w:val="17"/>
                <w:u w:val="none"/>
                <w:effect w:val="none"/>
              </w:rPr>
              <w:t>$0.56</w:t>
            </w:r>
            <w:r>
              <w:rPr>
                <w:rFonts w:ascii="inherit" w:hAnsi="inherit"/>
                <w:sz w:val="17"/>
              </w:rPr>
              <w:t>, up 6%.</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17"/>
              </w:rPr>
            </w:pPr>
            <w:r>
              <w:rPr>
                <w:rFonts w:ascii="inherit" w:hAnsi="inherit"/>
                <w:sz w:val="17"/>
              </w:rPr>
              <w:t xml:space="preserve">Combined loan balances (pawn and consumer loans, including CSO) at quarter-end were </w:t>
            </w:r>
            <w:r>
              <w:rPr>
                <w:rFonts w:ascii="inherit" w:hAnsi="inherit"/>
                <w:strike w:val="false"/>
                <w:dstrike w:val="false"/>
                <w:color w:val="000000"/>
                <w:sz w:val="17"/>
                <w:u w:val="none"/>
                <w:effect w:val="none"/>
              </w:rPr>
              <w:t>$250.0 million</w:t>
            </w:r>
            <w:r>
              <w:rPr>
                <w:rFonts w:ascii="inherit" w:hAnsi="inherit"/>
                <w:sz w:val="17"/>
              </w:rPr>
              <w:t xml:space="preserve">, up </w:t>
            </w:r>
            <w:r>
              <w:rPr>
                <w:rFonts w:ascii="inherit" w:hAnsi="inherit"/>
                <w:strike w:val="false"/>
                <w:dstrike w:val="false"/>
                <w:color w:val="000000"/>
                <w:sz w:val="17"/>
                <w:u w:val="none"/>
                <w:effect w:val="none"/>
              </w:rPr>
              <w:t>43%</w:t>
            </w:r>
            <w:r>
              <w:rPr>
                <w:rFonts w:ascii="inherit" w:hAnsi="inherit"/>
                <w:sz w:val="17"/>
              </w:rPr>
              <w:t xml:space="preserve">, and reflected growth in all segments. Cash and cash equivalents at quarter-end were </w:t>
            </w:r>
            <w:r>
              <w:rPr>
                <w:rFonts w:ascii="inherit" w:hAnsi="inherit"/>
                <w:strike w:val="false"/>
                <w:dstrike w:val="false"/>
                <w:color w:val="000000"/>
                <w:sz w:val="17"/>
                <w:u w:val="none"/>
                <w:effect w:val="none"/>
              </w:rPr>
              <w:t>$51.8 million</w:t>
            </w:r>
            <w:r>
              <w:rPr>
                <w:rFonts w:ascii="inherit" w:hAnsi="inherit"/>
                <w:sz w:val="17"/>
              </w:rPr>
              <w:t xml:space="preserve">, with debt of </w:t>
            </w:r>
            <w:r>
              <w:rPr>
                <w:rFonts w:ascii="inherit" w:hAnsi="inherit"/>
                <w:strike w:val="false"/>
                <w:dstrike w:val="false"/>
                <w:color w:val="000000"/>
                <w:sz w:val="17"/>
                <w:u w:val="none"/>
                <w:effect w:val="none"/>
              </w:rPr>
              <w:t>$206.9 million</w:t>
            </w:r>
            <w:r>
              <w:rPr>
                <w:sz w:val="17"/>
              </w:rPr>
              <w:t xml:space="preserve"> </w:t>
            </w:r>
            <w:r>
              <w:rPr>
                <w:rFonts w:ascii="inherit" w:hAnsi="inherit"/>
                <w:sz w:val="17"/>
              </w:rPr>
              <w:t xml:space="preserve">(including Crediamigo third party debt of </w:t>
            </w:r>
            <w:r>
              <w:rPr>
                <w:rFonts w:ascii="inherit" w:hAnsi="inherit"/>
                <w:strike w:val="false"/>
                <w:dstrike w:val="false"/>
                <w:color w:val="000000"/>
                <w:sz w:val="17"/>
                <w:u w:val="none"/>
                <w:effect w:val="none"/>
              </w:rPr>
              <w:t>$92.2 million</w:t>
            </w:r>
            <w:r>
              <w:rPr>
                <w:rFonts w:ascii="inherit" w:hAnsi="inherit"/>
                <w:sz w:val="17"/>
              </w:rPr>
              <w:t>, all of which is non-recourse to EZCORP).</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Administrative expense of $22.7 million includes an $8.3 million increase over last year, $4.9 million of which result from the consolidation of Crediamigo and Cash Genie, which are not store-based operations. With the exception of sales commissions, the majority of their cost base is included in administrative expenses. The remainder includes the company's continued investment in growth and profitability initiatives.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Income tax expense for the quarter was 30% of income before income taxes, compared with 35% last year, as the company's effective tax rate for the year was reduced from 35% to 33.5%, reflecting the success and growth of the company's business in areas outside the United States.</w:t>
            </w:r>
          </w:p>
        </w:tc>
      </w:tr>
    </w:tbl>
    <w:tbl>
      <w:tblPr>
        <w:tblW w:w="9265" w:type="dxa"/>
        <w:jc w:val="left"/>
        <w:tblInd w:w="0" w:type="dxa"/>
        <w:tblCellMar>
          <w:top w:w="0" w:type="dxa"/>
          <w:left w:w="0" w:type="dxa"/>
          <w:bottom w:w="0" w:type="dxa"/>
          <w:right w:w="0" w:type="dxa"/>
        </w:tblCellMar>
      </w:tblPr>
      <w:tblGrid>
        <w:gridCol w:w="485"/>
        <w:gridCol w:w="8780"/>
      </w:tblGrid>
      <w:tr>
        <w:trPr/>
        <w:tc>
          <w:tcPr>
            <w:tcW w:w="485" w:type="dxa"/>
            <w:tcBorders/>
            <w:shd w:fill="auto" w:val="clear"/>
            <w:vAlign w:val="center"/>
          </w:tcPr>
          <w:p>
            <w:pPr>
              <w:pStyle w:val="TableContents"/>
              <w:spacing w:before="0" w:after="283"/>
              <w:rPr>
                <w:sz w:val="4"/>
                <w:szCs w:val="4"/>
              </w:rPr>
            </w:pPr>
            <w:r>
              <w:rPr>
                <w:sz w:val="4"/>
                <w:szCs w:val="4"/>
              </w:rPr>
            </w:r>
          </w:p>
        </w:tc>
        <w:tc>
          <w:tcPr>
            <w:tcW w:w="878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78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company continued to deliver strong return on average equity of 20% for the trailing twelve months.</w:t>
            </w:r>
          </w:p>
        </w:tc>
      </w:tr>
    </w:tbl>
    <w:p>
      <w:pPr>
        <w:pStyle w:val="TextBody"/>
        <w:spacing w:lineRule="auto" w:line="288" w:before="0" w:after="0"/>
        <w:ind w:left="0" w:right="0" w:hanging="360"/>
        <w:jc w:val="both"/>
        <w:rPr>
          <w:rFonts w:ascii="inherit" w:hAnsi="inherit"/>
          <w:sz w:val="17"/>
        </w:rPr>
      </w:pPr>
      <w:r>
        <w:rPr>
          <w:rFonts w:ascii="inherit" w:hAnsi="inherit"/>
          <w:sz w:val="17"/>
        </w:rPr>
      </w:r>
    </w:p>
    <w:p>
      <w:pPr>
        <w:pStyle w:val="TextBody"/>
        <w:spacing w:lineRule="auto" w:line="288" w:before="0" w:after="0"/>
        <w:ind w:left="0" w:right="0" w:hanging="360"/>
        <w:jc w:val="both"/>
        <w:rPr>
          <w:rFonts w:ascii="inherit" w:hAnsi="inherit"/>
          <w:b/>
          <w:sz w:val="17"/>
          <w:u w:val="single"/>
        </w:rPr>
      </w:pPr>
      <w:r>
        <w:rPr>
          <w:rFonts w:ascii="inherit" w:hAnsi="inherit"/>
          <w:b/>
          <w:sz w:val="17"/>
          <w:u w:val="single"/>
        </w:rPr>
        <w:t>Strategic Acquisitions</w:t>
      </w:r>
    </w:p>
    <w:p>
      <w:pPr>
        <w:pStyle w:val="TextBody"/>
        <w:spacing w:lineRule="auto" w:line="288" w:before="0" w:after="0"/>
        <w:ind w:left="0" w:right="0" w:hanging="360"/>
        <w:jc w:val="both"/>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Crediamigo recorded total revenues of $10.8 million and bad debt as a percentage of fees of 6.1%, which produced net revenues of $10.2 million. During the quarter, Crediamigo refinanced a portion of its $92.2 million of third party debt at a lower rate of interest. This refinancing led to a one-time reduction in interest expense of $2.8 million during the third quarter due to accelerated amortization of debt premium associated with the refinanced debt. The lower interest rate will result in reduced interest expense going forward. When combined with business results and reduced by taxes and the noncontrolling interest, the net income attributable to EZCORP was $1.8 million for the quarter. Crediamigo is continuing to refinance other portions of its debt at lower interest rates, which will further enhance future profitability.</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On April 14, the company acquired 72% of the shares in Artiste Holding Limited, which provides online loans in the U.K. under the name “Cash Genie.” Cash Genie is one of the top 10 largest online lenders in the U.K. The company expects that Cash Genie will be accretive to earnings within its first year following acquisition.</w:t>
            </w:r>
          </w:p>
        </w:tc>
      </w:tr>
    </w:tbl>
    <w:p>
      <w:pPr>
        <w:pStyle w:val="TextBody"/>
        <w:spacing w:lineRule="auto" w:line="288" w:before="0" w:after="0"/>
        <w:ind w:left="0" w:right="0" w:hanging="360"/>
        <w:jc w:val="left"/>
        <w:rPr>
          <w:rFonts w:ascii="inherit" w:hAnsi="inherit"/>
          <w:sz w:val="17"/>
        </w:rPr>
      </w:pPr>
      <w:r>
        <w:rPr>
          <w:rFonts w:ascii="inherit" w:hAnsi="inherit"/>
          <w:sz w:val="17"/>
        </w:rPr>
      </w:r>
    </w:p>
    <w:p>
      <w:pPr>
        <w:pStyle w:val="TextBody"/>
        <w:spacing w:lineRule="auto" w:line="288" w:before="0" w:after="0"/>
        <w:rPr>
          <w:rFonts w:ascii="inherit" w:hAnsi="inherit"/>
          <w:b/>
          <w:sz w:val="17"/>
          <w:u w:val="single"/>
        </w:rPr>
      </w:pPr>
      <w:r>
        <w:rPr>
          <w:rFonts w:ascii="inherit" w:hAnsi="inherit"/>
          <w:b/>
          <w:sz w:val="17"/>
          <w:u w:val="single"/>
        </w:rPr>
        <w:t>Company Outlook</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Company expects that, as a result of continuation of recent gold and jewelry trends, earnings for the full year will be at the lower end of its previously announced guidance range of $2.85 to $2.95 per share.</w:t>
      </w:r>
    </w:p>
    <w:p>
      <w:pPr>
        <w:pStyle w:val="TextBody"/>
        <w:spacing w:lineRule="auto" w:line="288" w:before="0" w:after="0"/>
        <w:rPr>
          <w:rFonts w:ascii="inherit" w:hAnsi="inherit"/>
          <w:sz w:val="17"/>
        </w:rPr>
      </w:pPr>
      <w:r>
        <w:rPr>
          <w:rFonts w:ascii="inherit" w:hAnsi="inherit"/>
          <w:sz w:val="17"/>
        </w:rPr>
        <w:t xml:space="preserve">Commenting on the quarter's results, EZCORP's President and Chief Executive Officer, Paul Rothamel, said “I am pleased with our financial performance this year and the overall trajectory of our business as we continue to transition EZCORP to a multi-national provider of instant cash solutions to a growing marketplace. Our investments in new stores, new products and new businesses continue to improve our ability to serve the sophisticated consumer. We expect these high-return investments, funded with our conservative capital structure and balance sheet, will provide very strong shareholder value for years to come.” </w:t>
      </w:r>
    </w:p>
    <w:p>
      <w:pPr>
        <w:pStyle w:val="TextBody"/>
        <w:spacing w:lineRule="auto" w:line="288" w:before="0" w:after="0"/>
        <w:ind w:left="0" w:right="0" w:hanging="36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sz w:val="17"/>
        </w:rPr>
      </w:pPr>
      <w:r>
        <w:rPr>
          <w:rFonts w:ascii="inherit" w:hAnsi="inherit"/>
          <w:sz w:val="17"/>
        </w:rPr>
        <w:t>2</w:t>
      </w:r>
      <w:r>
        <w:rPr>
          <w:sz w:val="17"/>
        </w:rPr>
        <w:t xml:space="preserve"> </w:t>
      </w:r>
      <w:r>
        <w:rPr>
          <w:rFonts w:ascii="inherit" w:hAnsi="inherit"/>
          <w:sz w:val="17"/>
        </w:rPr>
        <w:t>of 11</w:t>
      </w:r>
      <w:r>
        <w:br w:type="page"/>
      </w:r>
    </w:p>
    <w:p>
      <w:pPr>
        <w:pStyle w:val="TextBody"/>
        <w:spacing w:lineRule="auto" w:line="288" w:before="0" w:after="0"/>
        <w:rPr>
          <w:rFonts w:ascii="inherit" w:hAnsi="inherit"/>
          <w:sz w:val="17"/>
        </w:rPr>
      </w:pPr>
      <w:r>
        <w:rPr>
          <w:rFonts w:ascii="inherit" w:hAnsi="inherit"/>
          <w:sz w:val="17"/>
        </w:rPr>
      </w:r>
      <w:bookmarkStart w:id="21" w:name="sFB305E05B5C9E014827F0048AF6BA577"/>
      <w:bookmarkStart w:id="22" w:name="sFB305E05B5C9E014827F0048AF6BA577"/>
      <w:bookmarkEnd w:id="22"/>
    </w:p>
    <w:p>
      <w:pPr>
        <w:pStyle w:val="TextBody"/>
        <w:spacing w:before="0" w:after="0"/>
        <w:rPr/>
      </w:pPr>
      <w:r>
        <w:rPr/>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r>
        <w:rPr>
          <w:rFonts w:ascii="inherit" w:hAnsi="inherit"/>
          <w:b/>
          <w:sz w:val="17"/>
        </w:rPr>
        <w:t>About EZCORP</w:t>
      </w:r>
    </w:p>
    <w:p>
      <w:pPr>
        <w:pStyle w:val="TextBody"/>
        <w:spacing w:lineRule="auto" w:line="288" w:before="0" w:after="0"/>
        <w:rPr>
          <w:rFonts w:ascii="inherit" w:hAnsi="inherit"/>
          <w:sz w:val="17"/>
        </w:rPr>
      </w:pPr>
      <w:r>
        <w:rPr>
          <w:rFonts w:ascii="inherit" w:hAnsi="inherit"/>
          <w:sz w:val="17"/>
        </w:rPr>
        <w:t>EZCORP is a leading provider of instant cash solutions for consumers. Through 1,250 company-operated pawn, buy/sell and personal financial services locations in the U.S., Mexico and Canada, we provide a variety of instant cash solutions, including pawn loans, consumer loans, and fee-based credit services to customers seeking loans. At our pawn and buy/sell stores, we also sell merchandise, primarily collateral forfeited from pawn lending operations and used merchandise purchased from customers.</w:t>
      </w:r>
    </w:p>
    <w:p>
      <w:pPr>
        <w:pStyle w:val="TextBody"/>
        <w:spacing w:lineRule="auto" w:line="288" w:before="0" w:after="0"/>
        <w:rPr>
          <w:rFonts w:ascii="inherit" w:hAnsi="inherit"/>
          <w:sz w:val="17"/>
        </w:rPr>
      </w:pPr>
      <w:r>
        <w:rPr>
          <w:rFonts w:ascii="inherit" w:hAnsi="inherit"/>
          <w:sz w:val="17"/>
        </w:rPr>
        <w:t>EZCORP owns controlling interests in Prestaciones Finmart, S.A.P.I. de C.V., SOFOM, E.N.R. (doing business under the name “Crediamigo”), a leading provider of payroll deduction loans in Mexico, and in Artiste Holding Limited (doing business under the name “Cash Genie”), a leading provider of online loans in the U.K. The company also has significant investments in Albemarle &amp; Bond Holdings PLC (ABM.L), one of the U.K.’s largest pawnbroking businesses with over 170 full-line stores offering pawnbroking, jewelry retailing, gold buying and financial services; and in Cash Converters International Limited (CCV.L and CCV.ASX), which franchises and operates a worldwide network of over 600 stores that provide personal financial services and sell pre-owned merchandise.</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r>
        <w:rPr>
          <w:rFonts w:ascii="inherit" w:hAnsi="inherit"/>
          <w:b/>
          <w:sz w:val="17"/>
        </w:rPr>
        <w:t>Special Note Regarding Forward-Looking Statements</w:t>
      </w:r>
    </w:p>
    <w:p>
      <w:pPr>
        <w:pStyle w:val="TextBody"/>
        <w:spacing w:lineRule="auto" w:line="288" w:before="0" w:after="0"/>
        <w:rPr>
          <w:rFonts w:ascii="inherit" w:hAnsi="inherit"/>
          <w:sz w:val="17"/>
        </w:rPr>
      </w:pPr>
      <w:r>
        <w:rPr>
          <w:rFonts w:ascii="inherit" w:hAnsi="inherit"/>
          <w:sz w:val="17"/>
        </w:rPr>
        <w:t>This announcement contains certain forward-looking statements regarding the Company’s expected operating and financial performance for future periods, including expected future earnings and growth rates. These statements are based on the Company’s current expectations. Actual results for future periods may differ materially from those expressed or implied by these forward-looking statements due to a number of uncertainties and other factors, including changes in the regulatory environment, changing market conditions in the overall economy and the industry, fluctuations in gold prices or the desire of our customers to pawn or sell their gold items, and consumer demand for the Company’s services and merchandise. For a discussion of these and other factors affecting the Company’s business and prospects, see the Company’s annual, quarterly and other reports filed with the Securities and Exchange Commission.</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r>
        <w:rPr>
          <w:rFonts w:ascii="inherit" w:hAnsi="inherit"/>
          <w:b/>
          <w:sz w:val="17"/>
        </w:rPr>
        <w:t>Use of Non-GAAP Financial Measures</w:t>
      </w:r>
    </w:p>
    <w:p>
      <w:pPr>
        <w:pStyle w:val="TextBody"/>
        <w:spacing w:lineRule="auto" w:line="288" w:before="0" w:after="0"/>
        <w:rPr>
          <w:sz w:val="17"/>
        </w:rPr>
      </w:pPr>
      <w:r>
        <w:rPr>
          <w:rFonts w:ascii="inherit" w:hAnsi="inherit"/>
          <w:sz w:val="17"/>
        </w:rPr>
        <w:t xml:space="preserve">In addition to reporting financial results in accordance with generally accepted accounting principles (GAAP), the Company has provided non-GAAP net income and non-GAAP earnings per share for the nine months ended June 30, </w:t>
      </w:r>
      <w:r>
        <w:rPr>
          <w:rFonts w:ascii="inherit" w:hAnsi="inherit"/>
          <w:strike w:val="false"/>
          <w:dstrike w:val="false"/>
          <w:color w:val="000000"/>
          <w:sz w:val="17"/>
          <w:u w:val="none"/>
          <w:effect w:val="none"/>
        </w:rPr>
        <w:t>2011</w:t>
      </w:r>
      <w:r>
        <w:rPr>
          <w:rFonts w:ascii="inherit" w:hAnsi="inherit"/>
          <w:sz w:val="17"/>
        </w:rPr>
        <w:t>. The only difference between the presented non-GAAP measures and the most closely comparable GAAP measures is the exclusion of a one-time charge related to the retirement of the Company’s former Chief Executive Officer and the related tax benefit included in the quarter ended December 31, 2010. The Company’s management uses these non-GAAP financial measures to understand its financial performance from period to period. Management does not believe that the excluded one-time charge is reflective of underlying operating performance. The non-GAAP financial measures are not meant to be considered in isolation or as a substitute for the corresponding GAAP measures, but rather are provided to facilitate an enhanced understanding of the Company’s actual and expected performance and to enable more meaningful period-to-period comparisons. A reconciliation of the non-GAAP financial measures to the most closely comparable GAAP financial measures is provided in the accompanying financial schedules.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 xml:space="preserve">EZCORP Investor Relations </w:t>
      </w:r>
    </w:p>
    <w:p>
      <w:pPr>
        <w:pStyle w:val="TextBody"/>
        <w:spacing w:lineRule="auto" w:line="288" w:before="0" w:after="0"/>
        <w:rPr>
          <w:rFonts w:ascii="inherit" w:hAnsi="inherit"/>
          <w:sz w:val="17"/>
        </w:rPr>
      </w:pPr>
      <w:r>
        <w:rPr>
          <w:rFonts w:ascii="inherit" w:hAnsi="inherit"/>
          <w:sz w:val="17"/>
        </w:rPr>
        <w:t>(512) 314-2220</w:t>
      </w:r>
    </w:p>
    <w:p>
      <w:pPr>
        <w:pStyle w:val="TextBody"/>
        <w:spacing w:lineRule="auto" w:line="288" w:before="0" w:after="0"/>
        <w:rPr>
          <w:rFonts w:ascii="inherit" w:hAnsi="inherit"/>
          <w:sz w:val="17"/>
        </w:rPr>
      </w:pPr>
      <w:r>
        <w:rPr>
          <w:rFonts w:ascii="inherit" w:hAnsi="inherit"/>
          <w:sz w:val="17"/>
        </w:rPr>
        <w:t>Investor_Relations@ezcorp.com</w:t>
      </w:r>
    </w:p>
    <w:p>
      <w:pPr>
        <w:pStyle w:val="TextBody"/>
        <w:spacing w:lineRule="auto" w:line="288" w:before="0" w:after="0"/>
        <w:rPr>
          <w:rFonts w:ascii="inherit" w:hAnsi="inherit"/>
          <w:sz w:val="17"/>
        </w:rPr>
      </w:pPr>
      <w:r>
        <w:rPr>
          <w:rFonts w:ascii="inherit" w:hAnsi="inherit"/>
          <w:sz w:val="17"/>
        </w:rPr>
        <w:t>www.ezcorp.com</w:t>
      </w:r>
    </w:p>
    <w:p>
      <w:pPr>
        <w:pStyle w:val="TextBody"/>
        <w:spacing w:before="0" w:after="0"/>
        <w:rPr/>
      </w:pPr>
      <w:r>
        <w:rPr/>
      </w:r>
    </w:p>
    <w:p>
      <w:pPr>
        <w:pStyle w:val="TextBody"/>
        <w:spacing w:lineRule="auto" w:line="288"/>
        <w:jc w:val="center"/>
        <w:rPr>
          <w:sz w:val="17"/>
        </w:rPr>
      </w:pPr>
      <w:r>
        <w:rPr>
          <w:rFonts w:ascii="inherit" w:hAnsi="inherit"/>
          <w:sz w:val="17"/>
        </w:rPr>
        <w:t>3</w:t>
      </w:r>
      <w:r>
        <w:rPr>
          <w:sz w:val="17"/>
        </w:rPr>
        <w:t xml:space="preserve"> </w:t>
      </w:r>
      <w:r>
        <w:rPr>
          <w:rFonts w:ascii="inherit" w:hAnsi="inherit"/>
          <w:sz w:val="17"/>
        </w:rPr>
        <w:t>of 11</w:t>
      </w:r>
      <w:r>
        <w:br w:type="page"/>
      </w:r>
    </w:p>
    <w:p>
      <w:pPr>
        <w:pStyle w:val="TextBody"/>
        <w:spacing w:lineRule="auto" w:line="288" w:before="0" w:after="0"/>
        <w:rPr>
          <w:rFonts w:ascii="inherit" w:hAnsi="inherit"/>
          <w:sz w:val="17"/>
        </w:rPr>
      </w:pPr>
      <w:r>
        <w:rPr>
          <w:rFonts w:ascii="inherit" w:hAnsi="inherit"/>
          <w:sz w:val="17"/>
        </w:rPr>
      </w:r>
      <w:bookmarkStart w:id="23" w:name="s9F0EC63BEF09F595BF2A0048AFA1CB76"/>
      <w:bookmarkStart w:id="24" w:name="s9F0EC63BEF09F595BF2A0048AFA1CB76"/>
      <w:bookmarkEnd w:id="24"/>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bookmarkStart w:id="25" w:name="s8D6578C4DC9F482682DE0048AE2EA2BF"/>
      <w:bookmarkEnd w:id="25"/>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Highlights of Consolidated Statements of Operations (Unaudited)</w:t>
      </w:r>
    </w:p>
    <w:p>
      <w:pPr>
        <w:pStyle w:val="TextBody"/>
        <w:spacing w:lineRule="auto" w:line="288" w:before="0" w:after="0"/>
        <w:jc w:val="center"/>
        <w:rPr>
          <w:rFonts w:ascii="inherit" w:hAnsi="inherit"/>
          <w:i/>
          <w:sz w:val="17"/>
        </w:rPr>
      </w:pPr>
      <w:r>
        <w:rPr>
          <w:rFonts w:ascii="inherit" w:hAnsi="inherit"/>
          <w:i/>
          <w:sz w:val="17"/>
        </w:rPr>
        <w:t>(in thousands, except per share data and percents)</w:t>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3388"/>
        <w:gridCol w:w="165"/>
        <w:gridCol w:w="1076"/>
        <w:gridCol w:w="151"/>
        <w:gridCol w:w="132"/>
        <w:gridCol w:w="165"/>
        <w:gridCol w:w="1076"/>
        <w:gridCol w:w="151"/>
        <w:gridCol w:w="132"/>
        <w:gridCol w:w="165"/>
        <w:gridCol w:w="1175"/>
        <w:gridCol w:w="151"/>
        <w:gridCol w:w="132"/>
        <w:gridCol w:w="165"/>
        <w:gridCol w:w="1175"/>
        <w:gridCol w:w="806"/>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38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88" w:type="dxa"/>
            <w:tcBorders/>
            <w:shd w:fill="auto" w:val="clear"/>
            <w:vAlign w:val="center"/>
          </w:tcPr>
          <w:p>
            <w:pPr>
              <w:pStyle w:val="TableContents"/>
              <w:spacing w:before="0" w:after="0"/>
              <w:ind w:left="0" w:right="0" w:firstLine="30"/>
              <w:jc w:val="left"/>
              <w:rPr/>
            </w:pPr>
            <w:r>
              <w:rPr/>
              <w:t> </w:t>
            </w:r>
          </w:p>
        </w:tc>
        <w:tc>
          <w:tcPr>
            <w:tcW w:w="291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132" w:type="dxa"/>
            <w:tcBorders/>
            <w:shd w:fill="auto" w:val="clear"/>
            <w:vAlign w:val="center"/>
          </w:tcPr>
          <w:p>
            <w:pPr>
              <w:pStyle w:val="TableContents"/>
              <w:spacing w:before="0" w:after="0"/>
              <w:ind w:left="0" w:right="0" w:firstLine="30"/>
              <w:rPr/>
            </w:pPr>
            <w:r>
              <w:rPr/>
              <w:t> </w:t>
            </w:r>
          </w:p>
        </w:tc>
        <w:tc>
          <w:tcPr>
            <w:tcW w:w="376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Nine Months Ended </w:t>
              <w:br/>
              <w:t>June 30,</w:t>
            </w:r>
          </w:p>
        </w:tc>
      </w:tr>
      <w:tr>
        <w:trPr/>
        <w:tc>
          <w:tcPr>
            <w:tcW w:w="3388" w:type="dxa"/>
            <w:tcBorders/>
            <w:shd w:fill="auto" w:val="clear"/>
            <w:vAlign w:val="center"/>
          </w:tcPr>
          <w:p>
            <w:pPr>
              <w:pStyle w:val="TableContents"/>
              <w:spacing w:before="0" w:after="0"/>
              <w:ind w:left="0" w:right="0" w:firstLine="30"/>
              <w:jc w:val="left"/>
              <w:rPr/>
            </w:pPr>
            <w:r>
              <w:rPr/>
              <w:t> </w:t>
            </w:r>
          </w:p>
        </w:tc>
        <w:tc>
          <w:tcPr>
            <w:tcW w:w="139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2" w:type="dxa"/>
            <w:tcBorders/>
            <w:shd w:fill="auto" w:val="clear"/>
            <w:vAlign w:val="center"/>
          </w:tcPr>
          <w:p>
            <w:pPr>
              <w:pStyle w:val="TableContents"/>
              <w:spacing w:before="0" w:after="0"/>
              <w:ind w:left="0" w:right="0" w:firstLine="30"/>
              <w:rPr/>
            </w:pPr>
            <w:r>
              <w:rPr/>
              <w:t> </w:t>
            </w:r>
          </w:p>
        </w:tc>
        <w:tc>
          <w:tcPr>
            <w:tcW w:w="139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32" w:type="dxa"/>
            <w:tcBorders/>
            <w:shd w:fill="auto" w:val="clear"/>
            <w:vAlign w:val="center"/>
          </w:tcPr>
          <w:p>
            <w:pPr>
              <w:pStyle w:val="TableContents"/>
              <w:spacing w:before="0" w:after="0"/>
              <w:ind w:left="0" w:right="0" w:firstLine="30"/>
              <w:rPr/>
            </w:pPr>
            <w:r>
              <w:rPr/>
              <w:t> </w:t>
            </w:r>
          </w:p>
        </w:tc>
        <w:tc>
          <w:tcPr>
            <w:tcW w:w="149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2"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214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33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392"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92"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491"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2146" w:type="dxa"/>
            <w:gridSpan w:val="3"/>
            <w:tcBorders/>
            <w:shd w:fill="CCEEFF" w:val="clear"/>
            <w:vAlign w:val="center"/>
          </w:tcPr>
          <w:p>
            <w:pPr>
              <w:pStyle w:val="TableContents"/>
              <w:spacing w:before="0" w:after="0"/>
              <w:ind w:left="0" w:right="0" w:firstLine="420"/>
              <w:rPr/>
            </w:pPr>
            <w:r>
              <w:rPr/>
              <w:t> </w:t>
            </w:r>
          </w:p>
        </w:tc>
      </w:tr>
      <w:tr>
        <w:trPr/>
        <w:tc>
          <w:tcPr>
            <w:tcW w:w="33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6" w:type="dxa"/>
            <w:tcBorders/>
            <w:shd w:fill="auto" w:val="clear"/>
            <w:vAlign w:val="center"/>
          </w:tcPr>
          <w:p>
            <w:pPr>
              <w:pStyle w:val="TableContents"/>
              <w:spacing w:before="0" w:after="0"/>
              <w:jc w:val="right"/>
              <w:rPr>
                <w:rFonts w:ascii="inherit" w:hAnsi="inherit"/>
                <w:sz w:val="17"/>
              </w:rPr>
            </w:pPr>
            <w:r>
              <w:rPr>
                <w:rFonts w:ascii="inherit" w:hAnsi="inherit"/>
                <w:sz w:val="17"/>
              </w:rPr>
              <w:t>75,958</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6" w:type="dxa"/>
            <w:tcBorders/>
            <w:shd w:fill="auto" w:val="clear"/>
            <w:vAlign w:val="center"/>
          </w:tcPr>
          <w:p>
            <w:pPr>
              <w:pStyle w:val="TableContents"/>
              <w:spacing w:before="0" w:after="0"/>
              <w:jc w:val="right"/>
              <w:rPr>
                <w:rFonts w:ascii="inherit" w:hAnsi="inherit"/>
                <w:sz w:val="17"/>
              </w:rPr>
            </w:pPr>
            <w:r>
              <w:rPr>
                <w:rFonts w:ascii="inherit" w:hAnsi="inherit"/>
                <w:sz w:val="17"/>
              </w:rPr>
              <w:t>64,574</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75" w:type="dxa"/>
            <w:tcBorders/>
            <w:shd w:fill="auto" w:val="clear"/>
            <w:vAlign w:val="center"/>
          </w:tcPr>
          <w:p>
            <w:pPr>
              <w:pStyle w:val="TableContents"/>
              <w:spacing w:before="0" w:after="0"/>
              <w:jc w:val="right"/>
              <w:rPr>
                <w:rFonts w:ascii="inherit" w:hAnsi="inherit"/>
                <w:sz w:val="17"/>
              </w:rPr>
            </w:pPr>
            <w:r>
              <w:rPr>
                <w:rFonts w:ascii="inherit" w:hAnsi="inherit"/>
                <w:sz w:val="17"/>
              </w:rPr>
              <w:t>257,849</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75" w:type="dxa"/>
            <w:tcBorders/>
            <w:shd w:fill="auto" w:val="clear"/>
            <w:vAlign w:val="center"/>
          </w:tcPr>
          <w:p>
            <w:pPr>
              <w:pStyle w:val="TableContents"/>
              <w:spacing w:before="0" w:after="0"/>
              <w:jc w:val="right"/>
              <w:rPr>
                <w:rFonts w:ascii="inherit" w:hAnsi="inherit"/>
                <w:sz w:val="17"/>
              </w:rPr>
            </w:pPr>
            <w:r>
              <w:rPr>
                <w:rFonts w:ascii="inherit" w:hAnsi="inherit"/>
                <w:sz w:val="17"/>
              </w:rPr>
              <w:t>214,227</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41,974</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50,771</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151,552</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149,431</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56,163</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48,365</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172,399</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144,944</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53,504</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38,870</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148,911</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125,652</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2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1,365</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572</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3,404</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978</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228,964</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203,152</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734,115</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635,232</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44,254</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36,691</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148,530</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122,641</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28,199</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32,437</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95,933</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96,617</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2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11,251</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11,027</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28,742</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27,795</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145,260</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122,997</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460,910</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388,179</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75,709</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66,753</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227,479</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197,302</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 expense</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22,697</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14,379</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63,761</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56,250</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6,215</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4,458</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16,805</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12,670</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1,162</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221</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3,086</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654</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(Gain) / loss on sales / disposal of assets</w:t>
            </w:r>
          </w:p>
        </w:tc>
        <w:tc>
          <w:tcPr>
            <w:tcW w:w="12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312</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169</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138</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806" w:type="dxa"/>
            <w:tcBorders>
              <w:bottom w:val="single" w:sz="2" w:space="0" w:color="000000"/>
            </w:tcBorders>
            <w:shd w:fill="auto"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3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39,165</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37,017</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149,641</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121,305</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(486</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3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1,030</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586</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4,180</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1,186</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(4,197</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(4,099</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(12,935</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(12,157</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3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24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160</w:t>
            </w:r>
          </w:p>
        </w:tc>
        <w:tc>
          <w:tcPr>
            <w:tcW w:w="15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4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(103</w:t>
            </w:r>
          </w:p>
        </w:tc>
        <w:tc>
          <w:tcPr>
            <w:tcW w:w="15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(157</w:t>
            </w:r>
          </w:p>
        </w:tc>
        <w:tc>
          <w:tcPr>
            <w:tcW w:w="15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(160</w:t>
            </w:r>
          </w:p>
        </w:tc>
        <w:tc>
          <w:tcPr>
            <w:tcW w:w="80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3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income taxes</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42,305</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40,654</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159,039</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132,471</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24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12,594</w:t>
            </w:r>
          </w:p>
        </w:tc>
        <w:tc>
          <w:tcPr>
            <w:tcW w:w="15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4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14,127</w:t>
            </w:r>
          </w:p>
        </w:tc>
        <w:tc>
          <w:tcPr>
            <w:tcW w:w="15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52,603</w:t>
            </w:r>
          </w:p>
        </w:tc>
        <w:tc>
          <w:tcPr>
            <w:tcW w:w="15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46,677</w:t>
            </w:r>
          </w:p>
        </w:tc>
        <w:tc>
          <w:tcPr>
            <w:tcW w:w="80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29,711</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26,527</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106,436</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85,794</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Attributable to reedemable noncontrolling interest</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1,188</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4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1,300</w:t>
            </w:r>
          </w:p>
        </w:tc>
        <w:tc>
          <w:tcPr>
            <w:tcW w:w="15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0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28,523</w:t>
            </w:r>
          </w:p>
        </w:tc>
        <w:tc>
          <w:tcPr>
            <w:tcW w:w="15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26,527</w:t>
            </w:r>
          </w:p>
        </w:tc>
        <w:tc>
          <w:tcPr>
            <w:tcW w:w="15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105,136</w:t>
            </w:r>
          </w:p>
        </w:tc>
        <w:tc>
          <w:tcPr>
            <w:tcW w:w="15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85,794</w:t>
            </w:r>
          </w:p>
        </w:tc>
        <w:tc>
          <w:tcPr>
            <w:tcW w:w="80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88" w:type="dxa"/>
            <w:tcBorders/>
            <w:shd w:fill="CCEEFF" w:val="clear"/>
            <w:vAlign w:val="center"/>
          </w:tcPr>
          <w:p>
            <w:pPr>
              <w:pStyle w:val="TableContents"/>
              <w:spacing w:before="0" w:after="0"/>
              <w:ind w:left="0" w:right="0" w:firstLine="30"/>
              <w:rPr/>
            </w:pPr>
            <w:r>
              <w:rPr/>
              <w:t> </w:t>
            </w:r>
          </w:p>
        </w:tc>
        <w:tc>
          <w:tcPr>
            <w:tcW w:w="1392"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92"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491"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2146" w:type="dxa"/>
            <w:gridSpan w:val="3"/>
            <w:tcBorders/>
            <w:shd w:fill="CCEEFF" w:val="clear"/>
            <w:vAlign w:val="center"/>
          </w:tcPr>
          <w:p>
            <w:pPr>
              <w:pStyle w:val="TableContents"/>
              <w:spacing w:before="0" w:after="0"/>
              <w:ind w:left="0" w:right="0" w:firstLine="30"/>
              <w:rPr/>
            </w:pPr>
            <w:r>
              <w:rPr/>
              <w:t> </w:t>
            </w:r>
          </w:p>
        </w:tc>
      </w:tr>
      <w:tr>
        <w:trPr/>
        <w:tc>
          <w:tcPr>
            <w:tcW w:w="33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per share, diluted</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0.56</w:t>
            </w:r>
          </w:p>
        </w:tc>
        <w:tc>
          <w:tcPr>
            <w:tcW w:w="15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0.53</w:t>
            </w:r>
          </w:p>
        </w:tc>
        <w:tc>
          <w:tcPr>
            <w:tcW w:w="15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2.06</w:t>
            </w:r>
          </w:p>
        </w:tc>
        <w:tc>
          <w:tcPr>
            <w:tcW w:w="15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80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shares, diluted</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51,340</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50,385</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51,042</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50,292</w:t>
            </w:r>
          </w:p>
        </w:tc>
        <w:tc>
          <w:tcPr>
            <w:tcW w:w="806"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sz w:val="17"/>
        </w:rPr>
      </w:pPr>
      <w:r>
        <w:rPr>
          <w:rFonts w:ascii="inherit" w:hAnsi="inherit"/>
          <w:sz w:val="17"/>
        </w:rPr>
        <w:t>4</w:t>
      </w:r>
      <w:r>
        <w:rPr>
          <w:sz w:val="17"/>
        </w:rPr>
        <w:t xml:space="preserve"> </w:t>
      </w:r>
      <w:r>
        <w:rPr>
          <w:rFonts w:ascii="inherit" w:hAnsi="inherit"/>
          <w:sz w:val="17"/>
        </w:rPr>
        <w:t>of 11</w:t>
      </w:r>
      <w:r>
        <w:br w:type="page"/>
      </w:r>
    </w:p>
    <w:p>
      <w:pPr>
        <w:pStyle w:val="TextBody"/>
        <w:spacing w:lineRule="auto" w:line="288" w:before="0" w:after="0"/>
        <w:rPr>
          <w:rFonts w:ascii="inherit" w:hAnsi="inherit"/>
          <w:sz w:val="17"/>
        </w:rPr>
      </w:pPr>
      <w:r>
        <w:rPr>
          <w:rFonts w:ascii="inherit" w:hAnsi="inherit"/>
          <w:sz w:val="17"/>
        </w:rPr>
      </w:r>
      <w:bookmarkStart w:id="26" w:name="sCA7BBB0A48C0E6A73C360048AE2978E5"/>
      <w:bookmarkStart w:id="27" w:name="sCA7BBB0A48C0E6A73C360048AE2978E5"/>
      <w:bookmarkEnd w:id="27"/>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Highlights of Consolidated Balance Sheets</w:t>
      </w:r>
    </w:p>
    <w:p>
      <w:pPr>
        <w:pStyle w:val="TextBody"/>
        <w:spacing w:lineRule="auto" w:line="288" w:before="0" w:after="0"/>
        <w:jc w:val="center"/>
        <w:rPr>
          <w:rFonts w:ascii="inherit" w:hAnsi="inherit"/>
          <w:i/>
          <w:sz w:val="17"/>
        </w:rPr>
      </w:pPr>
      <w:r>
        <w:rPr>
          <w:rFonts w:ascii="inherit" w:hAnsi="inherit"/>
          <w:i/>
          <w:sz w:val="17"/>
        </w:rPr>
        <w:t>(in thousands)</w:t>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3974"/>
        <w:gridCol w:w="180"/>
        <w:gridCol w:w="1447"/>
        <w:gridCol w:w="74"/>
        <w:gridCol w:w="132"/>
        <w:gridCol w:w="180"/>
        <w:gridCol w:w="1273"/>
        <w:gridCol w:w="74"/>
        <w:gridCol w:w="132"/>
        <w:gridCol w:w="180"/>
        <w:gridCol w:w="1273"/>
        <w:gridCol w:w="1286"/>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397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74" w:type="dxa"/>
            <w:tcBorders/>
            <w:shd w:fill="auto" w:val="clear"/>
            <w:vAlign w:val="center"/>
          </w:tcPr>
          <w:p>
            <w:pPr>
              <w:pStyle w:val="TableContents"/>
              <w:spacing w:before="0" w:after="0"/>
              <w:ind w:left="0" w:right="0" w:firstLine="30"/>
              <w:jc w:val="left"/>
              <w:rPr/>
            </w:pPr>
            <w:r>
              <w:rPr/>
              <w:t> </w:t>
            </w:r>
          </w:p>
        </w:tc>
        <w:tc>
          <w:tcPr>
            <w:tcW w:w="336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(unaudited)</w:t>
            </w:r>
          </w:p>
        </w:tc>
        <w:tc>
          <w:tcPr>
            <w:tcW w:w="132" w:type="dxa"/>
            <w:tcBorders/>
            <w:shd w:fill="auto" w:val="clear"/>
            <w:vAlign w:val="center"/>
          </w:tcPr>
          <w:p>
            <w:pPr>
              <w:pStyle w:val="TableContents"/>
              <w:spacing w:before="0" w:after="0"/>
              <w:ind w:left="0" w:right="0" w:firstLine="30"/>
              <w:rPr/>
            </w:pPr>
            <w:r>
              <w:rPr/>
              <w:t> </w:t>
            </w:r>
          </w:p>
        </w:tc>
        <w:tc>
          <w:tcPr>
            <w:tcW w:w="273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3974" w:type="dxa"/>
            <w:tcBorders/>
            <w:shd w:fill="auto" w:val="clear"/>
            <w:vAlign w:val="center"/>
          </w:tcPr>
          <w:p>
            <w:pPr>
              <w:pStyle w:val="TableContents"/>
              <w:spacing w:before="0" w:after="0"/>
              <w:ind w:left="0" w:right="0" w:firstLine="30"/>
              <w:jc w:val="left"/>
              <w:rPr/>
            </w:pPr>
            <w:r>
              <w:rPr/>
              <w:t> </w:t>
            </w:r>
          </w:p>
        </w:tc>
        <w:tc>
          <w:tcPr>
            <w:tcW w:w="170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2" w:type="dxa"/>
            <w:tcBorders/>
            <w:shd w:fill="auto" w:val="clear"/>
            <w:vAlign w:val="center"/>
          </w:tcPr>
          <w:p>
            <w:pPr>
              <w:pStyle w:val="TableContents"/>
              <w:spacing w:before="0" w:after="0"/>
              <w:ind w:left="0" w:right="0" w:firstLine="30"/>
              <w:rPr/>
            </w:pPr>
            <w:r>
              <w:rPr/>
              <w:t> </w:t>
            </w:r>
          </w:p>
        </w:tc>
        <w:tc>
          <w:tcPr>
            <w:tcW w:w="152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32" w:type="dxa"/>
            <w:tcBorders/>
            <w:shd w:fill="auto" w:val="clear"/>
            <w:vAlign w:val="center"/>
          </w:tcPr>
          <w:p>
            <w:pPr>
              <w:pStyle w:val="TableContents"/>
              <w:spacing w:before="0" w:after="0"/>
              <w:ind w:left="0" w:right="0" w:firstLine="30"/>
              <w:rPr/>
            </w:pPr>
            <w:r>
              <w:rPr/>
              <w:t> </w:t>
            </w:r>
          </w:p>
        </w:tc>
        <w:tc>
          <w:tcPr>
            <w:tcW w:w="273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3974"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Assets:</w:t>
            </w:r>
          </w:p>
        </w:tc>
        <w:tc>
          <w:tcPr>
            <w:tcW w:w="1701"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27"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2739" w:type="dxa"/>
            <w:gridSpan w:val="3"/>
            <w:tcBorders/>
            <w:shd w:fill="CCEEFF" w:val="clear"/>
            <w:vAlign w:val="center"/>
          </w:tcPr>
          <w:p>
            <w:pPr>
              <w:pStyle w:val="TableContents"/>
              <w:spacing w:before="0" w:after="0"/>
              <w:ind w:left="0" w:right="0" w:firstLine="420"/>
              <w:rPr/>
            </w:pPr>
            <w:r>
              <w:rPr/>
              <w:t> </w:t>
            </w:r>
          </w:p>
        </w:tc>
      </w:tr>
      <w:tr>
        <w:trPr/>
        <w:tc>
          <w:tcPr>
            <w:tcW w:w="3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701"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27"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2739" w:type="dxa"/>
            <w:gridSpan w:val="3"/>
            <w:tcBorders/>
            <w:shd w:fill="auto" w:val="clear"/>
            <w:vAlign w:val="center"/>
          </w:tcPr>
          <w:p>
            <w:pPr>
              <w:pStyle w:val="TableContents"/>
              <w:spacing w:before="0" w:after="0"/>
              <w:ind w:left="0" w:right="0" w:firstLine="780"/>
              <w:rPr/>
            </w:pPr>
            <w:r>
              <w:rPr/>
              <w:t> </w:t>
            </w:r>
          </w:p>
        </w:tc>
      </w:tr>
      <w:tr>
        <w:trPr/>
        <w:tc>
          <w:tcPr>
            <w:tcW w:w="39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47" w:type="dxa"/>
            <w:tcBorders/>
            <w:shd w:fill="CCEEFF" w:val="clear"/>
            <w:vAlign w:val="center"/>
          </w:tcPr>
          <w:p>
            <w:pPr>
              <w:pStyle w:val="TableContents"/>
              <w:spacing w:before="0" w:after="0"/>
              <w:jc w:val="right"/>
              <w:rPr>
                <w:rFonts w:ascii="inherit" w:hAnsi="inherit"/>
                <w:sz w:val="17"/>
              </w:rPr>
            </w:pPr>
            <w:r>
              <w:rPr>
                <w:rFonts w:ascii="inherit" w:hAnsi="inherit"/>
                <w:sz w:val="17"/>
              </w:rPr>
              <w:t>51,825</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73" w:type="dxa"/>
            <w:tcBorders/>
            <w:shd w:fill="CCEEFF" w:val="clear"/>
            <w:vAlign w:val="center"/>
          </w:tcPr>
          <w:p>
            <w:pPr>
              <w:pStyle w:val="TableContents"/>
              <w:spacing w:before="0" w:after="0"/>
              <w:jc w:val="right"/>
              <w:rPr>
                <w:rFonts w:ascii="inherit" w:hAnsi="inherit"/>
                <w:sz w:val="17"/>
              </w:rPr>
            </w:pPr>
            <w:r>
              <w:rPr>
                <w:rFonts w:ascii="inherit" w:hAnsi="inherit"/>
                <w:sz w:val="17"/>
              </w:rPr>
              <w:t>27,492</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73" w:type="dxa"/>
            <w:tcBorders/>
            <w:shd w:fill="CCEEFF" w:val="clear"/>
            <w:vAlign w:val="center"/>
          </w:tcPr>
          <w:p>
            <w:pPr>
              <w:pStyle w:val="TableContents"/>
              <w:spacing w:before="0" w:after="0"/>
              <w:jc w:val="right"/>
              <w:rPr>
                <w:rFonts w:ascii="inherit" w:hAnsi="inherit"/>
                <w:sz w:val="17"/>
              </w:rPr>
            </w:pPr>
            <w:r>
              <w:rPr>
                <w:rFonts w:ascii="inherit" w:hAnsi="inherit"/>
                <w:sz w:val="17"/>
              </w:rPr>
              <w:t>23,969</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6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147,503</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134,633</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145,318</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9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6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28,487</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14,437</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14,611</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 net</w:t>
            </w:r>
          </w:p>
        </w:tc>
        <w:tc>
          <w:tcPr>
            <w:tcW w:w="16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26,092</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24,372</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26,455</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9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receivable, net</w:t>
            </w:r>
          </w:p>
        </w:tc>
        <w:tc>
          <w:tcPr>
            <w:tcW w:w="16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25,729</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6,884</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6,775</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6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94,421</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79,031</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90,373</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9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tax asset</w:t>
            </w:r>
          </w:p>
        </w:tc>
        <w:tc>
          <w:tcPr>
            <w:tcW w:w="16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18,226</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16,150</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18,125</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Federal income tax receivable</w:t>
            </w:r>
          </w:p>
        </w:tc>
        <w:tc>
          <w:tcPr>
            <w:tcW w:w="16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9,898</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3,099</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pPr>
            <w:r>
              <w:rPr/>
              <w:t>—</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9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assets</w:t>
            </w:r>
          </w:p>
        </w:tc>
        <w:tc>
          <w:tcPr>
            <w:tcW w:w="162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40,268</w:t>
            </w:r>
          </w:p>
        </w:tc>
        <w:tc>
          <w:tcPr>
            <w:tcW w:w="7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21,932</w:t>
            </w:r>
          </w:p>
        </w:tc>
        <w:tc>
          <w:tcPr>
            <w:tcW w:w="7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30,611</w:t>
            </w:r>
          </w:p>
        </w:tc>
        <w:tc>
          <w:tcPr>
            <w:tcW w:w="1286"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3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16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442,449</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328,030</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356,237</w:t>
            </w:r>
          </w:p>
        </w:tc>
        <w:tc>
          <w:tcPr>
            <w:tcW w:w="12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unconsolidated affiliates</w:t>
            </w:r>
          </w:p>
        </w:tc>
        <w:tc>
          <w:tcPr>
            <w:tcW w:w="16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125,309</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114,777</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120,319</w:t>
            </w:r>
          </w:p>
        </w:tc>
        <w:tc>
          <w:tcPr>
            <w:tcW w:w="12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6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100,196</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75,049</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78,498</w:t>
            </w:r>
          </w:p>
        </w:tc>
        <w:tc>
          <w:tcPr>
            <w:tcW w:w="12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6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321,423</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167,017</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173,206</w:t>
            </w:r>
          </w:p>
        </w:tc>
        <w:tc>
          <w:tcPr>
            <w:tcW w:w="12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Intangible assets, net</w:t>
            </w:r>
          </w:p>
        </w:tc>
        <w:tc>
          <w:tcPr>
            <w:tcW w:w="16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78,666</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20,192</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19,790</w:t>
            </w:r>
          </w:p>
        </w:tc>
        <w:tc>
          <w:tcPr>
            <w:tcW w:w="12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 consumer loans, net</w:t>
            </w:r>
          </w:p>
        </w:tc>
        <w:tc>
          <w:tcPr>
            <w:tcW w:w="16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50,587</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shd w:fill="CCEEFF" w:val="clear"/>
            <w:vAlign w:val="center"/>
          </w:tcPr>
          <w:p>
            <w:pPr>
              <w:pStyle w:val="TableContents"/>
              <w:spacing w:before="0" w:after="0"/>
              <w:jc w:val="right"/>
              <w:rPr/>
            </w:pPr>
            <w:r>
              <w:rPr/>
              <w:t>—</w:t>
            </w:r>
          </w:p>
        </w:tc>
        <w:tc>
          <w:tcPr>
            <w:tcW w:w="12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assets, net</w:t>
            </w:r>
          </w:p>
        </w:tc>
        <w:tc>
          <w:tcPr>
            <w:tcW w:w="16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19,443</w:t>
            </w:r>
          </w:p>
        </w:tc>
        <w:tc>
          <w:tcPr>
            <w:tcW w:w="7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8,556</w:t>
            </w:r>
          </w:p>
        </w:tc>
        <w:tc>
          <w:tcPr>
            <w:tcW w:w="7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8,400</w:t>
            </w:r>
          </w:p>
        </w:tc>
        <w:tc>
          <w:tcPr>
            <w:tcW w:w="1286"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3974"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Total assets</w:t>
            </w:r>
          </w:p>
        </w:tc>
        <w:tc>
          <w:tcPr>
            <w:tcW w:w="18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44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1,138,073</w:t>
            </w:r>
          </w:p>
        </w:tc>
        <w:tc>
          <w:tcPr>
            <w:tcW w:w="7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8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27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713,621</w:t>
            </w:r>
          </w:p>
        </w:tc>
        <w:tc>
          <w:tcPr>
            <w:tcW w:w="7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8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27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756,450</w:t>
            </w:r>
          </w:p>
        </w:tc>
        <w:tc>
          <w:tcPr>
            <w:tcW w:w="128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74"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Liabilities and stockholders’ equity:</w:t>
            </w:r>
          </w:p>
        </w:tc>
        <w:tc>
          <w:tcPr>
            <w:tcW w:w="1701"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27"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2739" w:type="dxa"/>
            <w:gridSpan w:val="3"/>
            <w:tcBorders/>
            <w:shd w:fill="auto" w:val="clear"/>
            <w:vAlign w:val="center"/>
          </w:tcPr>
          <w:p>
            <w:pPr>
              <w:pStyle w:val="TableContents"/>
              <w:spacing w:before="0" w:after="0"/>
              <w:ind w:left="0" w:right="0" w:firstLine="420"/>
              <w:rPr/>
            </w:pPr>
            <w:r>
              <w:rPr/>
              <w:t> </w:t>
            </w:r>
          </w:p>
        </w:tc>
      </w:tr>
      <w:tr>
        <w:trPr/>
        <w:tc>
          <w:tcPr>
            <w:tcW w:w="39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701"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27"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2739" w:type="dxa"/>
            <w:gridSpan w:val="3"/>
            <w:tcBorders/>
            <w:shd w:fill="CCEEFF" w:val="clear"/>
            <w:vAlign w:val="center"/>
          </w:tcPr>
          <w:p>
            <w:pPr>
              <w:pStyle w:val="TableContents"/>
              <w:spacing w:before="0" w:after="0"/>
              <w:ind w:left="0" w:right="0" w:firstLine="780"/>
              <w:rPr/>
            </w:pPr>
            <w:r>
              <w:rPr/>
              <w:t> </w:t>
            </w:r>
          </w:p>
        </w:tc>
      </w:tr>
      <w:tr>
        <w:trPr/>
        <w:tc>
          <w:tcPr>
            <w:tcW w:w="3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 and other accrued expenses</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47" w:type="dxa"/>
            <w:tcBorders/>
            <w:shd w:fill="auto" w:val="clear"/>
            <w:vAlign w:val="center"/>
          </w:tcPr>
          <w:p>
            <w:pPr>
              <w:pStyle w:val="TableContents"/>
              <w:spacing w:before="0" w:after="0"/>
              <w:jc w:val="right"/>
              <w:rPr>
                <w:rFonts w:ascii="inherit" w:hAnsi="inherit"/>
                <w:sz w:val="17"/>
              </w:rPr>
            </w:pPr>
            <w:r>
              <w:rPr>
                <w:rFonts w:ascii="inherit" w:hAnsi="inherit"/>
                <w:sz w:val="17"/>
              </w:rPr>
              <w:t>71,091</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73" w:type="dxa"/>
            <w:tcBorders/>
            <w:shd w:fill="auto" w:val="clear"/>
            <w:vAlign w:val="center"/>
          </w:tcPr>
          <w:p>
            <w:pPr>
              <w:pStyle w:val="TableContents"/>
              <w:spacing w:before="0" w:after="0"/>
              <w:jc w:val="right"/>
              <w:rPr>
                <w:rFonts w:ascii="inherit" w:hAnsi="inherit"/>
                <w:sz w:val="17"/>
              </w:rPr>
            </w:pPr>
            <w:r>
              <w:rPr>
                <w:rFonts w:ascii="inherit" w:hAnsi="inherit"/>
                <w:sz w:val="17"/>
              </w:rPr>
              <w:t>53,242</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73" w:type="dxa"/>
            <w:tcBorders/>
            <w:shd w:fill="auto" w:val="clear"/>
            <w:vAlign w:val="center"/>
          </w:tcPr>
          <w:p>
            <w:pPr>
              <w:pStyle w:val="TableContents"/>
              <w:spacing w:before="0" w:after="0"/>
              <w:jc w:val="right"/>
              <w:rPr>
                <w:rFonts w:ascii="inherit" w:hAnsi="inherit"/>
                <w:sz w:val="17"/>
              </w:rPr>
            </w:pPr>
            <w:r>
              <w:rPr>
                <w:rFonts w:ascii="inherit" w:hAnsi="inherit"/>
                <w:sz w:val="17"/>
              </w:rPr>
              <w:t>57,400</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9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maturities of long-term debt</w:t>
            </w:r>
          </w:p>
        </w:tc>
        <w:tc>
          <w:tcPr>
            <w:tcW w:w="16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31,126</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shd w:fill="CCEEFF" w:val="clear"/>
            <w:vAlign w:val="center"/>
          </w:tcPr>
          <w:p>
            <w:pPr>
              <w:pStyle w:val="TableContents"/>
              <w:spacing w:before="0" w:after="0"/>
              <w:jc w:val="right"/>
              <w:rPr/>
            </w:pPr>
            <w:r>
              <w:rPr/>
              <w:t>—</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Customer layaway deposits</w:t>
            </w:r>
          </w:p>
        </w:tc>
        <w:tc>
          <w:tcPr>
            <w:tcW w:w="16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6,740</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6,131</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6,176</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9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Federal income taxes payable</w:t>
            </w:r>
          </w:p>
        </w:tc>
        <w:tc>
          <w:tcPr>
            <w:tcW w:w="162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693</w:t>
            </w:r>
          </w:p>
        </w:tc>
        <w:tc>
          <w:tcPr>
            <w:tcW w:w="1286"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3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16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108,957</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59,373</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64,269</w:t>
            </w:r>
          </w:p>
        </w:tc>
        <w:tc>
          <w:tcPr>
            <w:tcW w:w="12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less current maturities</w:t>
            </w:r>
          </w:p>
        </w:tc>
        <w:tc>
          <w:tcPr>
            <w:tcW w:w="16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175,740</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26,500</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17,500</w:t>
            </w:r>
          </w:p>
        </w:tc>
        <w:tc>
          <w:tcPr>
            <w:tcW w:w="12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tax liability</w:t>
            </w:r>
          </w:p>
        </w:tc>
        <w:tc>
          <w:tcPr>
            <w:tcW w:w="16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7,788</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1,237</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8,331</w:t>
            </w:r>
          </w:p>
        </w:tc>
        <w:tc>
          <w:tcPr>
            <w:tcW w:w="12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gains and other long-term liabilities</w:t>
            </w:r>
          </w:p>
        </w:tc>
        <w:tc>
          <w:tcPr>
            <w:tcW w:w="162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14,951</w:t>
            </w:r>
          </w:p>
        </w:tc>
        <w:tc>
          <w:tcPr>
            <w:tcW w:w="7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2,209</w:t>
            </w:r>
          </w:p>
        </w:tc>
        <w:tc>
          <w:tcPr>
            <w:tcW w:w="7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2,102</w:t>
            </w:r>
          </w:p>
        </w:tc>
        <w:tc>
          <w:tcPr>
            <w:tcW w:w="1286"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3974"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Total liabilities</w:t>
            </w:r>
          </w:p>
        </w:tc>
        <w:tc>
          <w:tcPr>
            <w:tcW w:w="16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307,436</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89,319</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92,202</w:t>
            </w:r>
          </w:p>
        </w:tc>
        <w:tc>
          <w:tcPr>
            <w:tcW w:w="12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Temporary equity:</w:t>
            </w:r>
          </w:p>
        </w:tc>
        <w:tc>
          <w:tcPr>
            <w:tcW w:w="1701"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27"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2739" w:type="dxa"/>
            <w:gridSpan w:val="3"/>
            <w:tcBorders/>
            <w:shd w:fill="CCEEFF" w:val="clear"/>
            <w:vAlign w:val="center"/>
          </w:tcPr>
          <w:p>
            <w:pPr>
              <w:pStyle w:val="TableContents"/>
              <w:spacing w:before="0" w:after="0"/>
              <w:ind w:left="0" w:right="0" w:firstLine="420"/>
              <w:rPr/>
            </w:pPr>
            <w:r>
              <w:rPr/>
              <w:t> </w:t>
            </w:r>
          </w:p>
        </w:tc>
      </w:tr>
      <w:tr>
        <w:trPr/>
        <w:tc>
          <w:tcPr>
            <w:tcW w:w="3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Redeemable noncontrolling interest</w:t>
            </w:r>
          </w:p>
        </w:tc>
        <w:tc>
          <w:tcPr>
            <w:tcW w:w="16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44,864</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53" w:type="dxa"/>
            <w:gridSpan w:val="2"/>
            <w:tcBorders/>
            <w:shd w:fill="auto" w:val="clear"/>
            <w:vAlign w:val="center"/>
          </w:tcPr>
          <w:p>
            <w:pPr>
              <w:pStyle w:val="TableContents"/>
              <w:spacing w:before="0" w:after="0"/>
              <w:jc w:val="right"/>
              <w:rPr/>
            </w:pPr>
            <w:r>
              <w:rPr/>
              <w:t>—</w:t>
            </w:r>
          </w:p>
        </w:tc>
        <w:tc>
          <w:tcPr>
            <w:tcW w:w="12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Stockholders’ equity</w:t>
            </w:r>
          </w:p>
        </w:tc>
        <w:tc>
          <w:tcPr>
            <w:tcW w:w="162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785,773</w:t>
            </w:r>
          </w:p>
        </w:tc>
        <w:tc>
          <w:tcPr>
            <w:tcW w:w="7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624,302</w:t>
            </w:r>
          </w:p>
        </w:tc>
        <w:tc>
          <w:tcPr>
            <w:tcW w:w="7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664,248</w:t>
            </w:r>
          </w:p>
        </w:tc>
        <w:tc>
          <w:tcPr>
            <w:tcW w:w="1286"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3974"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Total liabilities and stockholders’ equity</w:t>
            </w:r>
          </w:p>
        </w:tc>
        <w:tc>
          <w:tcPr>
            <w:tcW w:w="1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44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1,138,073</w:t>
            </w:r>
          </w:p>
        </w:tc>
        <w:tc>
          <w:tcPr>
            <w:tcW w:w="7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80" w:type="dxa"/>
            <w:tcBorders>
              <w:bottom w:val="double" w:sz="6"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27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713,621</w:t>
            </w:r>
          </w:p>
        </w:tc>
        <w:tc>
          <w:tcPr>
            <w:tcW w:w="7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80" w:type="dxa"/>
            <w:tcBorders>
              <w:bottom w:val="double" w:sz="6"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27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756,450</w:t>
            </w:r>
          </w:p>
        </w:tc>
        <w:tc>
          <w:tcPr>
            <w:tcW w:w="128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74" w:type="dxa"/>
            <w:tcBorders/>
            <w:shd w:fill="CCEEFF" w:val="clear"/>
            <w:vAlign w:val="center"/>
          </w:tcPr>
          <w:p>
            <w:pPr>
              <w:pStyle w:val="TableContents"/>
              <w:spacing w:before="0" w:after="0"/>
              <w:ind w:left="0" w:right="0" w:firstLine="30"/>
              <w:rPr/>
            </w:pPr>
            <w:r>
              <w:rPr/>
              <w:t> </w:t>
            </w:r>
          </w:p>
        </w:tc>
        <w:tc>
          <w:tcPr>
            <w:tcW w:w="1701"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27" w:type="dxa"/>
            <w:gridSpan w:val="3"/>
            <w:tcBorders>
              <w:top w:val="double" w:sz="6" w:space="0" w:color="000000"/>
            </w:tcBorders>
            <w:shd w:fill="CCEEFF" w:val="clear"/>
            <w:tcMar>
              <w:top w:w="30" w:type="dxa"/>
            </w:tcM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2739" w:type="dxa"/>
            <w:gridSpan w:val="3"/>
            <w:tcBorders>
              <w:top w:val="double" w:sz="6" w:space="0" w:color="000000"/>
            </w:tcBorders>
            <w:shd w:fill="CCEEFF" w:val="clear"/>
            <w:tcMar>
              <w:top w:w="30" w:type="dxa"/>
            </w:tcMar>
            <w:vAlign w:val="center"/>
          </w:tcPr>
          <w:p>
            <w:pPr>
              <w:pStyle w:val="TableContents"/>
              <w:spacing w:before="0" w:after="0"/>
              <w:rPr/>
            </w:pPr>
            <w:r>
              <w:rPr/>
              <w:t> </w:t>
            </w:r>
          </w:p>
        </w:tc>
      </w:tr>
    </w:tbl>
    <w:p>
      <w:pPr>
        <w:pStyle w:val="TextBody"/>
        <w:spacing w:before="0" w:after="0"/>
        <w:rPr/>
      </w:pPr>
      <w:r>
        <w:rPr/>
      </w:r>
    </w:p>
    <w:p>
      <w:pPr>
        <w:pStyle w:val="TextBody"/>
        <w:spacing w:lineRule="auto" w:line="288"/>
        <w:jc w:val="center"/>
        <w:rPr>
          <w:sz w:val="17"/>
        </w:rPr>
      </w:pPr>
      <w:r>
        <w:rPr>
          <w:rFonts w:ascii="inherit" w:hAnsi="inherit"/>
          <w:sz w:val="17"/>
        </w:rPr>
        <w:t>5</w:t>
      </w:r>
      <w:r>
        <w:rPr>
          <w:sz w:val="17"/>
        </w:rPr>
        <w:t xml:space="preserve"> </w:t>
      </w:r>
      <w:r>
        <w:rPr>
          <w:rFonts w:ascii="inherit" w:hAnsi="inherit"/>
          <w:sz w:val="17"/>
        </w:rPr>
        <w:t>of 11</w:t>
      </w:r>
      <w:r>
        <w:br w:type="page"/>
      </w:r>
    </w:p>
    <w:p>
      <w:pPr>
        <w:pStyle w:val="TextBody"/>
        <w:spacing w:lineRule="auto" w:line="288" w:before="0" w:after="0"/>
        <w:rPr>
          <w:rFonts w:ascii="inherit" w:hAnsi="inherit"/>
          <w:sz w:val="17"/>
        </w:rPr>
      </w:pPr>
      <w:r>
        <w:rPr>
          <w:rFonts w:ascii="inherit" w:hAnsi="inherit"/>
          <w:sz w:val="17"/>
        </w:rPr>
      </w:r>
      <w:bookmarkStart w:id="28" w:name="sEDA89CEFCD4A7018CA6E0048AE0FAFD0"/>
      <w:bookmarkStart w:id="29" w:name="sEDA89CEFCD4A7018CA6E0048AE0FAFD0"/>
      <w:bookmarkEnd w:id="29"/>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Operating Segment Results (Unaudited)</w:t>
      </w:r>
    </w:p>
    <w:p>
      <w:pPr>
        <w:pStyle w:val="TextBody"/>
        <w:spacing w:lineRule="auto" w:line="288" w:before="0" w:after="0"/>
        <w:jc w:val="center"/>
        <w:rPr>
          <w:rFonts w:ascii="inherit" w:hAnsi="inherit"/>
          <w:i/>
          <w:sz w:val="17"/>
        </w:rPr>
      </w:pPr>
      <w:r>
        <w:rPr>
          <w:rFonts w:ascii="inherit" w:hAnsi="inherit"/>
          <w:i/>
          <w:sz w:val="17"/>
        </w:rPr>
        <w:t xml:space="preserve">(In thousands) </w:t>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3178"/>
        <w:gridCol w:w="200"/>
        <w:gridCol w:w="1212"/>
        <w:gridCol w:w="182"/>
        <w:gridCol w:w="127"/>
        <w:gridCol w:w="196"/>
        <w:gridCol w:w="1192"/>
        <w:gridCol w:w="178"/>
        <w:gridCol w:w="127"/>
        <w:gridCol w:w="205"/>
        <w:gridCol w:w="1102"/>
        <w:gridCol w:w="187"/>
        <w:gridCol w:w="127"/>
        <w:gridCol w:w="161"/>
        <w:gridCol w:w="1026"/>
        <w:gridCol w:w="805"/>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17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78" w:type="dxa"/>
            <w:tcBorders/>
            <w:shd w:fill="auto" w:val="clear"/>
            <w:vAlign w:val="center"/>
          </w:tcPr>
          <w:p>
            <w:pPr>
              <w:pStyle w:val="TableContents"/>
              <w:spacing w:before="0" w:after="0"/>
              <w:ind w:left="0" w:right="0" w:firstLine="30"/>
              <w:jc w:val="left"/>
              <w:rPr/>
            </w:pPr>
            <w:r>
              <w:rPr/>
              <w:t> </w:t>
            </w:r>
          </w:p>
        </w:tc>
        <w:tc>
          <w:tcPr>
            <w:tcW w:w="7027"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2012</w:t>
            </w:r>
          </w:p>
        </w:tc>
      </w:tr>
      <w:tr>
        <w:trPr/>
        <w:tc>
          <w:tcPr>
            <w:tcW w:w="3178" w:type="dxa"/>
            <w:tcBorders/>
            <w:shd w:fill="auto" w:val="clear"/>
            <w:vAlign w:val="center"/>
          </w:tcPr>
          <w:p>
            <w:pPr>
              <w:pStyle w:val="TableContents"/>
              <w:spacing w:before="0" w:after="0"/>
              <w:ind w:left="0" w:right="0" w:firstLine="30"/>
              <w:jc w:val="left"/>
              <w:rPr/>
            </w:pPr>
            <w:r>
              <w:rPr/>
              <w:t> </w:t>
            </w:r>
          </w:p>
        </w:tc>
        <w:tc>
          <w:tcPr>
            <w:tcW w:w="159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27" w:type="dxa"/>
            <w:tcBorders/>
            <w:shd w:fill="auto" w:val="clear"/>
            <w:vAlign w:val="center"/>
          </w:tcPr>
          <w:p>
            <w:pPr>
              <w:pStyle w:val="TableContents"/>
              <w:spacing w:before="0" w:after="0"/>
              <w:ind w:left="0" w:right="0" w:firstLine="30"/>
              <w:rPr/>
            </w:pPr>
            <w:r>
              <w:rPr/>
              <w:t> </w:t>
            </w:r>
          </w:p>
        </w:tc>
        <w:tc>
          <w:tcPr>
            <w:tcW w:w="15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27" w:type="dxa"/>
            <w:tcBorders/>
            <w:shd w:fill="auto" w:val="clear"/>
            <w:vAlign w:val="center"/>
          </w:tcPr>
          <w:p>
            <w:pPr>
              <w:pStyle w:val="TableContents"/>
              <w:spacing w:before="0" w:after="0"/>
              <w:ind w:left="0" w:right="0" w:firstLine="30"/>
              <w:rPr/>
            </w:pPr>
            <w:r>
              <w:rPr/>
              <w:t> </w:t>
            </w:r>
          </w:p>
        </w:tc>
        <w:tc>
          <w:tcPr>
            <w:tcW w:w="149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27" w:type="dxa"/>
            <w:tcBorders/>
            <w:shd w:fill="auto" w:val="clear"/>
            <w:vAlign w:val="center"/>
          </w:tcPr>
          <w:p>
            <w:pPr>
              <w:pStyle w:val="TableContents"/>
              <w:spacing w:before="0" w:after="0"/>
              <w:ind w:left="0" w:right="0" w:firstLine="30"/>
              <w:rPr/>
            </w:pPr>
            <w:r>
              <w:rPr/>
              <w:t> </w:t>
            </w:r>
          </w:p>
        </w:tc>
        <w:tc>
          <w:tcPr>
            <w:tcW w:w="199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594"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566"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494"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992" w:type="dxa"/>
            <w:gridSpan w:val="3"/>
            <w:tcBorders/>
            <w:shd w:fill="CCEEFF" w:val="clear"/>
            <w:vAlign w:val="center"/>
          </w:tcPr>
          <w:p>
            <w:pPr>
              <w:pStyle w:val="TableContents"/>
              <w:spacing w:before="0" w:after="0"/>
              <w:ind w:left="0" w:right="0" w:firstLine="420"/>
              <w:rPr/>
            </w:pPr>
            <w:r>
              <w:rPr/>
              <w:t> </w:t>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20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auto" w:val="clear"/>
            <w:vAlign w:val="center"/>
          </w:tcPr>
          <w:p>
            <w:pPr>
              <w:pStyle w:val="TableContents"/>
              <w:spacing w:before="0" w:after="0"/>
              <w:jc w:val="right"/>
              <w:rPr>
                <w:rFonts w:ascii="inherit" w:hAnsi="inherit"/>
                <w:sz w:val="17"/>
              </w:rPr>
            </w:pPr>
            <w:r>
              <w:rPr>
                <w:rFonts w:ascii="inherit" w:hAnsi="inherit"/>
                <w:sz w:val="17"/>
              </w:rPr>
              <w:t>65,799</w:t>
            </w:r>
          </w:p>
        </w:tc>
        <w:tc>
          <w:tcPr>
            <w:tcW w:w="1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9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shd w:fill="auto" w:val="clear"/>
            <w:vAlign w:val="center"/>
          </w:tcPr>
          <w:p>
            <w:pPr>
              <w:pStyle w:val="TableContents"/>
              <w:spacing w:before="0" w:after="0"/>
              <w:jc w:val="right"/>
              <w:rPr>
                <w:rFonts w:ascii="inherit" w:hAnsi="inherit"/>
                <w:sz w:val="17"/>
              </w:rPr>
            </w:pPr>
            <w:r>
              <w:rPr>
                <w:rFonts w:ascii="inherit" w:hAnsi="inherit"/>
                <w:sz w:val="17"/>
              </w:rPr>
              <w:t>10,159</w:t>
            </w:r>
          </w:p>
        </w:tc>
        <w:tc>
          <w:tcPr>
            <w:tcW w:w="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20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2" w:type="dxa"/>
            <w:tcBorders/>
            <w:shd w:fill="auto" w:val="clear"/>
            <w:vAlign w:val="center"/>
          </w:tcPr>
          <w:p>
            <w:pPr>
              <w:pStyle w:val="TableContents"/>
              <w:spacing w:before="0" w:after="0"/>
              <w:jc w:val="right"/>
              <w:rPr/>
            </w:pPr>
            <w:r>
              <w:rPr/>
              <w:t>—</w:t>
            </w:r>
          </w:p>
        </w:tc>
        <w:tc>
          <w:tcPr>
            <w:tcW w:w="1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6" w:type="dxa"/>
            <w:tcBorders/>
            <w:shd w:fill="auto" w:val="clear"/>
            <w:vAlign w:val="center"/>
          </w:tcPr>
          <w:p>
            <w:pPr>
              <w:pStyle w:val="TableContents"/>
              <w:spacing w:before="0" w:after="0"/>
              <w:jc w:val="right"/>
              <w:rPr>
                <w:rFonts w:ascii="inherit" w:hAnsi="inherit"/>
                <w:sz w:val="17"/>
              </w:rPr>
            </w:pPr>
            <w:r>
              <w:rPr>
                <w:rFonts w:ascii="inherit" w:hAnsi="inherit"/>
                <w:sz w:val="17"/>
              </w:rPr>
              <w:t>75,958</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4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37,456</w:t>
            </w:r>
          </w:p>
        </w:tc>
        <w:tc>
          <w:tcPr>
            <w:tcW w:w="1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4,518</w:t>
            </w:r>
          </w:p>
        </w:tc>
        <w:tc>
          <w:tcPr>
            <w:tcW w:w="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pPr>
            <w:r>
              <w:rPr/>
              <w:t>—</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41,974</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4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49,979</w:t>
            </w:r>
          </w:p>
        </w:tc>
        <w:tc>
          <w:tcPr>
            <w:tcW w:w="1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6,184</w:t>
            </w:r>
          </w:p>
        </w:tc>
        <w:tc>
          <w:tcPr>
            <w:tcW w:w="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pPr>
            <w:r>
              <w:rPr/>
              <w:t>—</w:t>
            </w:r>
          </w:p>
        </w:tc>
        <w:tc>
          <w:tcPr>
            <w:tcW w:w="1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56,163</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4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39,243</w:t>
            </w:r>
          </w:p>
        </w:tc>
        <w:tc>
          <w:tcPr>
            <w:tcW w:w="1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10,381</w:t>
            </w:r>
          </w:p>
        </w:tc>
        <w:tc>
          <w:tcPr>
            <w:tcW w:w="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3,880</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53,504</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4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649</w:t>
            </w:r>
          </w:p>
        </w:tc>
        <w:tc>
          <w:tcPr>
            <w:tcW w:w="18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8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558</w:t>
            </w:r>
          </w:p>
        </w:tc>
        <w:tc>
          <w:tcPr>
            <w:tcW w:w="17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w:t>
            </w:r>
          </w:p>
        </w:tc>
        <w:tc>
          <w:tcPr>
            <w:tcW w:w="1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1,365</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193,126</w:t>
            </w:r>
          </w:p>
        </w:tc>
        <w:tc>
          <w:tcPr>
            <w:tcW w:w="1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8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31,800</w:t>
            </w:r>
          </w:p>
        </w:tc>
        <w:tc>
          <w:tcPr>
            <w:tcW w:w="17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0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4,038</w:t>
            </w:r>
          </w:p>
        </w:tc>
        <w:tc>
          <w:tcPr>
            <w:tcW w:w="18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228,964</w:t>
            </w:r>
          </w:p>
        </w:tc>
        <w:tc>
          <w:tcPr>
            <w:tcW w:w="80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4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38,519</w:t>
            </w:r>
          </w:p>
        </w:tc>
        <w:tc>
          <w:tcPr>
            <w:tcW w:w="1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5,735</w:t>
            </w:r>
          </w:p>
        </w:tc>
        <w:tc>
          <w:tcPr>
            <w:tcW w:w="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pPr>
            <w:r>
              <w:rPr/>
              <w:t>—</w:t>
            </w:r>
          </w:p>
        </w:tc>
        <w:tc>
          <w:tcPr>
            <w:tcW w:w="1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44,254</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4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24,415</w:t>
            </w:r>
          </w:p>
        </w:tc>
        <w:tc>
          <w:tcPr>
            <w:tcW w:w="1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3,784</w:t>
            </w:r>
          </w:p>
        </w:tc>
        <w:tc>
          <w:tcPr>
            <w:tcW w:w="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pPr>
            <w:r>
              <w:rPr/>
              <w:t>—</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28,199</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9,368</w:t>
            </w:r>
          </w:p>
        </w:tc>
        <w:tc>
          <w:tcPr>
            <w:tcW w:w="18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8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632</w:t>
            </w:r>
          </w:p>
        </w:tc>
        <w:tc>
          <w:tcPr>
            <w:tcW w:w="17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1,251</w:t>
            </w:r>
          </w:p>
        </w:tc>
        <w:tc>
          <w:tcPr>
            <w:tcW w:w="1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11,251</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120,824</w:t>
            </w:r>
          </w:p>
        </w:tc>
        <w:tc>
          <w:tcPr>
            <w:tcW w:w="1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8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21,649</w:t>
            </w:r>
          </w:p>
        </w:tc>
        <w:tc>
          <w:tcPr>
            <w:tcW w:w="17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0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2,787</w:t>
            </w:r>
          </w:p>
        </w:tc>
        <w:tc>
          <w:tcPr>
            <w:tcW w:w="18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145,260</w:t>
            </w:r>
          </w:p>
        </w:tc>
        <w:tc>
          <w:tcPr>
            <w:tcW w:w="80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594"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566"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494"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992" w:type="dxa"/>
            <w:gridSpan w:val="3"/>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 operations</w:t>
            </w:r>
          </w:p>
        </w:tc>
        <w:tc>
          <w:tcPr>
            <w:tcW w:w="14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65,975</w:t>
            </w:r>
          </w:p>
        </w:tc>
        <w:tc>
          <w:tcPr>
            <w:tcW w:w="1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8,792</w:t>
            </w:r>
          </w:p>
        </w:tc>
        <w:tc>
          <w:tcPr>
            <w:tcW w:w="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942</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75,709</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5,970</w:t>
            </w:r>
          </w:p>
        </w:tc>
        <w:tc>
          <w:tcPr>
            <w:tcW w:w="1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4,335</w:t>
            </w:r>
          </w:p>
        </w:tc>
        <w:tc>
          <w:tcPr>
            <w:tcW w:w="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1,870</w:t>
            </w:r>
          </w:p>
        </w:tc>
        <w:tc>
          <w:tcPr>
            <w:tcW w:w="1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12,175</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4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3,622</w:t>
            </w:r>
          </w:p>
        </w:tc>
        <w:tc>
          <w:tcPr>
            <w:tcW w:w="1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1,054</w:t>
            </w:r>
          </w:p>
        </w:tc>
        <w:tc>
          <w:tcPr>
            <w:tcW w:w="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4,749</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4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142</w:t>
            </w:r>
          </w:p>
        </w:tc>
        <w:tc>
          <w:tcPr>
            <w:tcW w:w="1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999</w:t>
            </w:r>
          </w:p>
        </w:tc>
        <w:tc>
          <w:tcPr>
            <w:tcW w:w="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1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1,162</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sale/disposal of assets</w:t>
            </w:r>
          </w:p>
        </w:tc>
        <w:tc>
          <w:tcPr>
            <w:tcW w:w="14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w:t>
            </w:r>
          </w:p>
        </w:tc>
        <w:tc>
          <w:tcPr>
            <w:tcW w:w="1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312</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net</w:t>
            </w:r>
          </w:p>
        </w:tc>
        <w:tc>
          <w:tcPr>
            <w:tcW w:w="14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auto" w:val="clear"/>
            <w:vAlign w:val="center"/>
          </w:tcPr>
          <w:p>
            <w:pPr>
              <w:pStyle w:val="TableContents"/>
              <w:spacing w:before="0" w:after="0"/>
              <w:ind w:left="0" w:right="0" w:firstLine="30"/>
              <w:rPr/>
            </w:pPr>
            <w:r>
              <w:rPr/>
              <w:t> </w:t>
            </w:r>
          </w:p>
        </w:tc>
        <w:tc>
          <w:tcPr>
            <w:tcW w:w="13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w:t>
            </w:r>
          </w:p>
        </w:tc>
        <w:tc>
          <w:tcPr>
            <w:tcW w:w="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412" w:type="dxa"/>
            <w:gridSpan w:val="2"/>
            <w:tcBorders/>
            <w:shd w:fill="CCEEFF" w:val="clear"/>
            <w:vAlign w:val="center"/>
          </w:tcPr>
          <w:p>
            <w:pPr>
              <w:pStyle w:val="TableContents"/>
              <w:spacing w:before="0" w:after="0"/>
              <w:jc w:val="right"/>
              <w:rPr/>
            </w:pPr>
            <w:r>
              <w:rPr/>
              <w:t>—</w:t>
            </w:r>
          </w:p>
        </w:tc>
        <w:tc>
          <w:tcPr>
            <w:tcW w:w="1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88" w:type="dxa"/>
            <w:gridSpan w:val="2"/>
            <w:tcBorders/>
            <w:shd w:fill="CCEEFF" w:val="clear"/>
            <w:vAlign w:val="center"/>
          </w:tcPr>
          <w:p>
            <w:pPr>
              <w:pStyle w:val="TableContents"/>
              <w:spacing w:before="0" w:after="0"/>
              <w:jc w:val="right"/>
              <w:rPr/>
            </w:pPr>
            <w:r>
              <w:rPr/>
              <w:t>—</w:t>
            </w:r>
          </w:p>
        </w:tc>
        <w:tc>
          <w:tcPr>
            <w:tcW w:w="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(4,197</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(4,197</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4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614</w:t>
            </w:r>
          </w:p>
        </w:tc>
        <w:tc>
          <w:tcPr>
            <w:tcW w:w="18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8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w:t>
            </w:r>
          </w:p>
        </w:tc>
        <w:tc>
          <w:tcPr>
            <w:tcW w:w="17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auto"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(441</w:t>
            </w:r>
          </w:p>
        </w:tc>
        <w:tc>
          <w:tcPr>
            <w:tcW w:w="18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20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44,409</w:t>
            </w:r>
          </w:p>
        </w:tc>
        <w:tc>
          <w:tcPr>
            <w:tcW w:w="1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9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6,464</w:t>
            </w:r>
          </w:p>
        </w:tc>
        <w:tc>
          <w:tcPr>
            <w:tcW w:w="17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20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0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4,297</w:t>
            </w:r>
          </w:p>
        </w:tc>
        <w:tc>
          <w:tcPr>
            <w:tcW w:w="18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6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2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55,170</w:t>
            </w:r>
          </w:p>
        </w:tc>
        <w:tc>
          <w:tcPr>
            <w:tcW w:w="80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594"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566"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494"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12,865</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taxes</w:t>
            </w:r>
          </w:p>
        </w:tc>
        <w:tc>
          <w:tcPr>
            <w:tcW w:w="1594"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566"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494"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42,305</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594"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566"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494"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12,594</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594"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566"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494"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29,711</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reedemable noncontrolling interest</w:t>
            </w:r>
          </w:p>
        </w:tc>
        <w:tc>
          <w:tcPr>
            <w:tcW w:w="1594"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566"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494"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1,188</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594"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566"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494"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6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28,523</w:t>
            </w:r>
          </w:p>
        </w:tc>
        <w:tc>
          <w:tcPr>
            <w:tcW w:w="80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sz w:val="17"/>
        </w:rPr>
      </w:pPr>
      <w:r>
        <w:rPr>
          <w:rFonts w:ascii="inherit" w:hAnsi="inherit"/>
          <w:sz w:val="17"/>
        </w:rPr>
        <w:t>6</w:t>
      </w:r>
      <w:r>
        <w:rPr>
          <w:sz w:val="17"/>
        </w:rPr>
        <w:t xml:space="preserve"> </w:t>
      </w:r>
      <w:r>
        <w:rPr>
          <w:rFonts w:ascii="inherit" w:hAnsi="inherit"/>
          <w:sz w:val="17"/>
        </w:rPr>
        <w:t>of 11</w:t>
      </w:r>
      <w:r>
        <w:br w:type="page"/>
      </w:r>
    </w:p>
    <w:p>
      <w:pPr>
        <w:pStyle w:val="TextBody"/>
        <w:spacing w:lineRule="auto" w:line="288" w:before="0" w:after="0"/>
        <w:rPr>
          <w:rFonts w:ascii="inherit" w:hAnsi="inherit"/>
          <w:sz w:val="17"/>
        </w:rPr>
      </w:pPr>
      <w:r>
        <w:rPr>
          <w:rFonts w:ascii="inherit" w:hAnsi="inherit"/>
          <w:sz w:val="17"/>
        </w:rPr>
      </w:r>
      <w:bookmarkStart w:id="30" w:name="sFF46568584AFDAE637AC0048AE0D8D00"/>
      <w:bookmarkStart w:id="31" w:name="sFF46568584AFDAE637AC0048AE0D8D00"/>
      <w:bookmarkEnd w:id="31"/>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Operating Segment Results (Unaudited)</w:t>
      </w:r>
    </w:p>
    <w:p>
      <w:pPr>
        <w:pStyle w:val="TextBody"/>
        <w:spacing w:lineRule="auto" w:line="288" w:before="0" w:after="0"/>
        <w:jc w:val="center"/>
        <w:rPr>
          <w:rFonts w:ascii="inherit" w:hAnsi="inherit"/>
          <w:i/>
          <w:sz w:val="17"/>
        </w:rPr>
      </w:pPr>
      <w:r>
        <w:rPr>
          <w:rFonts w:ascii="inherit" w:hAnsi="inherit"/>
          <w:i/>
          <w:sz w:val="17"/>
        </w:rPr>
        <w:t xml:space="preserve">(In thousands) </w:t>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3178"/>
        <w:gridCol w:w="217"/>
        <w:gridCol w:w="1293"/>
        <w:gridCol w:w="85"/>
        <w:gridCol w:w="127"/>
        <w:gridCol w:w="239"/>
        <w:gridCol w:w="1235"/>
        <w:gridCol w:w="91"/>
        <w:gridCol w:w="127"/>
        <w:gridCol w:w="205"/>
        <w:gridCol w:w="1102"/>
        <w:gridCol w:w="187"/>
        <w:gridCol w:w="127"/>
        <w:gridCol w:w="161"/>
        <w:gridCol w:w="1026"/>
        <w:gridCol w:w="805"/>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17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78" w:type="dxa"/>
            <w:tcBorders/>
            <w:shd w:fill="auto" w:val="clear"/>
            <w:vAlign w:val="center"/>
          </w:tcPr>
          <w:p>
            <w:pPr>
              <w:pStyle w:val="TableContents"/>
              <w:spacing w:before="0" w:after="0"/>
              <w:ind w:left="0" w:right="0" w:firstLine="30"/>
              <w:jc w:val="left"/>
              <w:rPr/>
            </w:pPr>
            <w:r>
              <w:rPr/>
              <w:t> </w:t>
            </w:r>
          </w:p>
        </w:tc>
        <w:tc>
          <w:tcPr>
            <w:tcW w:w="7027"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2011</w:t>
            </w:r>
          </w:p>
        </w:tc>
      </w:tr>
      <w:tr>
        <w:trPr/>
        <w:tc>
          <w:tcPr>
            <w:tcW w:w="3178" w:type="dxa"/>
            <w:tcBorders/>
            <w:shd w:fill="auto" w:val="clear"/>
            <w:vAlign w:val="center"/>
          </w:tcPr>
          <w:p>
            <w:pPr>
              <w:pStyle w:val="TableContents"/>
              <w:spacing w:before="0" w:after="0"/>
              <w:ind w:left="0" w:right="0" w:firstLine="30"/>
              <w:jc w:val="left"/>
              <w:rPr/>
            </w:pPr>
            <w:r>
              <w:rPr/>
              <w:t> </w:t>
            </w:r>
          </w:p>
        </w:tc>
        <w:tc>
          <w:tcPr>
            <w:tcW w:w="15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27" w:type="dxa"/>
            <w:tcBorders/>
            <w:shd w:fill="auto" w:val="clear"/>
            <w:vAlign w:val="center"/>
          </w:tcPr>
          <w:p>
            <w:pPr>
              <w:pStyle w:val="TableContents"/>
              <w:spacing w:before="0" w:after="0"/>
              <w:ind w:left="0" w:right="0" w:firstLine="30"/>
              <w:rPr/>
            </w:pPr>
            <w:r>
              <w:rPr/>
              <w:t> </w:t>
            </w:r>
          </w:p>
        </w:tc>
        <w:tc>
          <w:tcPr>
            <w:tcW w:w="15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27" w:type="dxa"/>
            <w:tcBorders/>
            <w:shd w:fill="auto" w:val="clear"/>
            <w:vAlign w:val="center"/>
          </w:tcPr>
          <w:p>
            <w:pPr>
              <w:pStyle w:val="TableContents"/>
              <w:spacing w:before="0" w:after="0"/>
              <w:ind w:left="0" w:right="0" w:firstLine="30"/>
              <w:rPr/>
            </w:pPr>
            <w:r>
              <w:rPr/>
              <w:t> </w:t>
            </w:r>
          </w:p>
        </w:tc>
        <w:tc>
          <w:tcPr>
            <w:tcW w:w="149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27" w:type="dxa"/>
            <w:tcBorders/>
            <w:shd w:fill="auto" w:val="clear"/>
            <w:vAlign w:val="center"/>
          </w:tcPr>
          <w:p>
            <w:pPr>
              <w:pStyle w:val="TableContents"/>
              <w:spacing w:before="0" w:after="0"/>
              <w:ind w:left="0" w:right="0" w:firstLine="30"/>
              <w:rPr/>
            </w:pPr>
            <w:r>
              <w:rPr/>
              <w:t> </w:t>
            </w:r>
          </w:p>
        </w:tc>
        <w:tc>
          <w:tcPr>
            <w:tcW w:w="199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595"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565"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494"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992" w:type="dxa"/>
            <w:gridSpan w:val="3"/>
            <w:tcBorders/>
            <w:shd w:fill="CCEEFF" w:val="clear"/>
            <w:vAlign w:val="center"/>
          </w:tcPr>
          <w:p>
            <w:pPr>
              <w:pStyle w:val="TableContents"/>
              <w:spacing w:before="0" w:after="0"/>
              <w:ind w:left="0" w:right="0" w:firstLine="420"/>
              <w:rPr/>
            </w:pPr>
            <w:r>
              <w:rPr/>
              <w:t> </w:t>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21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93" w:type="dxa"/>
            <w:tcBorders/>
            <w:shd w:fill="auto" w:val="clear"/>
            <w:vAlign w:val="center"/>
          </w:tcPr>
          <w:p>
            <w:pPr>
              <w:pStyle w:val="TableContents"/>
              <w:spacing w:before="0" w:after="0"/>
              <w:jc w:val="right"/>
              <w:rPr>
                <w:rFonts w:ascii="inherit" w:hAnsi="inherit"/>
                <w:sz w:val="17"/>
              </w:rPr>
            </w:pPr>
            <w:r>
              <w:rPr>
                <w:rFonts w:ascii="inherit" w:hAnsi="inherit"/>
                <w:sz w:val="17"/>
              </w:rPr>
              <w:t>58,173</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23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35" w:type="dxa"/>
            <w:tcBorders/>
            <w:shd w:fill="auto" w:val="clear"/>
            <w:vAlign w:val="center"/>
          </w:tcPr>
          <w:p>
            <w:pPr>
              <w:pStyle w:val="TableContents"/>
              <w:spacing w:before="0" w:after="0"/>
              <w:jc w:val="right"/>
              <w:rPr>
                <w:rFonts w:ascii="inherit" w:hAnsi="inherit"/>
                <w:sz w:val="17"/>
              </w:rPr>
            </w:pPr>
            <w:r>
              <w:rPr>
                <w:rFonts w:ascii="inherit" w:hAnsi="inherit"/>
                <w:sz w:val="17"/>
              </w:rPr>
              <w:t>6,401</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20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2" w:type="dxa"/>
            <w:tcBorders/>
            <w:shd w:fill="auto" w:val="clear"/>
            <w:vAlign w:val="center"/>
          </w:tcPr>
          <w:p>
            <w:pPr>
              <w:pStyle w:val="TableContents"/>
              <w:spacing w:before="0" w:after="0"/>
              <w:jc w:val="right"/>
              <w:rPr/>
            </w:pPr>
            <w:r>
              <w:rPr/>
              <w:t>—</w:t>
            </w:r>
          </w:p>
        </w:tc>
        <w:tc>
          <w:tcPr>
            <w:tcW w:w="1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6" w:type="dxa"/>
            <w:tcBorders/>
            <w:shd w:fill="auto" w:val="clear"/>
            <w:vAlign w:val="center"/>
          </w:tcPr>
          <w:p>
            <w:pPr>
              <w:pStyle w:val="TableContents"/>
              <w:spacing w:before="0" w:after="0"/>
              <w:jc w:val="right"/>
              <w:rPr>
                <w:rFonts w:ascii="inherit" w:hAnsi="inherit"/>
                <w:sz w:val="17"/>
              </w:rPr>
            </w:pPr>
            <w:r>
              <w:rPr>
                <w:rFonts w:ascii="inherit" w:hAnsi="inherit"/>
                <w:sz w:val="17"/>
              </w:rPr>
              <w:t>64,574</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5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46,514</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4,257</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pPr>
            <w:r>
              <w:rPr/>
              <w:t>—</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50,771</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5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43,846</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4,519</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pPr>
            <w:r>
              <w:rPr/>
              <w:t>—</w:t>
            </w:r>
          </w:p>
        </w:tc>
        <w:tc>
          <w:tcPr>
            <w:tcW w:w="1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48,365</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5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38,870</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74" w:type="dxa"/>
            <w:gridSpan w:val="2"/>
            <w:tcBorders/>
            <w:shd w:fill="CCEEFF" w:val="clear"/>
            <w:vAlign w:val="center"/>
          </w:tcPr>
          <w:p>
            <w:pPr>
              <w:pStyle w:val="TableContents"/>
              <w:spacing w:before="0" w:after="0"/>
              <w:jc w:val="right"/>
              <w:rPr/>
            </w:pPr>
            <w:r>
              <w:rPr/>
              <w:t>—</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pPr>
            <w:r>
              <w:rPr/>
              <w:t>—</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38,870</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5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566</w:t>
            </w:r>
          </w:p>
        </w:tc>
        <w:tc>
          <w:tcPr>
            <w:tcW w:w="8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7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9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572</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5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187,969</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15,183</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pPr>
            <w:r>
              <w:rPr/>
              <w:t>—</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203,152</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5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32,924</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3,767</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pPr>
            <w:r>
              <w:rPr/>
              <w:t>—</w:t>
            </w:r>
          </w:p>
        </w:tc>
        <w:tc>
          <w:tcPr>
            <w:tcW w:w="1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36,691</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5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28,951</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3,486</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pPr>
            <w:r>
              <w:rPr/>
              <w:t>—</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32,437</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5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11,027</w:t>
            </w:r>
          </w:p>
        </w:tc>
        <w:tc>
          <w:tcPr>
            <w:tcW w:w="8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7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9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11,027</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5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115,067</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7,930</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pPr>
            <w:r>
              <w:rPr/>
              <w:t>—</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122,997</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595"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565"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494"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992" w:type="dxa"/>
            <w:gridSpan w:val="3"/>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 operations</w:t>
            </w:r>
          </w:p>
        </w:tc>
        <w:tc>
          <w:tcPr>
            <w:tcW w:w="15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61,347</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5,406</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pPr>
            <w:r>
              <w:rPr/>
              <w:t>—</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66,753</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5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4,293</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1,014</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506</w:t>
            </w:r>
          </w:p>
        </w:tc>
        <w:tc>
          <w:tcPr>
            <w:tcW w:w="1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5,813</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5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2,828</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639</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pPr>
            <w:r>
              <w:rPr/>
              <w:t>—</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3,467</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5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117</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104</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pPr>
            <w:r>
              <w:rPr/>
              <w:t>—</w:t>
            </w:r>
          </w:p>
        </w:tc>
        <w:tc>
          <w:tcPr>
            <w:tcW w:w="1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on sale/disposal of assets</w:t>
            </w:r>
          </w:p>
        </w:tc>
        <w:tc>
          <w:tcPr>
            <w:tcW w:w="15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157</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pPr>
            <w:r>
              <w:rPr/>
              <w:t>—</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169</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net</w:t>
            </w:r>
          </w:p>
        </w:tc>
        <w:tc>
          <w:tcPr>
            <w:tcW w:w="15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pPr>
            <w:r>
              <w:rPr/>
              <w:t>—</w:t>
            </w:r>
          </w:p>
        </w:tc>
        <w:tc>
          <w:tcPr>
            <w:tcW w:w="1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510" w:type="dxa"/>
            <w:gridSpan w:val="2"/>
            <w:tcBorders/>
            <w:shd w:fill="CCEEFF" w:val="clear"/>
            <w:vAlign w:val="center"/>
          </w:tcPr>
          <w:p>
            <w:pPr>
              <w:pStyle w:val="TableContents"/>
              <w:spacing w:before="0" w:after="0"/>
              <w:jc w:val="right"/>
              <w:rPr/>
            </w:pPr>
            <w:r>
              <w:rPr/>
              <w:t>—</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74" w:type="dxa"/>
            <w:gridSpan w:val="2"/>
            <w:tcBorders/>
            <w:shd w:fill="CCEEFF" w:val="clear"/>
            <w:vAlign w:val="center"/>
          </w:tcPr>
          <w:p>
            <w:pPr>
              <w:pStyle w:val="TableContents"/>
              <w:spacing w:before="0" w:after="0"/>
              <w:jc w:val="right"/>
              <w:rPr/>
            </w:pPr>
            <w:r>
              <w:rPr/>
              <w:t>—</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(4,099</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(4,099</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5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8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7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9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(107</w:t>
            </w:r>
          </w:p>
        </w:tc>
        <w:tc>
          <w:tcPr>
            <w:tcW w:w="18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(103</w:t>
            </w:r>
          </w:p>
        </w:tc>
        <w:tc>
          <w:tcPr>
            <w:tcW w:w="8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21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3" w:type="dxa"/>
            <w:tcBorders/>
            <w:shd w:fill="CCEEFF" w:val="clear"/>
            <w:vAlign w:val="center"/>
          </w:tcPr>
          <w:p>
            <w:pPr>
              <w:pStyle w:val="TableContents"/>
              <w:spacing w:before="0" w:after="0"/>
              <w:jc w:val="right"/>
              <w:rPr>
                <w:rFonts w:ascii="inherit" w:hAnsi="inherit"/>
                <w:sz w:val="17"/>
              </w:rPr>
            </w:pPr>
            <w:r>
              <w:rPr>
                <w:rFonts w:ascii="inherit" w:hAnsi="inherit"/>
                <w:sz w:val="17"/>
              </w:rPr>
              <w:t>46,303</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23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35" w:type="dxa"/>
            <w:tcBorders/>
            <w:shd w:fill="CCEEFF" w:val="clear"/>
            <w:vAlign w:val="center"/>
          </w:tcPr>
          <w:p>
            <w:pPr>
              <w:pStyle w:val="TableContents"/>
              <w:spacing w:before="0" w:after="0"/>
              <w:jc w:val="right"/>
              <w:rPr>
                <w:rFonts w:ascii="inherit" w:hAnsi="inherit"/>
                <w:sz w:val="17"/>
              </w:rPr>
            </w:pPr>
            <w:r>
              <w:rPr>
                <w:rFonts w:ascii="inherit" w:hAnsi="inherit"/>
                <w:sz w:val="17"/>
              </w:rPr>
              <w:t>751</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20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2" w:type="dxa"/>
            <w:tcBorders/>
            <w:shd w:fill="CCEEFF" w:val="clear"/>
            <w:vAlign w:val="center"/>
          </w:tcPr>
          <w:p>
            <w:pPr>
              <w:pStyle w:val="TableContents"/>
              <w:spacing w:before="0" w:after="0"/>
              <w:jc w:val="right"/>
              <w:rPr>
                <w:rFonts w:ascii="inherit" w:hAnsi="inherit"/>
                <w:sz w:val="17"/>
              </w:rPr>
            </w:pPr>
            <w:r>
              <w:rPr>
                <w:rFonts w:ascii="inherit" w:hAnsi="inherit"/>
                <w:sz w:val="17"/>
              </w:rPr>
              <w:t>3,700</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6" w:type="dxa"/>
            <w:tcBorders/>
            <w:shd w:fill="CCEEFF" w:val="clear"/>
            <w:vAlign w:val="center"/>
          </w:tcPr>
          <w:p>
            <w:pPr>
              <w:pStyle w:val="TableContents"/>
              <w:spacing w:before="0" w:after="0"/>
              <w:jc w:val="right"/>
              <w:rPr>
                <w:rFonts w:ascii="inherit" w:hAnsi="inherit"/>
                <w:sz w:val="17"/>
              </w:rPr>
            </w:pPr>
            <w:r>
              <w:rPr>
                <w:rFonts w:ascii="inherit" w:hAnsi="inherit"/>
                <w:sz w:val="17"/>
              </w:rPr>
              <w:t>50,754</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595"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565"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494"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10,100</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taxes</w:t>
            </w:r>
          </w:p>
        </w:tc>
        <w:tc>
          <w:tcPr>
            <w:tcW w:w="1595"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565"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494"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40,654</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595"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565"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494"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14,127</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595"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565"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494"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26,527</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1595"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565"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494"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187" w:type="dxa"/>
            <w:gridSpan w:val="2"/>
            <w:tcBorders/>
            <w:shd w:fill="auto" w:val="clear"/>
            <w:vAlign w:val="center"/>
          </w:tcPr>
          <w:p>
            <w:pPr>
              <w:pStyle w:val="TableContents"/>
              <w:spacing w:before="0" w:after="0"/>
              <w:jc w:val="right"/>
              <w:rPr/>
            </w:pPr>
            <w:r>
              <w:rPr/>
              <w:t>—</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595"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565"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494"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6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26,527</w:t>
            </w:r>
          </w:p>
        </w:tc>
        <w:tc>
          <w:tcPr>
            <w:tcW w:w="80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sz w:val="17"/>
        </w:rPr>
      </w:pPr>
      <w:r>
        <w:rPr>
          <w:rFonts w:ascii="inherit" w:hAnsi="inherit"/>
          <w:sz w:val="17"/>
        </w:rPr>
        <w:t>7</w:t>
      </w:r>
      <w:r>
        <w:rPr>
          <w:sz w:val="17"/>
        </w:rPr>
        <w:t xml:space="preserve"> </w:t>
      </w:r>
      <w:r>
        <w:rPr>
          <w:rFonts w:ascii="inherit" w:hAnsi="inherit"/>
          <w:sz w:val="17"/>
        </w:rPr>
        <w:t>of 11</w:t>
      </w:r>
      <w:r>
        <w:br w:type="page"/>
      </w:r>
    </w:p>
    <w:p>
      <w:pPr>
        <w:pStyle w:val="TextBody"/>
        <w:spacing w:lineRule="auto" w:line="288" w:before="0" w:after="0"/>
        <w:rPr>
          <w:rFonts w:ascii="inherit" w:hAnsi="inherit"/>
          <w:sz w:val="17"/>
        </w:rPr>
      </w:pPr>
      <w:r>
        <w:rPr>
          <w:rFonts w:ascii="inherit" w:hAnsi="inherit"/>
          <w:sz w:val="17"/>
        </w:rPr>
      </w:r>
      <w:bookmarkStart w:id="32" w:name="sF723BDB7B554098556490048AE0CA99F"/>
      <w:bookmarkStart w:id="33" w:name="sF723BDB7B554098556490048AE0CA99F"/>
      <w:bookmarkEnd w:id="33"/>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Operating Segment Results (Unaudited)</w:t>
      </w:r>
    </w:p>
    <w:p>
      <w:pPr>
        <w:pStyle w:val="TextBody"/>
        <w:spacing w:lineRule="auto" w:line="288" w:before="0" w:after="0"/>
        <w:jc w:val="center"/>
        <w:rPr>
          <w:rFonts w:ascii="inherit" w:hAnsi="inherit"/>
          <w:i/>
          <w:sz w:val="17"/>
        </w:rPr>
      </w:pPr>
      <w:r>
        <w:rPr>
          <w:rFonts w:ascii="inherit" w:hAnsi="inherit"/>
          <w:i/>
          <w:sz w:val="17"/>
        </w:rPr>
        <w:t xml:space="preserve">(In thousands) </w:t>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3130"/>
        <w:gridCol w:w="181"/>
        <w:gridCol w:w="1235"/>
        <w:gridCol w:w="165"/>
        <w:gridCol w:w="126"/>
        <w:gridCol w:w="195"/>
        <w:gridCol w:w="1181"/>
        <w:gridCol w:w="177"/>
        <w:gridCol w:w="126"/>
        <w:gridCol w:w="183"/>
        <w:gridCol w:w="1130"/>
        <w:gridCol w:w="168"/>
        <w:gridCol w:w="126"/>
        <w:gridCol w:w="160"/>
        <w:gridCol w:w="1115"/>
        <w:gridCol w:w="807"/>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13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30" w:type="dxa"/>
            <w:tcBorders/>
            <w:shd w:fill="auto" w:val="clear"/>
            <w:vAlign w:val="center"/>
          </w:tcPr>
          <w:p>
            <w:pPr>
              <w:pStyle w:val="TableContents"/>
              <w:spacing w:before="0" w:after="0"/>
              <w:ind w:left="0" w:right="0" w:firstLine="30"/>
              <w:jc w:val="left"/>
              <w:rPr/>
            </w:pPr>
            <w:r>
              <w:rPr/>
              <w:t> </w:t>
            </w:r>
          </w:p>
        </w:tc>
        <w:tc>
          <w:tcPr>
            <w:tcW w:w="7075"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2012</w:t>
            </w:r>
          </w:p>
        </w:tc>
      </w:tr>
      <w:tr>
        <w:trPr/>
        <w:tc>
          <w:tcPr>
            <w:tcW w:w="3130" w:type="dxa"/>
            <w:tcBorders/>
            <w:shd w:fill="auto" w:val="clear"/>
            <w:vAlign w:val="center"/>
          </w:tcPr>
          <w:p>
            <w:pPr>
              <w:pStyle w:val="TableContents"/>
              <w:spacing w:before="0" w:after="0"/>
              <w:ind w:left="0" w:right="0" w:firstLine="30"/>
              <w:jc w:val="left"/>
              <w:rPr/>
            </w:pPr>
            <w:r>
              <w:rPr/>
              <w:t> </w:t>
            </w:r>
          </w:p>
        </w:tc>
        <w:tc>
          <w:tcPr>
            <w:tcW w:w="15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26" w:type="dxa"/>
            <w:tcBorders/>
            <w:shd w:fill="auto" w:val="clear"/>
            <w:vAlign w:val="center"/>
          </w:tcPr>
          <w:p>
            <w:pPr>
              <w:pStyle w:val="TableContents"/>
              <w:spacing w:before="0" w:after="0"/>
              <w:ind w:left="0" w:right="0" w:firstLine="30"/>
              <w:rPr/>
            </w:pPr>
            <w:r>
              <w:rPr/>
              <w:t> </w:t>
            </w:r>
          </w:p>
        </w:tc>
        <w:tc>
          <w:tcPr>
            <w:tcW w:w="15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26" w:type="dxa"/>
            <w:tcBorders/>
            <w:shd w:fill="auto" w:val="clear"/>
            <w:vAlign w:val="center"/>
          </w:tcPr>
          <w:p>
            <w:pPr>
              <w:pStyle w:val="TableContents"/>
              <w:spacing w:before="0" w:after="0"/>
              <w:ind w:left="0" w:right="0" w:firstLine="30"/>
              <w:rPr/>
            </w:pPr>
            <w:r>
              <w:rPr/>
              <w:t> </w:t>
            </w:r>
          </w:p>
        </w:tc>
        <w:tc>
          <w:tcPr>
            <w:tcW w:w="148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26" w:type="dxa"/>
            <w:tcBorders/>
            <w:shd w:fill="auto" w:val="clear"/>
            <w:vAlign w:val="center"/>
          </w:tcPr>
          <w:p>
            <w:pPr>
              <w:pStyle w:val="TableContents"/>
              <w:spacing w:before="0" w:after="0"/>
              <w:ind w:left="0" w:right="0" w:firstLine="30"/>
              <w:rPr/>
            </w:pPr>
            <w:r>
              <w:rPr/>
              <w:t> </w:t>
            </w:r>
          </w:p>
        </w:tc>
        <w:tc>
          <w:tcPr>
            <w:tcW w:w="20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581"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553"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481"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2082" w:type="dxa"/>
            <w:gridSpan w:val="3"/>
            <w:tcBorders/>
            <w:shd w:fill="CCEEFF" w:val="clear"/>
            <w:vAlign w:val="center"/>
          </w:tcPr>
          <w:p>
            <w:pPr>
              <w:pStyle w:val="TableContents"/>
              <w:spacing w:before="0" w:after="0"/>
              <w:ind w:left="0" w:right="0" w:firstLine="420"/>
              <w:rPr/>
            </w:pPr>
            <w:r>
              <w:rPr/>
              <w:t> </w:t>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35" w:type="dxa"/>
            <w:tcBorders/>
            <w:shd w:fill="auto" w:val="clear"/>
            <w:vAlign w:val="center"/>
          </w:tcPr>
          <w:p>
            <w:pPr>
              <w:pStyle w:val="TableContents"/>
              <w:spacing w:before="0" w:after="0"/>
              <w:jc w:val="right"/>
              <w:rPr>
                <w:rFonts w:ascii="inherit" w:hAnsi="inherit"/>
                <w:sz w:val="17"/>
              </w:rPr>
            </w:pPr>
            <w:r>
              <w:rPr>
                <w:rFonts w:ascii="inherit" w:hAnsi="inherit"/>
                <w:sz w:val="17"/>
              </w:rPr>
              <w:t>227,849</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9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1" w:type="dxa"/>
            <w:tcBorders/>
            <w:shd w:fill="auto" w:val="clear"/>
            <w:vAlign w:val="center"/>
          </w:tcPr>
          <w:p>
            <w:pPr>
              <w:pStyle w:val="TableContents"/>
              <w:spacing w:before="0" w:after="0"/>
              <w:jc w:val="right"/>
              <w:rPr>
                <w:rFonts w:ascii="inherit" w:hAnsi="inherit"/>
                <w:sz w:val="17"/>
              </w:rPr>
            </w:pPr>
            <w:r>
              <w:rPr>
                <w:rFonts w:ascii="inherit" w:hAnsi="inherit"/>
                <w:sz w:val="17"/>
              </w:rPr>
              <w:t>30,000</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6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5" w:type="dxa"/>
            <w:tcBorders/>
            <w:shd w:fill="auto" w:val="clear"/>
            <w:vAlign w:val="center"/>
          </w:tcPr>
          <w:p>
            <w:pPr>
              <w:pStyle w:val="TableContents"/>
              <w:spacing w:before="0" w:after="0"/>
              <w:jc w:val="right"/>
              <w:rPr>
                <w:rFonts w:ascii="inherit" w:hAnsi="inherit"/>
                <w:sz w:val="17"/>
              </w:rPr>
            </w:pPr>
            <w:r>
              <w:rPr>
                <w:rFonts w:ascii="inherit" w:hAnsi="inherit"/>
                <w:sz w:val="17"/>
              </w:rPr>
              <w:t>257,849</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139,736</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11,816</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13" w:type="dxa"/>
            <w:gridSpan w:val="2"/>
            <w:tcBorders/>
            <w:shd w:fill="CCEEFF" w:val="clear"/>
            <w:vAlign w:val="center"/>
          </w:tcPr>
          <w:p>
            <w:pPr>
              <w:pStyle w:val="TableContents"/>
              <w:spacing w:before="0" w:after="0"/>
              <w:jc w:val="right"/>
              <w:rPr/>
            </w:pPr>
            <w:r>
              <w:rPr/>
              <w:t>—</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151,552</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4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154,854</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17,545</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13" w:type="dxa"/>
            <w:gridSpan w:val="2"/>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172,399</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127,061</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17,764</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4,086</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148,911</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4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2,444</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802</w:t>
            </w:r>
          </w:p>
        </w:tc>
        <w:tc>
          <w:tcPr>
            <w:tcW w:w="17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1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w:t>
            </w:r>
          </w:p>
        </w:tc>
        <w:tc>
          <w:tcPr>
            <w:tcW w:w="16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3,404</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651,944</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77,927</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4,244</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734,115</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4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132,469</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16,061</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13" w:type="dxa"/>
            <w:gridSpan w:val="2"/>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148,530</w:t>
            </w:r>
          </w:p>
        </w:tc>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87,102</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8,831</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13" w:type="dxa"/>
            <w:gridSpan w:val="2"/>
            <w:tcBorders/>
            <w:shd w:fill="CCEEFF" w:val="clear"/>
            <w:vAlign w:val="center"/>
          </w:tcPr>
          <w:p>
            <w:pPr>
              <w:pStyle w:val="TableContents"/>
              <w:spacing w:before="0" w:after="0"/>
              <w:jc w:val="right"/>
              <w:rPr/>
            </w:pPr>
            <w:r>
              <w:rPr/>
              <w:t>—</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95,933</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26,136</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1,140</w:t>
            </w:r>
          </w:p>
        </w:tc>
        <w:tc>
          <w:tcPr>
            <w:tcW w:w="17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1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1,466</w:t>
            </w:r>
          </w:p>
        </w:tc>
        <w:tc>
          <w:tcPr>
            <w:tcW w:w="16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28,742</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406,237</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51,895</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2,778</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460,910</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581"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553"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481"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2082" w:type="dxa"/>
            <w:gridSpan w:val="3"/>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 operations</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203,190</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23,001</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1,288</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227,479</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17,841</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9,964</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2,292</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30,097</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10,121</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2,576</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109</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12,806</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4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414</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2,651</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3,086</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(Gain)/loss on sale/disposal of assets</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3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3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138</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net</w:t>
            </w:r>
          </w:p>
        </w:tc>
        <w:tc>
          <w:tcPr>
            <w:tcW w:w="14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1,755</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1,757</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416" w:type="dxa"/>
            <w:gridSpan w:val="2"/>
            <w:tcBorders/>
            <w:shd w:fill="CCEEFF" w:val="clear"/>
            <w:vAlign w:val="center"/>
          </w:tcPr>
          <w:p>
            <w:pPr>
              <w:pStyle w:val="TableContents"/>
              <w:spacing w:before="0" w:after="0"/>
              <w:jc w:val="right"/>
              <w:rPr/>
            </w:pPr>
            <w:r>
              <w:rPr/>
              <w:t>—</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76" w:type="dxa"/>
            <w:gridSpan w:val="2"/>
            <w:tcBorders/>
            <w:shd w:fill="CCEEFF" w:val="clear"/>
            <w:vAlign w:val="center"/>
          </w:tcPr>
          <w:p>
            <w:pPr>
              <w:pStyle w:val="TableContents"/>
              <w:spacing w:before="0" w:after="0"/>
              <w:jc w:val="right"/>
              <w:rPr/>
            </w:pPr>
            <w:r>
              <w:rPr/>
              <w:t>—</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(12,935</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(12,935</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4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345</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7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1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(505</w:t>
            </w:r>
          </w:p>
        </w:tc>
        <w:tc>
          <w:tcPr>
            <w:tcW w:w="16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(157</w:t>
            </w:r>
          </w:p>
        </w:tc>
        <w:tc>
          <w:tcPr>
            <w:tcW w:w="80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35" w:type="dxa"/>
            <w:tcBorders/>
            <w:shd w:fill="CCEEFF" w:val="clear"/>
            <w:vAlign w:val="center"/>
          </w:tcPr>
          <w:p>
            <w:pPr>
              <w:pStyle w:val="TableContents"/>
              <w:spacing w:before="0" w:after="0"/>
              <w:jc w:val="right"/>
              <w:rPr>
                <w:rFonts w:ascii="inherit" w:hAnsi="inherit"/>
                <w:sz w:val="17"/>
              </w:rPr>
            </w:pPr>
            <w:r>
              <w:rPr>
                <w:rFonts w:ascii="inherit" w:hAnsi="inherit"/>
                <w:sz w:val="17"/>
              </w:rPr>
              <w:t>174,405</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9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1" w:type="dxa"/>
            <w:tcBorders/>
            <w:shd w:fill="CCEEFF" w:val="clear"/>
            <w:vAlign w:val="center"/>
          </w:tcPr>
          <w:p>
            <w:pPr>
              <w:pStyle w:val="TableContents"/>
              <w:spacing w:before="0" w:after="0"/>
              <w:jc w:val="right"/>
              <w:rPr>
                <w:rFonts w:ascii="inherit" w:hAnsi="inherit"/>
                <w:sz w:val="17"/>
              </w:rPr>
            </w:pPr>
            <w:r>
              <w:rPr>
                <w:rFonts w:ascii="inherit" w:hAnsi="inherit"/>
                <w:sz w:val="17"/>
              </w:rPr>
              <w:t>11,948</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8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CCEEFF" w:val="clear"/>
            <w:vAlign w:val="center"/>
          </w:tcPr>
          <w:p>
            <w:pPr>
              <w:pStyle w:val="TableContents"/>
              <w:spacing w:before="0" w:after="0"/>
              <w:jc w:val="right"/>
              <w:rPr>
                <w:rFonts w:ascii="inherit" w:hAnsi="inherit"/>
                <w:sz w:val="17"/>
              </w:rPr>
            </w:pPr>
            <w:r>
              <w:rPr>
                <w:rFonts w:ascii="inherit" w:hAnsi="inherit"/>
                <w:sz w:val="17"/>
              </w:rPr>
              <w:t>12,286</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5" w:type="dxa"/>
            <w:tcBorders/>
            <w:shd w:fill="CCEEFF" w:val="clear"/>
            <w:vAlign w:val="center"/>
          </w:tcPr>
          <w:p>
            <w:pPr>
              <w:pStyle w:val="TableContents"/>
              <w:spacing w:before="0" w:after="0"/>
              <w:jc w:val="right"/>
              <w:rPr>
                <w:rFonts w:ascii="inherit" w:hAnsi="inherit"/>
                <w:sz w:val="17"/>
              </w:rPr>
            </w:pPr>
            <w:r>
              <w:rPr>
                <w:rFonts w:ascii="inherit" w:hAnsi="inherit"/>
                <w:sz w:val="17"/>
              </w:rPr>
              <w:t>198,639</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581"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553"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481"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39,600</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taxes</w:t>
            </w:r>
          </w:p>
        </w:tc>
        <w:tc>
          <w:tcPr>
            <w:tcW w:w="1581"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553"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481"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159,039</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581"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553"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481"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52,603</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581"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553"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481"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106,436</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1581"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553"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481"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1,300</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581"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553"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481"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6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105,136</w:t>
            </w:r>
          </w:p>
        </w:tc>
        <w:tc>
          <w:tcPr>
            <w:tcW w:w="80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sz w:val="17"/>
        </w:rPr>
      </w:pPr>
      <w:r>
        <w:rPr>
          <w:rFonts w:ascii="inherit" w:hAnsi="inherit"/>
          <w:sz w:val="17"/>
        </w:rPr>
        <w:t>8</w:t>
      </w:r>
      <w:r>
        <w:rPr>
          <w:sz w:val="17"/>
        </w:rPr>
        <w:t xml:space="preserve"> </w:t>
      </w:r>
      <w:r>
        <w:rPr>
          <w:rFonts w:ascii="inherit" w:hAnsi="inherit"/>
          <w:sz w:val="17"/>
        </w:rPr>
        <w:t>of 11</w:t>
      </w:r>
      <w:r>
        <w:br w:type="page"/>
      </w:r>
    </w:p>
    <w:p>
      <w:pPr>
        <w:pStyle w:val="TextBody"/>
        <w:spacing w:lineRule="auto" w:line="288" w:before="0" w:after="0"/>
        <w:rPr>
          <w:rFonts w:ascii="inherit" w:hAnsi="inherit"/>
          <w:sz w:val="17"/>
        </w:rPr>
      </w:pPr>
      <w:r>
        <w:rPr>
          <w:rFonts w:ascii="inherit" w:hAnsi="inherit"/>
          <w:sz w:val="17"/>
        </w:rPr>
      </w:r>
      <w:bookmarkStart w:id="34" w:name="sC4C5C06CE54FF6C082E60048AE16FD67"/>
      <w:bookmarkStart w:id="35" w:name="sC4C5C06CE54FF6C082E60048AE16FD67"/>
      <w:bookmarkEnd w:id="35"/>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Operating Segment Results (Unaudited)</w:t>
      </w:r>
    </w:p>
    <w:p>
      <w:pPr>
        <w:pStyle w:val="TextBody"/>
        <w:spacing w:lineRule="auto" w:line="288" w:before="0" w:after="0"/>
        <w:jc w:val="center"/>
        <w:rPr>
          <w:rFonts w:ascii="inherit" w:hAnsi="inherit"/>
          <w:i/>
          <w:sz w:val="17"/>
        </w:rPr>
      </w:pPr>
      <w:r>
        <w:rPr>
          <w:rFonts w:ascii="inherit" w:hAnsi="inherit"/>
          <w:i/>
          <w:sz w:val="17"/>
        </w:rPr>
        <w:t>(In thousands)</w:t>
      </w:r>
    </w:p>
    <w:p>
      <w:pPr>
        <w:pStyle w:val="TextBody"/>
        <w:spacing w:lineRule="auto" w:line="288" w:before="0" w:after="0"/>
        <w:rPr/>
      </w:pPr>
      <w:r>
        <w:rPr/>
        <w:t xml:space="preserve">  </w:t>
      </w:r>
    </w:p>
    <w:tbl>
      <w:tblPr>
        <w:tblW w:w="10205" w:type="dxa"/>
        <w:jc w:val="center"/>
        <w:tblInd w:w="0" w:type="dxa"/>
        <w:tblCellMar>
          <w:top w:w="0" w:type="dxa"/>
          <w:left w:w="0" w:type="dxa"/>
          <w:bottom w:w="0" w:type="dxa"/>
          <w:right w:w="0" w:type="dxa"/>
        </w:tblCellMar>
      </w:tblPr>
      <w:tblGrid>
        <w:gridCol w:w="3130"/>
        <w:gridCol w:w="181"/>
        <w:gridCol w:w="1235"/>
        <w:gridCol w:w="165"/>
        <w:gridCol w:w="126"/>
        <w:gridCol w:w="211"/>
        <w:gridCol w:w="1259"/>
        <w:gridCol w:w="83"/>
        <w:gridCol w:w="126"/>
        <w:gridCol w:w="183"/>
        <w:gridCol w:w="1130"/>
        <w:gridCol w:w="168"/>
        <w:gridCol w:w="126"/>
        <w:gridCol w:w="160"/>
        <w:gridCol w:w="1115"/>
        <w:gridCol w:w="807"/>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13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30" w:type="dxa"/>
            <w:tcBorders/>
            <w:shd w:fill="auto" w:val="clear"/>
            <w:vAlign w:val="center"/>
          </w:tcPr>
          <w:p>
            <w:pPr>
              <w:pStyle w:val="TableContents"/>
              <w:spacing w:before="0" w:after="0"/>
              <w:ind w:left="0" w:right="0" w:firstLine="30"/>
              <w:jc w:val="left"/>
              <w:rPr/>
            </w:pPr>
            <w:r>
              <w:rPr/>
              <w:t> </w:t>
            </w:r>
          </w:p>
        </w:tc>
        <w:tc>
          <w:tcPr>
            <w:tcW w:w="7075"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2011</w:t>
            </w:r>
          </w:p>
        </w:tc>
      </w:tr>
      <w:tr>
        <w:trPr/>
        <w:tc>
          <w:tcPr>
            <w:tcW w:w="3130" w:type="dxa"/>
            <w:tcBorders/>
            <w:shd w:fill="auto" w:val="clear"/>
            <w:vAlign w:val="center"/>
          </w:tcPr>
          <w:p>
            <w:pPr>
              <w:pStyle w:val="TableContents"/>
              <w:spacing w:before="0" w:after="0"/>
              <w:ind w:left="0" w:right="0" w:firstLine="30"/>
              <w:jc w:val="left"/>
              <w:rPr/>
            </w:pPr>
            <w:r>
              <w:rPr/>
              <w:t> </w:t>
            </w:r>
          </w:p>
        </w:tc>
        <w:tc>
          <w:tcPr>
            <w:tcW w:w="15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26" w:type="dxa"/>
            <w:tcBorders/>
            <w:shd w:fill="auto" w:val="clear"/>
            <w:vAlign w:val="center"/>
          </w:tcPr>
          <w:p>
            <w:pPr>
              <w:pStyle w:val="TableContents"/>
              <w:spacing w:before="0" w:after="0"/>
              <w:ind w:left="0" w:right="0" w:firstLine="30"/>
              <w:rPr/>
            </w:pPr>
            <w:r>
              <w:rPr/>
              <w:t> </w:t>
            </w:r>
          </w:p>
        </w:tc>
        <w:tc>
          <w:tcPr>
            <w:tcW w:w="15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26" w:type="dxa"/>
            <w:tcBorders/>
            <w:shd w:fill="auto" w:val="clear"/>
            <w:vAlign w:val="center"/>
          </w:tcPr>
          <w:p>
            <w:pPr>
              <w:pStyle w:val="TableContents"/>
              <w:spacing w:before="0" w:after="0"/>
              <w:ind w:left="0" w:right="0" w:firstLine="30"/>
              <w:rPr/>
            </w:pPr>
            <w:r>
              <w:rPr/>
              <w:t> </w:t>
            </w:r>
          </w:p>
        </w:tc>
        <w:tc>
          <w:tcPr>
            <w:tcW w:w="148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26" w:type="dxa"/>
            <w:tcBorders/>
            <w:shd w:fill="auto" w:val="clear"/>
            <w:vAlign w:val="center"/>
          </w:tcPr>
          <w:p>
            <w:pPr>
              <w:pStyle w:val="TableContents"/>
              <w:spacing w:before="0" w:after="0"/>
              <w:ind w:left="0" w:right="0" w:firstLine="30"/>
              <w:rPr/>
            </w:pPr>
            <w:r>
              <w:rPr/>
              <w:t> </w:t>
            </w:r>
          </w:p>
        </w:tc>
        <w:tc>
          <w:tcPr>
            <w:tcW w:w="20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581"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553"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481"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2082" w:type="dxa"/>
            <w:gridSpan w:val="3"/>
            <w:tcBorders/>
            <w:shd w:fill="CCEEFF" w:val="clear"/>
            <w:vAlign w:val="center"/>
          </w:tcPr>
          <w:p>
            <w:pPr>
              <w:pStyle w:val="TableContents"/>
              <w:spacing w:before="0" w:after="0"/>
              <w:ind w:left="0" w:right="0" w:firstLine="420"/>
              <w:rPr/>
            </w:pPr>
            <w:r>
              <w:rPr/>
              <w:t> </w:t>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35" w:type="dxa"/>
            <w:tcBorders/>
            <w:shd w:fill="auto" w:val="clear"/>
            <w:vAlign w:val="center"/>
          </w:tcPr>
          <w:p>
            <w:pPr>
              <w:pStyle w:val="TableContents"/>
              <w:spacing w:before="0" w:after="0"/>
              <w:jc w:val="right"/>
              <w:rPr>
                <w:rFonts w:ascii="inherit" w:hAnsi="inherit"/>
                <w:sz w:val="17"/>
              </w:rPr>
            </w:pPr>
            <w:r>
              <w:rPr>
                <w:rFonts w:ascii="inherit" w:hAnsi="inherit"/>
                <w:sz w:val="17"/>
              </w:rPr>
              <w:t>196,898</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21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59" w:type="dxa"/>
            <w:tcBorders/>
            <w:shd w:fill="auto" w:val="clear"/>
            <w:vAlign w:val="center"/>
          </w:tcPr>
          <w:p>
            <w:pPr>
              <w:pStyle w:val="TableContents"/>
              <w:spacing w:before="0" w:after="0"/>
              <w:jc w:val="right"/>
              <w:rPr>
                <w:rFonts w:ascii="inherit" w:hAnsi="inherit"/>
                <w:sz w:val="17"/>
              </w:rPr>
            </w:pPr>
            <w:r>
              <w:rPr>
                <w:rFonts w:ascii="inherit" w:hAnsi="inherit"/>
                <w:sz w:val="17"/>
              </w:rPr>
              <w:t>17,329</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6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5" w:type="dxa"/>
            <w:tcBorders/>
            <w:shd w:fill="auto" w:val="clear"/>
            <w:vAlign w:val="center"/>
          </w:tcPr>
          <w:p>
            <w:pPr>
              <w:pStyle w:val="TableContents"/>
              <w:spacing w:before="0" w:after="0"/>
              <w:jc w:val="right"/>
              <w:rPr>
                <w:rFonts w:ascii="inherit" w:hAnsi="inherit"/>
                <w:sz w:val="17"/>
              </w:rPr>
            </w:pPr>
            <w:r>
              <w:rPr>
                <w:rFonts w:ascii="inherit" w:hAnsi="inherit"/>
                <w:sz w:val="17"/>
              </w:rPr>
              <w:t>214,227</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138,068</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11,363</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13" w:type="dxa"/>
            <w:gridSpan w:val="2"/>
            <w:tcBorders/>
            <w:shd w:fill="CCEEFF" w:val="clear"/>
            <w:vAlign w:val="center"/>
          </w:tcPr>
          <w:p>
            <w:pPr>
              <w:pStyle w:val="TableContents"/>
              <w:spacing w:before="0" w:after="0"/>
              <w:jc w:val="right"/>
              <w:rPr/>
            </w:pPr>
            <w:r>
              <w:rPr/>
              <w:t>—</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149,431</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4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133,355</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11,589</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13" w:type="dxa"/>
            <w:gridSpan w:val="2"/>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144,944</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125,652</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70" w:type="dxa"/>
            <w:gridSpan w:val="2"/>
            <w:tcBorders/>
            <w:shd w:fill="CCEEFF" w:val="clear"/>
            <w:vAlign w:val="center"/>
          </w:tcPr>
          <w:p>
            <w:pPr>
              <w:pStyle w:val="TableContents"/>
              <w:spacing w:before="0" w:after="0"/>
              <w:jc w:val="right"/>
              <w:rPr/>
            </w:pPr>
            <w:r>
              <w:rPr/>
              <w:t>—</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13" w:type="dxa"/>
            <w:gridSpan w:val="2"/>
            <w:tcBorders/>
            <w:shd w:fill="CCEEFF" w:val="clear"/>
            <w:vAlign w:val="center"/>
          </w:tcPr>
          <w:p>
            <w:pPr>
              <w:pStyle w:val="TableContents"/>
              <w:spacing w:before="0" w:after="0"/>
              <w:jc w:val="right"/>
              <w:rPr/>
            </w:pPr>
            <w:r>
              <w:rPr/>
              <w:t>—</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125,652</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4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944</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1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978</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594,917</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40,315</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13" w:type="dxa"/>
            <w:gridSpan w:val="2"/>
            <w:tcBorders/>
            <w:shd w:fill="CCEEFF" w:val="clear"/>
            <w:vAlign w:val="center"/>
          </w:tcPr>
          <w:p>
            <w:pPr>
              <w:pStyle w:val="TableContents"/>
              <w:spacing w:before="0" w:after="0"/>
              <w:jc w:val="right"/>
              <w:rPr/>
            </w:pPr>
            <w:r>
              <w:rPr/>
              <w:t>—</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635,232</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4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112,605</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10,036</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13" w:type="dxa"/>
            <w:gridSpan w:val="2"/>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122,641</w:t>
            </w:r>
          </w:p>
        </w:tc>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87,416</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9,201</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13" w:type="dxa"/>
            <w:gridSpan w:val="2"/>
            <w:tcBorders/>
            <w:shd w:fill="CCEEFF" w:val="clear"/>
            <w:vAlign w:val="center"/>
          </w:tcPr>
          <w:p>
            <w:pPr>
              <w:pStyle w:val="TableContents"/>
              <w:spacing w:before="0" w:after="0"/>
              <w:jc w:val="right"/>
              <w:rPr/>
            </w:pPr>
            <w:r>
              <w:rPr/>
              <w:t>—</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96,617</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27,795</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7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1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27,795</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367,101</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21,078</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13" w:type="dxa"/>
            <w:gridSpan w:val="2"/>
            <w:tcBorders/>
            <w:shd w:fill="CCEEFF" w:val="clear"/>
            <w:vAlign w:val="center"/>
          </w:tcPr>
          <w:p>
            <w:pPr>
              <w:pStyle w:val="TableContents"/>
              <w:spacing w:before="0" w:after="0"/>
              <w:jc w:val="right"/>
              <w:rPr/>
            </w:pPr>
            <w:r>
              <w:rPr/>
              <w:t>—</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388,179</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581"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553"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481"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2082" w:type="dxa"/>
            <w:gridSpan w:val="3"/>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 operations</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182,769</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14,533</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13" w:type="dxa"/>
            <w:gridSpan w:val="2"/>
            <w:tcBorders/>
            <w:shd w:fill="CCEEFF" w:val="clear"/>
            <w:vAlign w:val="center"/>
          </w:tcPr>
          <w:p>
            <w:pPr>
              <w:pStyle w:val="TableContents"/>
              <w:spacing w:before="0" w:after="0"/>
              <w:jc w:val="right"/>
              <w:rPr/>
            </w:pPr>
            <w:r>
              <w:rPr/>
              <w:t>—</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197,302</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14,103</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3,030</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558</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17,691</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8,194</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1,723</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13" w:type="dxa"/>
            <w:gridSpan w:val="2"/>
            <w:tcBorders/>
            <w:shd w:fill="CCEEFF" w:val="clear"/>
            <w:vAlign w:val="center"/>
          </w:tcPr>
          <w:p>
            <w:pPr>
              <w:pStyle w:val="TableContents"/>
              <w:spacing w:before="0" w:after="0"/>
              <w:jc w:val="right"/>
              <w:rPr/>
            </w:pPr>
            <w:r>
              <w:rPr/>
              <w:t>—</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9,917</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4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353</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301</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13" w:type="dxa"/>
            <w:gridSpan w:val="2"/>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654</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(Gain)/loss on sale/disposal of assets</w:t>
            </w:r>
          </w:p>
        </w:tc>
        <w:tc>
          <w:tcPr>
            <w:tcW w:w="14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4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13" w:type="dxa"/>
            <w:gridSpan w:val="2"/>
            <w:tcBorders/>
            <w:shd w:fill="CCEEFF" w:val="clear"/>
            <w:vAlign w:val="center"/>
          </w:tcPr>
          <w:p>
            <w:pPr>
              <w:pStyle w:val="TableContents"/>
              <w:spacing w:before="0" w:after="0"/>
              <w:jc w:val="right"/>
              <w:rPr/>
            </w:pPr>
            <w:r>
              <w:rPr/>
              <w:t>—</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net</w:t>
            </w:r>
          </w:p>
        </w:tc>
        <w:tc>
          <w:tcPr>
            <w:tcW w:w="14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13" w:type="dxa"/>
            <w:gridSpan w:val="2"/>
            <w:tcBorders/>
            <w:shd w:fill="auto" w:val="clear"/>
            <w:vAlign w:val="center"/>
          </w:tcPr>
          <w:p>
            <w:pPr>
              <w:pStyle w:val="TableContents"/>
              <w:spacing w:before="0" w:after="0"/>
              <w:jc w:val="right"/>
              <w:rPr/>
            </w:pPr>
            <w:r>
              <w:rPr/>
              <w:t>—</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416" w:type="dxa"/>
            <w:gridSpan w:val="2"/>
            <w:tcBorders/>
            <w:shd w:fill="CCEEFF" w:val="clear"/>
            <w:vAlign w:val="center"/>
          </w:tcPr>
          <w:p>
            <w:pPr>
              <w:pStyle w:val="TableContents"/>
              <w:spacing w:before="0" w:after="0"/>
              <w:jc w:val="right"/>
              <w:rPr/>
            </w:pPr>
            <w:r>
              <w:rPr/>
              <w:t>—</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70" w:type="dxa"/>
            <w:gridSpan w:val="2"/>
            <w:tcBorders/>
            <w:shd w:fill="CCEEFF" w:val="clear"/>
            <w:vAlign w:val="center"/>
          </w:tcPr>
          <w:p>
            <w:pPr>
              <w:pStyle w:val="TableContents"/>
              <w:spacing w:before="0" w:after="0"/>
              <w:jc w:val="right"/>
              <w:rPr/>
            </w:pPr>
            <w:r>
              <w:rPr/>
              <w:t>—</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3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(12,157</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(12,157</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4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1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(168</w:t>
            </w:r>
          </w:p>
        </w:tc>
        <w:tc>
          <w:tcPr>
            <w:tcW w:w="16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w:t>
            </w:r>
          </w:p>
        </w:tc>
        <w:tc>
          <w:tcPr>
            <w:tcW w:w="80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35" w:type="dxa"/>
            <w:tcBorders/>
            <w:shd w:fill="CCEEFF" w:val="clear"/>
            <w:vAlign w:val="center"/>
          </w:tcPr>
          <w:p>
            <w:pPr>
              <w:pStyle w:val="TableContents"/>
              <w:spacing w:before="0" w:after="0"/>
              <w:jc w:val="right"/>
              <w:rPr>
                <w:rFonts w:ascii="inherit" w:hAnsi="inherit"/>
                <w:sz w:val="17"/>
              </w:rPr>
            </w:pPr>
            <w:r>
              <w:rPr>
                <w:rFonts w:ascii="inherit" w:hAnsi="inherit"/>
                <w:sz w:val="17"/>
              </w:rPr>
              <w:t>161,672</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21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59" w:type="dxa"/>
            <w:tcBorders/>
            <w:shd w:fill="CCEEFF" w:val="clear"/>
            <w:vAlign w:val="center"/>
          </w:tcPr>
          <w:p>
            <w:pPr>
              <w:pStyle w:val="TableContents"/>
              <w:spacing w:before="0" w:after="0"/>
              <w:jc w:val="right"/>
              <w:rPr>
                <w:rFonts w:ascii="inherit" w:hAnsi="inherit"/>
                <w:sz w:val="17"/>
              </w:rPr>
            </w:pPr>
            <w:r>
              <w:rPr>
                <w:rFonts w:ascii="inherit" w:hAnsi="inherit"/>
                <w:sz w:val="17"/>
              </w:rPr>
              <w:t>1,471</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8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CCEEFF" w:val="clear"/>
            <w:vAlign w:val="center"/>
          </w:tcPr>
          <w:p>
            <w:pPr>
              <w:pStyle w:val="TableContents"/>
              <w:spacing w:before="0" w:after="0"/>
              <w:jc w:val="right"/>
              <w:rPr>
                <w:rFonts w:ascii="inherit" w:hAnsi="inherit"/>
                <w:sz w:val="17"/>
              </w:rPr>
            </w:pPr>
            <w:r>
              <w:rPr>
                <w:rFonts w:ascii="inherit" w:hAnsi="inherit"/>
                <w:sz w:val="17"/>
              </w:rPr>
              <w:t>11,767</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5" w:type="dxa"/>
            <w:tcBorders/>
            <w:shd w:fill="CCEEFF" w:val="clear"/>
            <w:vAlign w:val="center"/>
          </w:tcPr>
          <w:p>
            <w:pPr>
              <w:pStyle w:val="TableContents"/>
              <w:spacing w:before="0" w:after="0"/>
              <w:jc w:val="right"/>
              <w:rPr>
                <w:rFonts w:ascii="inherit" w:hAnsi="inherit"/>
                <w:sz w:val="17"/>
              </w:rPr>
            </w:pPr>
            <w:r>
              <w:rPr>
                <w:rFonts w:ascii="inherit" w:hAnsi="inherit"/>
                <w:sz w:val="17"/>
              </w:rPr>
              <w:t>174,910</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581"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553"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481"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42,439</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taxes</w:t>
            </w:r>
          </w:p>
        </w:tc>
        <w:tc>
          <w:tcPr>
            <w:tcW w:w="1581"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553"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481"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132,471</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581"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553"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481"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46,677</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581"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553"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481"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85,794</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1581"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553"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481"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581"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553"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481"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6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85,794</w:t>
            </w:r>
          </w:p>
        </w:tc>
        <w:tc>
          <w:tcPr>
            <w:tcW w:w="80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sz w:val="17"/>
        </w:rPr>
      </w:pPr>
      <w:r>
        <w:rPr>
          <w:rFonts w:ascii="inherit" w:hAnsi="inherit"/>
          <w:sz w:val="17"/>
        </w:rPr>
        <w:t>9</w:t>
      </w:r>
      <w:r>
        <w:rPr>
          <w:sz w:val="17"/>
        </w:rPr>
        <w:t xml:space="preserve"> </w:t>
      </w:r>
      <w:r>
        <w:rPr>
          <w:rFonts w:ascii="inherit" w:hAnsi="inherit"/>
          <w:sz w:val="17"/>
        </w:rPr>
        <w:t>of 11</w:t>
      </w:r>
      <w:r>
        <w:br w:type="page"/>
      </w:r>
    </w:p>
    <w:p>
      <w:pPr>
        <w:pStyle w:val="TextBody"/>
        <w:spacing w:lineRule="auto" w:line="288" w:before="0" w:after="0"/>
        <w:rPr>
          <w:rFonts w:ascii="inherit" w:hAnsi="inherit"/>
          <w:sz w:val="17"/>
        </w:rPr>
      </w:pPr>
      <w:r>
        <w:rPr>
          <w:rFonts w:ascii="inherit" w:hAnsi="inherit"/>
          <w:sz w:val="17"/>
        </w:rPr>
      </w:r>
      <w:bookmarkStart w:id="36" w:name="s2B3C57968DD44F9516450048AE105679"/>
      <w:bookmarkStart w:id="37" w:name="s2B3C57968DD44F9516450048AE105679"/>
      <w:bookmarkEnd w:id="37"/>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Store Count Activity</w:t>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2234"/>
        <w:gridCol w:w="1280"/>
        <w:gridCol w:w="287"/>
        <w:gridCol w:w="127"/>
        <w:gridCol w:w="1259"/>
        <w:gridCol w:w="281"/>
        <w:gridCol w:w="127"/>
        <w:gridCol w:w="1427"/>
        <w:gridCol w:w="72"/>
        <w:gridCol w:w="127"/>
        <w:gridCol w:w="1286"/>
        <w:gridCol w:w="213"/>
        <w:gridCol w:w="127"/>
        <w:gridCol w:w="828"/>
        <w:gridCol w:w="530"/>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2234"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427"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34" w:type="dxa"/>
            <w:tcBorders/>
            <w:shd w:fill="auto" w:val="clear"/>
            <w:vAlign w:val="center"/>
          </w:tcPr>
          <w:p>
            <w:pPr>
              <w:pStyle w:val="TableContents"/>
              <w:spacing w:before="0" w:after="0"/>
              <w:ind w:left="0" w:right="0" w:firstLine="30"/>
              <w:jc w:val="left"/>
              <w:rPr/>
            </w:pPr>
            <w:r>
              <w:rPr/>
              <w:t> </w:t>
            </w:r>
          </w:p>
        </w:tc>
        <w:tc>
          <w:tcPr>
            <w:tcW w:w="7971"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Three Months Ended June 30, 2012</w:t>
            </w:r>
          </w:p>
        </w:tc>
      </w:tr>
      <w:tr>
        <w:trPr/>
        <w:tc>
          <w:tcPr>
            <w:tcW w:w="2234" w:type="dxa"/>
            <w:tcBorders/>
            <w:shd w:fill="auto" w:val="clear"/>
            <w:vAlign w:val="center"/>
          </w:tcPr>
          <w:p>
            <w:pPr>
              <w:pStyle w:val="TableContents"/>
              <w:spacing w:before="0" w:after="0"/>
              <w:ind w:left="0" w:right="0" w:firstLine="30"/>
              <w:jc w:val="left"/>
              <w:rPr/>
            </w:pPr>
            <w:r>
              <w:rPr/>
              <w:t> </w:t>
            </w:r>
          </w:p>
        </w:tc>
        <w:tc>
          <w:tcPr>
            <w:tcW w:w="6486"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Company-owned Stores</w:t>
            </w:r>
          </w:p>
        </w:tc>
        <w:tc>
          <w:tcPr>
            <w:tcW w:w="127" w:type="dxa"/>
            <w:tcBorders/>
            <w:shd w:fill="auto" w:val="clear"/>
            <w:vAlign w:val="center"/>
          </w:tcPr>
          <w:p>
            <w:pPr>
              <w:pStyle w:val="TableContents"/>
              <w:spacing w:before="0" w:after="0"/>
              <w:ind w:left="0" w:right="0" w:firstLine="30"/>
              <w:rPr/>
            </w:pPr>
            <w:r>
              <w:rPr/>
              <w:t> </w:t>
            </w:r>
          </w:p>
        </w:tc>
        <w:tc>
          <w:tcPr>
            <w:tcW w:w="135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Franchises</w:t>
            </w:r>
          </w:p>
        </w:tc>
      </w:tr>
      <w:tr>
        <w:trPr/>
        <w:tc>
          <w:tcPr>
            <w:tcW w:w="2234" w:type="dxa"/>
            <w:tcBorders/>
            <w:shd w:fill="auto" w:val="clear"/>
            <w:vAlign w:val="center"/>
          </w:tcPr>
          <w:p>
            <w:pPr>
              <w:pStyle w:val="TableContents"/>
              <w:spacing w:before="0" w:after="0"/>
              <w:ind w:left="0" w:right="0" w:firstLine="30"/>
              <w:jc w:val="left"/>
              <w:rPr/>
            </w:pPr>
            <w:r>
              <w:rPr/>
              <w:t> </w:t>
            </w:r>
          </w:p>
        </w:tc>
        <w:tc>
          <w:tcPr>
            <w:tcW w:w="1567"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U.S. &amp; Canada</w:t>
            </w:r>
          </w:p>
        </w:tc>
        <w:tc>
          <w:tcPr>
            <w:tcW w:w="127" w:type="dxa"/>
            <w:tcBorders/>
            <w:shd w:fill="auto" w:val="clear"/>
            <w:vAlign w:val="center"/>
          </w:tcPr>
          <w:p>
            <w:pPr>
              <w:pStyle w:val="TableContents"/>
              <w:spacing w:before="0" w:after="0"/>
              <w:ind w:left="0" w:right="0" w:firstLine="30"/>
              <w:rPr/>
            </w:pPr>
            <w:r>
              <w:rPr/>
              <w:t> </w:t>
            </w:r>
          </w:p>
        </w:tc>
        <w:tc>
          <w:tcPr>
            <w:tcW w:w="154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Latin America</w:t>
            </w:r>
          </w:p>
        </w:tc>
        <w:tc>
          <w:tcPr>
            <w:tcW w:w="127" w:type="dxa"/>
            <w:tcBorders/>
            <w:shd w:fill="auto" w:val="clear"/>
            <w:vAlign w:val="center"/>
          </w:tcPr>
          <w:p>
            <w:pPr>
              <w:pStyle w:val="TableContents"/>
              <w:spacing w:before="0" w:after="0"/>
              <w:ind w:left="0" w:right="0" w:firstLine="30"/>
              <w:rPr/>
            </w:pPr>
            <w:r>
              <w:rPr/>
              <w:t> </w:t>
            </w:r>
          </w:p>
        </w:tc>
        <w:tc>
          <w:tcPr>
            <w:tcW w:w="1427"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Other</w:t>
            </w:r>
          </w:p>
          <w:p>
            <w:pPr>
              <w:pStyle w:val="TableContents"/>
              <w:spacing w:before="0" w:after="0"/>
              <w:jc w:val="right"/>
              <w:rPr>
                <w:rFonts w:ascii="inherit" w:hAnsi="inherit"/>
                <w:sz w:val="13"/>
              </w:rPr>
            </w:pPr>
            <w:r>
              <w:rPr>
                <w:rFonts w:ascii="inherit" w:hAnsi="inherit"/>
                <w:sz w:val="13"/>
              </w:rPr>
              <w:t>International</w:t>
            </w:r>
          </w:p>
        </w:tc>
        <w:tc>
          <w:tcPr>
            <w:tcW w:w="7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9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c>
          <w:tcPr>
            <w:tcW w:w="127" w:type="dxa"/>
            <w:tcBorders/>
            <w:shd w:fill="auto" w:val="clear"/>
            <w:vAlign w:val="center"/>
          </w:tcPr>
          <w:p>
            <w:pPr>
              <w:pStyle w:val="TableContents"/>
              <w:spacing w:before="0" w:after="0"/>
              <w:ind w:left="0" w:right="0" w:firstLine="30"/>
              <w:rPr/>
            </w:pPr>
            <w:r>
              <w:rPr/>
              <w:t> </w:t>
            </w:r>
          </w:p>
        </w:tc>
        <w:tc>
          <w:tcPr>
            <w:tcW w:w="1358" w:type="dxa"/>
            <w:gridSpan w:val="2"/>
            <w:tcBorders/>
            <w:shd w:fill="auto" w:val="clear"/>
            <w:vAlign w:val="center"/>
          </w:tcPr>
          <w:p>
            <w:pPr>
              <w:pStyle w:val="TableContents"/>
              <w:spacing w:before="0" w:after="0"/>
              <w:ind w:left="0" w:right="0" w:firstLine="30"/>
              <w:jc w:val="left"/>
              <w:rPr/>
            </w:pPr>
            <w:r>
              <w:rPr/>
              <w:t> </w:t>
            </w:r>
          </w:p>
        </w:tc>
      </w:tr>
      <w:tr>
        <w:trPr/>
        <w:tc>
          <w:tcPr>
            <w:tcW w:w="22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28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970</w:t>
            </w:r>
          </w:p>
        </w:tc>
        <w:tc>
          <w:tcPr>
            <w:tcW w:w="28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25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250</w:t>
            </w:r>
          </w:p>
        </w:tc>
        <w:tc>
          <w:tcPr>
            <w:tcW w:w="28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27"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7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28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1,220</w:t>
            </w:r>
          </w:p>
        </w:tc>
        <w:tc>
          <w:tcPr>
            <w:tcW w:w="21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82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w:t>
            </w:r>
          </w:p>
        </w:tc>
        <w:tc>
          <w:tcPr>
            <w:tcW w:w="530" w:type="dxa"/>
            <w:tcBorders>
              <w:top w:val="single" w:sz="2" w:space="0" w:color="000000"/>
            </w:tcBorders>
            <w:shd w:fill="CCEEFF" w:val="clear"/>
            <w:tcMar>
              <w:top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280" w:type="dxa"/>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2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259" w:type="dxa"/>
            <w:tcBorders/>
            <w:shd w:fill="auto" w:val="clear"/>
            <w:vAlign w:val="center"/>
          </w:tcPr>
          <w:p>
            <w:pPr>
              <w:pStyle w:val="TableContents"/>
              <w:spacing w:before="0" w:after="0"/>
              <w:jc w:val="right"/>
              <w:rPr>
                <w:rFonts w:ascii="inherit" w:hAnsi="inherit"/>
                <w:sz w:val="17"/>
              </w:rPr>
            </w:pPr>
            <w:r>
              <w:rPr>
                <w:rFonts w:ascii="inherit" w:hAnsi="inherit"/>
                <w:sz w:val="17"/>
              </w:rPr>
              <w:t>19</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27" w:type="dxa"/>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286" w:type="dxa"/>
            <w:tcBorders/>
            <w:shd w:fill="auto" w:val="clear"/>
            <w:vAlign w:val="center"/>
          </w:tcPr>
          <w:p>
            <w:pPr>
              <w:pStyle w:val="TableContents"/>
              <w:spacing w:before="0" w:after="0"/>
              <w:jc w:val="right"/>
              <w:rPr>
                <w:rFonts w:ascii="inherit" w:hAnsi="inherit"/>
                <w:sz w:val="17"/>
              </w:rPr>
            </w:pPr>
            <w:r>
              <w:rPr>
                <w:rFonts w:ascii="inherit" w:hAnsi="inherit"/>
                <w:sz w:val="17"/>
              </w:rPr>
              <w:t>23</w:t>
            </w:r>
          </w:p>
        </w:tc>
        <w:tc>
          <w:tcPr>
            <w:tcW w:w="2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828" w:type="dxa"/>
            <w:tcBorders/>
            <w:shd w:fill="auto" w:val="clear"/>
            <w:vAlign w:val="center"/>
          </w:tcPr>
          <w:p>
            <w:pPr>
              <w:pStyle w:val="TableContents"/>
              <w:spacing w:before="0" w:after="0"/>
              <w:jc w:val="right"/>
              <w:rPr/>
            </w:pPr>
            <w:r>
              <w:rPr/>
              <w:t>—</w:t>
            </w:r>
          </w:p>
        </w:tc>
        <w:tc>
          <w:tcPr>
            <w:tcW w:w="53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280" w:type="dxa"/>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2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259" w:type="dxa"/>
            <w:tcBorders/>
            <w:shd w:fill="CCEEFF" w:val="clear"/>
            <w:vAlign w:val="center"/>
          </w:tcPr>
          <w:p>
            <w:pPr>
              <w:pStyle w:val="TableContents"/>
              <w:spacing w:before="0" w:after="0"/>
              <w:jc w:val="right"/>
              <w:rPr/>
            </w:pPr>
            <w:r>
              <w:rPr/>
              <w:t>—</w:t>
            </w:r>
          </w:p>
        </w:tc>
        <w:tc>
          <w:tcPr>
            <w:tcW w:w="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27" w:type="dxa"/>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286" w:type="dxa"/>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2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828" w:type="dxa"/>
            <w:tcBorders/>
            <w:shd w:fill="CCEEFF" w:val="clear"/>
            <w:vAlign w:val="center"/>
          </w:tcPr>
          <w:p>
            <w:pPr>
              <w:pStyle w:val="TableContents"/>
              <w:spacing w:before="0" w:after="0"/>
              <w:jc w:val="right"/>
              <w:rPr/>
            </w:pPr>
            <w:r>
              <w:rPr/>
              <w:t>—</w:t>
            </w:r>
          </w:p>
        </w:tc>
        <w:tc>
          <w:tcPr>
            <w:tcW w:w="53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28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28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auto" w:val="clear"/>
            <w:vAlign w:val="center"/>
          </w:tcPr>
          <w:p>
            <w:pPr>
              <w:pStyle w:val="TableContents"/>
              <w:spacing w:before="0" w:after="0"/>
              <w:ind w:left="0" w:right="0" w:firstLine="30"/>
              <w:rPr/>
            </w:pPr>
            <w:r>
              <w:rPr/>
              <w:t> </w:t>
            </w:r>
          </w:p>
        </w:tc>
        <w:tc>
          <w:tcPr>
            <w:tcW w:w="1259"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28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auto" w:val="clear"/>
            <w:vAlign w:val="center"/>
          </w:tcPr>
          <w:p>
            <w:pPr>
              <w:pStyle w:val="TableContents"/>
              <w:spacing w:before="0" w:after="0"/>
              <w:ind w:left="0" w:right="0" w:firstLine="30"/>
              <w:rPr/>
            </w:pPr>
            <w:r>
              <w:rPr/>
              <w:t> </w:t>
            </w:r>
          </w:p>
        </w:tc>
        <w:tc>
          <w:tcPr>
            <w:tcW w:w="1427"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286"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21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auto" w:val="clear"/>
            <w:vAlign w:val="center"/>
          </w:tcPr>
          <w:p>
            <w:pPr>
              <w:pStyle w:val="TableContents"/>
              <w:spacing w:before="0" w:after="0"/>
              <w:ind w:left="0" w:right="0" w:firstLine="30"/>
              <w:rPr/>
            </w:pPr>
            <w:r>
              <w:rPr/>
              <w:t> </w:t>
            </w:r>
          </w:p>
        </w:tc>
        <w:tc>
          <w:tcPr>
            <w:tcW w:w="828"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5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280" w:type="dxa"/>
            <w:tcBorders/>
            <w:shd w:fill="CCEEFF" w:val="clear"/>
            <w:vAlign w:val="center"/>
          </w:tcPr>
          <w:p>
            <w:pPr>
              <w:pStyle w:val="TableContents"/>
              <w:spacing w:before="0" w:after="0"/>
              <w:jc w:val="right"/>
              <w:rPr>
                <w:rFonts w:ascii="inherit" w:hAnsi="inherit"/>
                <w:sz w:val="17"/>
              </w:rPr>
            </w:pPr>
            <w:r>
              <w:rPr>
                <w:rFonts w:ascii="inherit" w:hAnsi="inherit"/>
                <w:sz w:val="17"/>
              </w:rPr>
              <w:t>982</w:t>
            </w:r>
          </w:p>
        </w:tc>
        <w:tc>
          <w:tcPr>
            <w:tcW w:w="2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25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268</w:t>
            </w:r>
          </w:p>
        </w:tc>
        <w:tc>
          <w:tcPr>
            <w:tcW w:w="28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27"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7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28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1,250</w:t>
            </w:r>
          </w:p>
        </w:tc>
        <w:tc>
          <w:tcPr>
            <w:tcW w:w="21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82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5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34" w:type="dxa"/>
            <w:tcBorders/>
            <w:shd w:fill="auto" w:val="clear"/>
            <w:vAlign w:val="center"/>
          </w:tcPr>
          <w:p>
            <w:pPr>
              <w:pStyle w:val="TableContents"/>
              <w:spacing w:before="0" w:after="0"/>
              <w:ind w:left="0" w:right="0" w:firstLine="30"/>
              <w:rPr/>
            </w:pPr>
            <w:r>
              <w:rPr/>
              <w:t> </w:t>
            </w:r>
          </w:p>
        </w:tc>
        <w:tc>
          <w:tcPr>
            <w:tcW w:w="1567" w:type="dxa"/>
            <w:gridSpan w:val="2"/>
            <w:tcBorders>
              <w:top w:val="double" w:sz="6"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7" w:type="dxa"/>
            <w:tcBorders>
              <w:top w:val="double" w:sz="6"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540" w:type="dxa"/>
            <w:gridSpan w:val="2"/>
            <w:tcBorders>
              <w:top w:val="double" w:sz="6"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7" w:type="dxa"/>
            <w:tcBorders>
              <w:top w:val="double" w:sz="6"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99" w:type="dxa"/>
            <w:gridSpan w:val="2"/>
            <w:tcBorders>
              <w:top w:val="double" w:sz="6"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7" w:type="dxa"/>
            <w:tcBorders>
              <w:top w:val="double" w:sz="6"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99" w:type="dxa"/>
            <w:gridSpan w:val="2"/>
            <w:tcBorders>
              <w:top w:val="double" w:sz="6"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7" w:type="dxa"/>
            <w:tcBorders>
              <w:top w:val="double" w:sz="6"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358" w:type="dxa"/>
            <w:gridSpan w:val="2"/>
            <w:tcBorders>
              <w:top w:val="double" w:sz="6"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r>
      <w:tr>
        <w:trPr/>
        <w:tc>
          <w:tcPr>
            <w:tcW w:w="2234" w:type="dxa"/>
            <w:tcBorders/>
            <w:shd w:fill="CCEEFF" w:val="clear"/>
            <w:vAlign w:val="center"/>
          </w:tcPr>
          <w:p>
            <w:pPr>
              <w:pStyle w:val="TableContents"/>
              <w:spacing w:before="0" w:after="0"/>
              <w:ind w:left="0" w:right="0" w:firstLine="30"/>
              <w:jc w:val="left"/>
              <w:rPr/>
            </w:pPr>
            <w:r>
              <w:rPr/>
              <w:t> </w:t>
            </w:r>
          </w:p>
        </w:tc>
        <w:tc>
          <w:tcPr>
            <w:tcW w:w="7971" w:type="dxa"/>
            <w:gridSpan w:val="14"/>
            <w:tcBorders>
              <w:bottom w:val="single" w:sz="2" w:space="0" w:color="000000"/>
            </w:tcBorders>
            <w:shd w:fill="CCEEFF"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Nine Months Ended June 30, 2012</w:t>
            </w:r>
          </w:p>
        </w:tc>
      </w:tr>
      <w:tr>
        <w:trPr/>
        <w:tc>
          <w:tcPr>
            <w:tcW w:w="2234" w:type="dxa"/>
            <w:tcBorders/>
            <w:shd w:fill="auto" w:val="clear"/>
            <w:vAlign w:val="center"/>
          </w:tcPr>
          <w:p>
            <w:pPr>
              <w:pStyle w:val="TableContents"/>
              <w:spacing w:before="0" w:after="0"/>
              <w:ind w:left="0" w:right="0" w:firstLine="30"/>
              <w:jc w:val="left"/>
              <w:rPr/>
            </w:pPr>
            <w:r>
              <w:rPr/>
              <w:t> </w:t>
            </w:r>
          </w:p>
        </w:tc>
        <w:tc>
          <w:tcPr>
            <w:tcW w:w="6486"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Company-owned Stores</w:t>
            </w:r>
          </w:p>
        </w:tc>
        <w:tc>
          <w:tcPr>
            <w:tcW w:w="127" w:type="dxa"/>
            <w:tcBorders/>
            <w:shd w:fill="auto" w:val="clear"/>
            <w:vAlign w:val="center"/>
          </w:tcPr>
          <w:p>
            <w:pPr>
              <w:pStyle w:val="TableContents"/>
              <w:spacing w:before="0" w:after="0"/>
              <w:ind w:left="0" w:right="0" w:firstLine="30"/>
              <w:rPr/>
            </w:pPr>
            <w:r>
              <w:rPr/>
              <w:t> </w:t>
            </w:r>
          </w:p>
        </w:tc>
        <w:tc>
          <w:tcPr>
            <w:tcW w:w="135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Franchises</w:t>
            </w:r>
          </w:p>
        </w:tc>
      </w:tr>
      <w:tr>
        <w:trPr/>
        <w:tc>
          <w:tcPr>
            <w:tcW w:w="2234" w:type="dxa"/>
            <w:tcBorders/>
            <w:shd w:fill="CCEEFF" w:val="clear"/>
            <w:vAlign w:val="center"/>
          </w:tcPr>
          <w:p>
            <w:pPr>
              <w:pStyle w:val="TableContents"/>
              <w:spacing w:before="0" w:after="0"/>
              <w:ind w:left="0" w:right="0" w:firstLine="30"/>
              <w:jc w:val="left"/>
              <w:rPr/>
            </w:pPr>
            <w:r>
              <w:rPr/>
              <w:t> </w:t>
            </w:r>
          </w:p>
        </w:tc>
        <w:tc>
          <w:tcPr>
            <w:tcW w:w="1567" w:type="dxa"/>
            <w:gridSpan w:val="2"/>
            <w:tcBorders>
              <w:bottom w:val="single" w:sz="2" w:space="0" w:color="000000"/>
            </w:tcBorders>
            <w:shd w:fill="CCEEFF"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U.S. &amp; Canada</w:t>
            </w:r>
          </w:p>
        </w:tc>
        <w:tc>
          <w:tcPr>
            <w:tcW w:w="127" w:type="dxa"/>
            <w:tcBorders/>
            <w:shd w:fill="CCEEFF" w:val="clear"/>
            <w:vAlign w:val="center"/>
          </w:tcPr>
          <w:p>
            <w:pPr>
              <w:pStyle w:val="TableContents"/>
              <w:spacing w:before="0" w:after="0"/>
              <w:ind w:left="0" w:right="0" w:firstLine="30"/>
              <w:rPr/>
            </w:pPr>
            <w:r>
              <w:rPr/>
              <w:t> </w:t>
            </w:r>
          </w:p>
        </w:tc>
        <w:tc>
          <w:tcPr>
            <w:tcW w:w="1540" w:type="dxa"/>
            <w:gridSpan w:val="2"/>
            <w:tcBorders>
              <w:bottom w:val="single" w:sz="2" w:space="0" w:color="000000"/>
            </w:tcBorders>
            <w:shd w:fill="CCEEFF"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Latin America</w:t>
            </w:r>
          </w:p>
        </w:tc>
        <w:tc>
          <w:tcPr>
            <w:tcW w:w="127" w:type="dxa"/>
            <w:tcBorders/>
            <w:shd w:fill="CCEEFF" w:val="clear"/>
            <w:vAlign w:val="center"/>
          </w:tcPr>
          <w:p>
            <w:pPr>
              <w:pStyle w:val="TableContents"/>
              <w:spacing w:before="0" w:after="0"/>
              <w:ind w:left="0" w:right="0" w:firstLine="30"/>
              <w:rPr/>
            </w:pPr>
            <w:r>
              <w:rPr/>
              <w:t> </w:t>
            </w:r>
          </w:p>
        </w:tc>
        <w:tc>
          <w:tcPr>
            <w:tcW w:w="1499"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International</w:t>
            </w:r>
          </w:p>
        </w:tc>
        <w:tc>
          <w:tcPr>
            <w:tcW w:w="127" w:type="dxa"/>
            <w:tcBorders/>
            <w:shd w:fill="CCEEFF" w:val="clear"/>
            <w:vAlign w:val="center"/>
          </w:tcPr>
          <w:p>
            <w:pPr>
              <w:pStyle w:val="TableContents"/>
              <w:spacing w:before="0" w:after="0"/>
              <w:ind w:left="0" w:right="0" w:firstLine="30"/>
              <w:rPr/>
            </w:pPr>
            <w:r>
              <w:rPr/>
              <w:t> </w:t>
            </w:r>
          </w:p>
        </w:tc>
        <w:tc>
          <w:tcPr>
            <w:tcW w:w="1499"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c>
          <w:tcPr>
            <w:tcW w:w="127" w:type="dxa"/>
            <w:tcBorders/>
            <w:shd w:fill="CCEEFF" w:val="clear"/>
            <w:vAlign w:val="center"/>
          </w:tcPr>
          <w:p>
            <w:pPr>
              <w:pStyle w:val="TableContents"/>
              <w:spacing w:before="0" w:after="0"/>
              <w:ind w:left="0" w:right="0" w:firstLine="30"/>
              <w:rPr/>
            </w:pPr>
            <w:r>
              <w:rPr/>
              <w:t> </w:t>
            </w:r>
          </w:p>
        </w:tc>
        <w:tc>
          <w:tcPr>
            <w:tcW w:w="1358" w:type="dxa"/>
            <w:gridSpan w:val="2"/>
            <w:tcBorders/>
            <w:shd w:fill="CCEEFF" w:val="clear"/>
            <w:vAlign w:val="center"/>
          </w:tcPr>
          <w:p>
            <w:pPr>
              <w:pStyle w:val="TableContents"/>
              <w:spacing w:before="0" w:after="0"/>
              <w:ind w:left="0" w:right="0" w:firstLine="30"/>
              <w:jc w:val="left"/>
              <w:rPr/>
            </w:pPr>
            <w:r>
              <w:rPr/>
              <w:t> </w:t>
            </w:r>
          </w:p>
        </w:tc>
      </w:tr>
      <w:tr>
        <w:trPr/>
        <w:tc>
          <w:tcPr>
            <w:tcW w:w="22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280"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933</w:t>
            </w:r>
          </w:p>
        </w:tc>
        <w:tc>
          <w:tcPr>
            <w:tcW w:w="28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259"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178</w:t>
            </w:r>
          </w:p>
        </w:tc>
        <w:tc>
          <w:tcPr>
            <w:tcW w:w="28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27" w:type="dxa"/>
            <w:tcBorders>
              <w:top w:val="single" w:sz="2" w:space="0" w:color="000000"/>
            </w:tcBorders>
            <w:shd w:fill="auto" w:val="clear"/>
            <w:tcMar>
              <w:top w:w="30" w:type="dxa"/>
            </w:tcMar>
            <w:vAlign w:val="center"/>
          </w:tcPr>
          <w:p>
            <w:pPr>
              <w:pStyle w:val="TableContents"/>
              <w:spacing w:before="0" w:after="0"/>
              <w:jc w:val="right"/>
              <w:rPr/>
            </w:pPr>
            <w:r>
              <w:rPr/>
              <w:t>—</w:t>
            </w:r>
          </w:p>
        </w:tc>
        <w:tc>
          <w:tcPr>
            <w:tcW w:w="7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286"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1,111</w:t>
            </w:r>
          </w:p>
        </w:tc>
        <w:tc>
          <w:tcPr>
            <w:tcW w:w="21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828"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13</w:t>
            </w:r>
          </w:p>
        </w:tc>
        <w:tc>
          <w:tcPr>
            <w:tcW w:w="530" w:type="dxa"/>
            <w:tcBorders>
              <w:top w:val="single" w:sz="2" w:space="0" w:color="000000"/>
            </w:tcBorders>
            <w:shd w:fill="auto" w:val="clear"/>
            <w:tcMar>
              <w:top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280" w:type="dxa"/>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2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259" w:type="dxa"/>
            <w:tcBorders/>
            <w:shd w:fill="CCEEFF" w:val="clear"/>
            <w:vAlign w:val="center"/>
          </w:tcPr>
          <w:p>
            <w:pPr>
              <w:pStyle w:val="TableContents"/>
              <w:spacing w:before="0" w:after="0"/>
              <w:jc w:val="right"/>
              <w:rPr>
                <w:rFonts w:ascii="inherit" w:hAnsi="inherit"/>
                <w:sz w:val="17"/>
              </w:rPr>
            </w:pPr>
            <w:r>
              <w:rPr>
                <w:rFonts w:ascii="inherit" w:hAnsi="inherit"/>
                <w:sz w:val="17"/>
              </w:rPr>
              <w:t>46</w:t>
            </w:r>
          </w:p>
        </w:tc>
        <w:tc>
          <w:tcPr>
            <w:tcW w:w="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27" w:type="dxa"/>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286" w:type="dxa"/>
            <w:tcBorders/>
            <w:shd w:fill="CCEEFF" w:val="clear"/>
            <w:vAlign w:val="center"/>
          </w:tcPr>
          <w:p>
            <w:pPr>
              <w:pStyle w:val="TableContents"/>
              <w:spacing w:before="0" w:after="0"/>
              <w:jc w:val="right"/>
              <w:rPr>
                <w:rFonts w:ascii="inherit" w:hAnsi="inherit"/>
                <w:sz w:val="17"/>
              </w:rPr>
            </w:pPr>
            <w:r>
              <w:rPr>
                <w:rFonts w:ascii="inherit" w:hAnsi="inherit"/>
                <w:sz w:val="17"/>
              </w:rPr>
              <w:t>58</w:t>
            </w:r>
          </w:p>
        </w:tc>
        <w:tc>
          <w:tcPr>
            <w:tcW w:w="2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828" w:type="dxa"/>
            <w:tcBorders/>
            <w:shd w:fill="CCEEFF" w:val="clear"/>
            <w:vAlign w:val="center"/>
          </w:tcPr>
          <w:p>
            <w:pPr>
              <w:pStyle w:val="TableContents"/>
              <w:spacing w:before="0" w:after="0"/>
              <w:jc w:val="right"/>
              <w:rPr/>
            </w:pPr>
            <w:r>
              <w:rPr/>
              <w:t>—</w:t>
            </w:r>
          </w:p>
        </w:tc>
        <w:tc>
          <w:tcPr>
            <w:tcW w:w="53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280" w:type="dxa"/>
            <w:tcBorders/>
            <w:shd w:fill="auto" w:val="clear"/>
            <w:vAlign w:val="center"/>
          </w:tcPr>
          <w:p>
            <w:pPr>
              <w:pStyle w:val="TableContents"/>
              <w:spacing w:before="0" w:after="0"/>
              <w:jc w:val="right"/>
              <w:rPr>
                <w:rFonts w:ascii="inherit" w:hAnsi="inherit"/>
                <w:sz w:val="17"/>
              </w:rPr>
            </w:pPr>
            <w:r>
              <w:rPr>
                <w:rFonts w:ascii="inherit" w:hAnsi="inherit"/>
                <w:sz w:val="17"/>
              </w:rPr>
              <w:t>49</w:t>
            </w:r>
          </w:p>
        </w:tc>
        <w:tc>
          <w:tcPr>
            <w:tcW w:w="2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259" w:type="dxa"/>
            <w:tcBorders/>
            <w:shd w:fill="auto" w:val="clear"/>
            <w:vAlign w:val="center"/>
          </w:tcPr>
          <w:p>
            <w:pPr>
              <w:pStyle w:val="TableContents"/>
              <w:spacing w:before="0" w:after="0"/>
              <w:jc w:val="right"/>
              <w:rPr>
                <w:rFonts w:ascii="inherit" w:hAnsi="inherit"/>
                <w:sz w:val="17"/>
              </w:rPr>
            </w:pPr>
            <w:r>
              <w:rPr>
                <w:rFonts w:ascii="inherit" w:hAnsi="inherit"/>
                <w:sz w:val="17"/>
              </w:rPr>
              <w:t>45</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27" w:type="dxa"/>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286" w:type="dxa"/>
            <w:tcBorders/>
            <w:shd w:fill="auto" w:val="clear"/>
            <w:vAlign w:val="center"/>
          </w:tcPr>
          <w:p>
            <w:pPr>
              <w:pStyle w:val="TableContents"/>
              <w:spacing w:before="0" w:after="0"/>
              <w:jc w:val="right"/>
              <w:rPr>
                <w:rFonts w:ascii="inherit" w:hAnsi="inherit"/>
                <w:sz w:val="17"/>
              </w:rPr>
            </w:pPr>
            <w:r>
              <w:rPr>
                <w:rFonts w:ascii="inherit" w:hAnsi="inherit"/>
                <w:sz w:val="17"/>
              </w:rPr>
              <w:t>94</w:t>
            </w:r>
          </w:p>
        </w:tc>
        <w:tc>
          <w:tcPr>
            <w:tcW w:w="2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828" w:type="dxa"/>
            <w:tcBorders/>
            <w:shd w:fill="auto" w:val="clear"/>
            <w:vAlign w:val="center"/>
          </w:tcPr>
          <w:p>
            <w:pPr>
              <w:pStyle w:val="TableContents"/>
              <w:spacing w:before="0" w:after="0"/>
              <w:jc w:val="right"/>
              <w:rPr/>
            </w:pPr>
            <w:r>
              <w:rPr/>
              <w:t>—</w:t>
            </w:r>
          </w:p>
        </w:tc>
        <w:tc>
          <w:tcPr>
            <w:tcW w:w="53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28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28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CCEEFF" w:val="clear"/>
            <w:vAlign w:val="center"/>
          </w:tcPr>
          <w:p>
            <w:pPr>
              <w:pStyle w:val="TableContents"/>
              <w:spacing w:before="0" w:after="0"/>
              <w:ind w:left="0" w:right="0" w:firstLine="30"/>
              <w:rPr/>
            </w:pPr>
            <w:r>
              <w:rPr/>
              <w:t> </w:t>
            </w:r>
          </w:p>
        </w:tc>
        <w:tc>
          <w:tcPr>
            <w:tcW w:w="1259"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28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CCEEFF" w:val="clear"/>
            <w:vAlign w:val="center"/>
          </w:tcPr>
          <w:p>
            <w:pPr>
              <w:pStyle w:val="TableContents"/>
              <w:spacing w:before="0" w:after="0"/>
              <w:ind w:left="0" w:right="0" w:firstLine="30"/>
              <w:rPr/>
            </w:pPr>
            <w:r>
              <w:rPr/>
              <w:t> </w:t>
            </w:r>
          </w:p>
        </w:tc>
        <w:tc>
          <w:tcPr>
            <w:tcW w:w="1427"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28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w:t>
            </w:r>
          </w:p>
        </w:tc>
        <w:tc>
          <w:tcPr>
            <w:tcW w:w="21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CCEEFF" w:val="clear"/>
            <w:vAlign w:val="center"/>
          </w:tcPr>
          <w:p>
            <w:pPr>
              <w:pStyle w:val="TableContents"/>
              <w:spacing w:before="0" w:after="0"/>
              <w:ind w:left="0" w:right="0" w:firstLine="30"/>
              <w:rPr/>
            </w:pPr>
            <w:r>
              <w:rPr/>
              <w:t> </w:t>
            </w:r>
          </w:p>
        </w:tc>
        <w:tc>
          <w:tcPr>
            <w:tcW w:w="82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53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2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28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982</w:t>
            </w:r>
          </w:p>
        </w:tc>
        <w:tc>
          <w:tcPr>
            <w:tcW w:w="28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25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268</w:t>
            </w:r>
          </w:p>
        </w:tc>
        <w:tc>
          <w:tcPr>
            <w:tcW w:w="28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2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7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2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1,250</w:t>
            </w:r>
          </w:p>
        </w:tc>
        <w:tc>
          <w:tcPr>
            <w:tcW w:w="21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82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5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sz w:val="17"/>
        </w:rPr>
      </w:pPr>
      <w:r>
        <w:rPr>
          <w:rFonts w:ascii="inherit" w:hAnsi="inherit"/>
          <w:sz w:val="17"/>
        </w:rPr>
        <w:t>10</w:t>
      </w:r>
      <w:r>
        <w:rPr>
          <w:sz w:val="17"/>
        </w:rPr>
        <w:t xml:space="preserve"> </w:t>
      </w:r>
      <w:r>
        <w:rPr>
          <w:rFonts w:ascii="inherit" w:hAnsi="inherit"/>
          <w:sz w:val="17"/>
        </w:rPr>
        <w:t>of 11</w:t>
      </w:r>
      <w:r>
        <w:br w:type="page"/>
      </w:r>
    </w:p>
    <w:p>
      <w:pPr>
        <w:pStyle w:val="TextBody"/>
        <w:spacing w:lineRule="auto" w:line="288" w:before="0" w:after="0"/>
        <w:rPr>
          <w:rFonts w:ascii="inherit" w:hAnsi="inherit"/>
          <w:sz w:val="17"/>
        </w:rPr>
      </w:pPr>
      <w:r>
        <w:rPr>
          <w:rFonts w:ascii="inherit" w:hAnsi="inherit"/>
          <w:sz w:val="17"/>
        </w:rPr>
      </w:r>
      <w:bookmarkStart w:id="38" w:name="sF4153874F98B8131C2060048AE0A9362"/>
      <w:bookmarkStart w:id="39" w:name="sF4153874F98B8131C2060048AE0A9362"/>
      <w:bookmarkEnd w:id="39"/>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Reconciliation of GAAP to Non-GAAP Results (Unaudited)</w:t>
      </w:r>
    </w:p>
    <w:p>
      <w:pPr>
        <w:pStyle w:val="TextBody"/>
        <w:spacing w:lineRule="auto" w:line="288" w:before="0" w:after="0"/>
        <w:jc w:val="center"/>
        <w:rPr>
          <w:rFonts w:ascii="inherit" w:hAnsi="inherit"/>
          <w:i/>
          <w:sz w:val="17"/>
        </w:rPr>
      </w:pPr>
      <w:r>
        <w:rPr>
          <w:rFonts w:ascii="inherit" w:hAnsi="inherit"/>
          <w:i/>
          <w:sz w:val="17"/>
        </w:rPr>
        <w:t>(in thousands, except per share data)</w:t>
      </w:r>
    </w:p>
    <w:p>
      <w:pPr>
        <w:pStyle w:val="TextBody"/>
        <w:spacing w:lineRule="auto" w:line="288" w:before="0" w:after="0"/>
        <w:rPr>
          <w:rFonts w:ascii="inherit" w:hAnsi="inherit"/>
          <w:sz w:val="17"/>
        </w:rPr>
      </w:pPr>
      <w:r>
        <w:rPr>
          <w:rFonts w:ascii="inherit" w:hAnsi="inherit"/>
          <w:sz w:val="17"/>
        </w:rPr>
        <w:t>The following tables provide a reconciliation of the differences between the reported or projected non-GAAP financial measures for the periods indicated and the most comparable GAAP financial measures. The non-GAAP financial measures presented may not be directly comparable to similarly titled measures reported by other companies and their usefulness for such purposes are therefore limited. EZCORP management believes presentation of the non-GAAP financial measures enhances investors’ ability to analyze the Company’s operating results. However, non-GAAP financial measures are not an alternative to GAAP financial measures and should be read only in conjunction with financial measures presented on a GAAP basis.</w:t>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1745"/>
        <w:gridCol w:w="146"/>
        <w:gridCol w:w="966"/>
        <w:gridCol w:w="132"/>
        <w:gridCol w:w="113"/>
        <w:gridCol w:w="298"/>
        <w:gridCol w:w="871"/>
        <w:gridCol w:w="93"/>
        <w:gridCol w:w="113"/>
        <w:gridCol w:w="146"/>
        <w:gridCol w:w="966"/>
        <w:gridCol w:w="132"/>
        <w:gridCol w:w="113"/>
        <w:gridCol w:w="146"/>
        <w:gridCol w:w="966"/>
        <w:gridCol w:w="132"/>
        <w:gridCol w:w="113"/>
        <w:gridCol w:w="183"/>
        <w:gridCol w:w="913"/>
        <w:gridCol w:w="167"/>
        <w:gridCol w:w="113"/>
        <w:gridCol w:w="146"/>
        <w:gridCol w:w="966"/>
        <w:gridCol w:w="526"/>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17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45" w:type="dxa"/>
            <w:tcBorders/>
            <w:shd w:fill="auto" w:val="clear"/>
            <w:vAlign w:val="center"/>
          </w:tcPr>
          <w:p>
            <w:pPr>
              <w:pStyle w:val="TableContents"/>
              <w:spacing w:before="0" w:after="0"/>
              <w:ind w:left="0" w:right="0" w:firstLine="30"/>
              <w:jc w:val="left"/>
              <w:rPr/>
            </w:pPr>
            <w:r>
              <w:rPr/>
              <w:t> </w:t>
            </w:r>
          </w:p>
        </w:tc>
        <w:tc>
          <w:tcPr>
            <w:tcW w:w="3976"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2012</w:t>
            </w:r>
          </w:p>
        </w:tc>
        <w:tc>
          <w:tcPr>
            <w:tcW w:w="113" w:type="dxa"/>
            <w:tcBorders/>
            <w:shd w:fill="auto" w:val="clear"/>
            <w:vAlign w:val="center"/>
          </w:tcPr>
          <w:p>
            <w:pPr>
              <w:pStyle w:val="TableContents"/>
              <w:spacing w:before="0" w:after="0"/>
              <w:ind w:left="0" w:right="0" w:firstLine="30"/>
              <w:rPr/>
            </w:pPr>
            <w:r>
              <w:rPr/>
              <w:t> </w:t>
            </w:r>
          </w:p>
        </w:tc>
        <w:tc>
          <w:tcPr>
            <w:tcW w:w="4371"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2011</w:t>
            </w:r>
          </w:p>
        </w:tc>
      </w:tr>
      <w:tr>
        <w:trPr/>
        <w:tc>
          <w:tcPr>
            <w:tcW w:w="1745" w:type="dxa"/>
            <w:tcBorders/>
            <w:shd w:fill="auto" w:val="clear"/>
            <w:vAlign w:val="center"/>
          </w:tcPr>
          <w:p>
            <w:pPr>
              <w:pStyle w:val="TableContents"/>
              <w:spacing w:before="0" w:after="0"/>
              <w:rPr/>
            </w:pPr>
            <w:r>
              <w:rPr/>
              <w:t> </w:t>
            </w:r>
          </w:p>
        </w:tc>
        <w:tc>
          <w:tcPr>
            <w:tcW w:w="12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GAAP</w:t>
            </w:r>
          </w:p>
        </w:tc>
        <w:tc>
          <w:tcPr>
            <w:tcW w:w="113" w:type="dxa"/>
            <w:tcBorders/>
            <w:shd w:fill="auto" w:val="clear"/>
            <w:vAlign w:val="center"/>
          </w:tcPr>
          <w:p>
            <w:pPr>
              <w:pStyle w:val="TableContents"/>
              <w:spacing w:before="0" w:after="0"/>
              <w:ind w:left="0" w:right="0" w:firstLine="30"/>
              <w:rPr/>
            </w:pPr>
            <w:r>
              <w:rPr/>
              <w:t> </w:t>
            </w:r>
          </w:p>
        </w:tc>
        <w:tc>
          <w:tcPr>
            <w:tcW w:w="126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Non-GAAP</w:t>
            </w:r>
          </w:p>
          <w:p>
            <w:pPr>
              <w:pStyle w:val="TableContents"/>
              <w:spacing w:before="0" w:after="0"/>
              <w:ind w:left="0" w:right="0" w:firstLine="30"/>
              <w:jc w:val="center"/>
              <w:rPr>
                <w:rFonts w:ascii="inherit" w:hAnsi="inherit"/>
                <w:sz w:val="13"/>
              </w:rPr>
            </w:pPr>
            <w:r>
              <w:rPr>
                <w:rFonts w:ascii="inherit" w:hAnsi="inherit"/>
                <w:sz w:val="13"/>
              </w:rPr>
              <w:t>Adjustments</w:t>
            </w:r>
          </w:p>
        </w:tc>
        <w:tc>
          <w:tcPr>
            <w:tcW w:w="113" w:type="dxa"/>
            <w:tcBorders/>
            <w:shd w:fill="auto" w:val="clear"/>
            <w:vAlign w:val="center"/>
          </w:tcPr>
          <w:p>
            <w:pPr>
              <w:pStyle w:val="TableContents"/>
              <w:spacing w:before="0" w:after="0"/>
              <w:rPr/>
            </w:pPr>
            <w:r>
              <w:rPr/>
              <w:t> </w:t>
            </w:r>
          </w:p>
        </w:tc>
        <w:tc>
          <w:tcPr>
            <w:tcW w:w="12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Non-GAAP</w:t>
            </w:r>
          </w:p>
        </w:tc>
        <w:tc>
          <w:tcPr>
            <w:tcW w:w="113" w:type="dxa"/>
            <w:tcBorders/>
            <w:shd w:fill="auto" w:val="clear"/>
            <w:vAlign w:val="center"/>
          </w:tcPr>
          <w:p>
            <w:pPr>
              <w:pStyle w:val="TableContents"/>
              <w:spacing w:before="0" w:after="0"/>
              <w:rPr/>
            </w:pPr>
            <w:r>
              <w:rPr/>
              <w:t> </w:t>
            </w:r>
          </w:p>
        </w:tc>
        <w:tc>
          <w:tcPr>
            <w:tcW w:w="12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GAAP</w:t>
            </w:r>
          </w:p>
        </w:tc>
        <w:tc>
          <w:tcPr>
            <w:tcW w:w="113" w:type="dxa"/>
            <w:tcBorders/>
            <w:shd w:fill="auto" w:val="clear"/>
            <w:vAlign w:val="center"/>
          </w:tcPr>
          <w:p>
            <w:pPr>
              <w:pStyle w:val="TableContents"/>
              <w:spacing w:before="0" w:after="0"/>
              <w:ind w:left="0" w:right="0" w:firstLine="30"/>
              <w:rPr/>
            </w:pPr>
            <w:r>
              <w:rPr/>
              <w:t> </w:t>
            </w:r>
          </w:p>
        </w:tc>
        <w:tc>
          <w:tcPr>
            <w:tcW w:w="126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Non-GAAP</w:t>
            </w:r>
          </w:p>
          <w:p>
            <w:pPr>
              <w:pStyle w:val="TableContents"/>
              <w:spacing w:before="0" w:after="0"/>
              <w:ind w:left="0" w:right="0" w:firstLine="30"/>
              <w:jc w:val="center"/>
              <w:rPr>
                <w:rFonts w:ascii="inherit" w:hAnsi="inherit"/>
                <w:sz w:val="13"/>
              </w:rPr>
            </w:pPr>
            <w:r>
              <w:rPr>
                <w:rFonts w:ascii="inherit" w:hAnsi="inherit"/>
                <w:sz w:val="13"/>
              </w:rPr>
              <w:t>Adjustments</w:t>
            </w:r>
          </w:p>
        </w:tc>
        <w:tc>
          <w:tcPr>
            <w:tcW w:w="113" w:type="dxa"/>
            <w:tcBorders/>
            <w:shd w:fill="auto" w:val="clear"/>
            <w:vAlign w:val="center"/>
          </w:tcPr>
          <w:p>
            <w:pPr>
              <w:pStyle w:val="TableContents"/>
              <w:spacing w:before="0" w:after="0"/>
              <w:rPr/>
            </w:pPr>
            <w:r>
              <w:rPr/>
              <w:t> </w:t>
            </w:r>
          </w:p>
        </w:tc>
        <w:tc>
          <w:tcPr>
            <w:tcW w:w="16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Non-GAAP</w:t>
            </w:r>
          </w:p>
        </w:tc>
      </w:tr>
      <w:tr>
        <w:trPr/>
        <w:tc>
          <w:tcPr>
            <w:tcW w:w="1745" w:type="dxa"/>
            <w:tcBorders/>
            <w:shd w:fill="CCEEFF" w:val="clear"/>
            <w:vAlign w:val="center"/>
          </w:tcPr>
          <w:p>
            <w:pPr>
              <w:pStyle w:val="TableContents"/>
              <w:spacing w:before="0" w:after="0"/>
              <w:ind w:left="0" w:right="0" w:firstLine="30"/>
              <w:rPr/>
            </w:pPr>
            <w:r>
              <w:rPr/>
              <w:t> </w:t>
            </w:r>
          </w:p>
        </w:tc>
        <w:tc>
          <w:tcPr>
            <w:tcW w:w="1244"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13" w:type="dxa"/>
            <w:tcBorders/>
            <w:shd w:fill="CCEEFF" w:val="clear"/>
            <w:vAlign w:val="center"/>
          </w:tcPr>
          <w:p>
            <w:pPr>
              <w:pStyle w:val="TableContents"/>
              <w:spacing w:before="0" w:after="0"/>
              <w:ind w:left="0" w:right="0" w:firstLine="30"/>
              <w:rPr/>
            </w:pPr>
            <w:r>
              <w:rPr/>
              <w:t> </w:t>
            </w:r>
          </w:p>
        </w:tc>
        <w:tc>
          <w:tcPr>
            <w:tcW w:w="1262"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13" w:type="dxa"/>
            <w:tcBorders/>
            <w:shd w:fill="CCEEFF" w:val="clear"/>
            <w:vAlign w:val="center"/>
          </w:tcPr>
          <w:p>
            <w:pPr>
              <w:pStyle w:val="TableContents"/>
              <w:spacing w:before="0" w:after="0"/>
              <w:ind w:left="0" w:right="0" w:firstLine="30"/>
              <w:rPr/>
            </w:pPr>
            <w:r>
              <w:rPr/>
              <w:t> </w:t>
            </w:r>
          </w:p>
        </w:tc>
        <w:tc>
          <w:tcPr>
            <w:tcW w:w="1244"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13" w:type="dxa"/>
            <w:tcBorders/>
            <w:shd w:fill="CCEEFF" w:val="clear"/>
            <w:vAlign w:val="center"/>
          </w:tcPr>
          <w:p>
            <w:pPr>
              <w:pStyle w:val="TableContents"/>
              <w:spacing w:before="0" w:after="0"/>
              <w:ind w:left="0" w:right="0" w:firstLine="30"/>
              <w:rPr/>
            </w:pPr>
            <w:r>
              <w:rPr/>
              <w:t> </w:t>
            </w:r>
          </w:p>
        </w:tc>
        <w:tc>
          <w:tcPr>
            <w:tcW w:w="1244"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13" w:type="dxa"/>
            <w:tcBorders/>
            <w:shd w:fill="CCEEFF" w:val="clear"/>
            <w:vAlign w:val="center"/>
          </w:tcPr>
          <w:p>
            <w:pPr>
              <w:pStyle w:val="TableContents"/>
              <w:spacing w:before="0" w:after="0"/>
              <w:ind w:left="0" w:right="0" w:firstLine="30"/>
              <w:rPr/>
            </w:pPr>
            <w:r>
              <w:rPr/>
              <w:t> </w:t>
            </w:r>
          </w:p>
        </w:tc>
        <w:tc>
          <w:tcPr>
            <w:tcW w:w="1263"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13" w:type="dxa"/>
            <w:tcBorders/>
            <w:shd w:fill="CCEEFF" w:val="clear"/>
            <w:vAlign w:val="center"/>
          </w:tcPr>
          <w:p>
            <w:pPr>
              <w:pStyle w:val="TableContents"/>
              <w:spacing w:before="0" w:after="0"/>
              <w:ind w:left="0" w:right="0" w:firstLine="30"/>
              <w:rPr/>
            </w:pPr>
            <w:r>
              <w:rPr/>
              <w:t> </w:t>
            </w:r>
          </w:p>
        </w:tc>
        <w:tc>
          <w:tcPr>
            <w:tcW w:w="1638"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r>
      <w:tr>
        <w:trPr/>
        <w:tc>
          <w:tcPr>
            <w:tcW w:w="1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w:t>
            </w:r>
          </w:p>
        </w:tc>
        <w:tc>
          <w:tcPr>
            <w:tcW w:w="14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460,910</w:t>
            </w:r>
          </w:p>
        </w:tc>
        <w:tc>
          <w:tcPr>
            <w:tcW w:w="13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69" w:type="dxa"/>
            <w:gridSpan w:val="2"/>
            <w:tcBorders>
              <w:top w:val="single" w:sz="2" w:space="0" w:color="000000"/>
            </w:tcBorders>
            <w:shd w:fill="auto" w:val="clear"/>
            <w:tcMar>
              <w:top w:w="30" w:type="dxa"/>
            </w:tcMar>
            <w:vAlign w:val="center"/>
          </w:tcPr>
          <w:p>
            <w:pPr>
              <w:pStyle w:val="TableContents"/>
              <w:spacing w:before="0" w:after="0"/>
              <w:jc w:val="right"/>
              <w:rPr/>
            </w:pPr>
            <w:r>
              <w:rPr/>
              <w:t>—</w:t>
            </w:r>
          </w:p>
        </w:tc>
        <w:tc>
          <w:tcPr>
            <w:tcW w:w="9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4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460,910</w:t>
            </w:r>
          </w:p>
        </w:tc>
        <w:tc>
          <w:tcPr>
            <w:tcW w:w="13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4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388,179</w:t>
            </w:r>
          </w:p>
        </w:tc>
        <w:tc>
          <w:tcPr>
            <w:tcW w:w="13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096" w:type="dxa"/>
            <w:gridSpan w:val="2"/>
            <w:tcBorders>
              <w:top w:val="single" w:sz="2" w:space="0" w:color="000000"/>
            </w:tcBorders>
            <w:shd w:fill="auto" w:val="clear"/>
            <w:tcMar>
              <w:top w:w="30" w:type="dxa"/>
            </w:tcMar>
            <w:vAlign w:val="center"/>
          </w:tcPr>
          <w:p>
            <w:pPr>
              <w:pStyle w:val="TableContents"/>
              <w:spacing w:before="0" w:after="0"/>
              <w:jc w:val="right"/>
              <w:rPr/>
            </w:pPr>
            <w:r>
              <w:rPr/>
              <w:t>—</w:t>
            </w:r>
          </w:p>
        </w:tc>
        <w:tc>
          <w:tcPr>
            <w:tcW w:w="16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4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388,179</w:t>
            </w:r>
          </w:p>
        </w:tc>
        <w:tc>
          <w:tcPr>
            <w:tcW w:w="5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227,479</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69" w:type="dxa"/>
            <w:gridSpan w:val="2"/>
            <w:tcBorders/>
            <w:shd w:fill="CCEEFF" w:val="clear"/>
            <w:vAlign w:val="center"/>
          </w:tcPr>
          <w:p>
            <w:pPr>
              <w:pStyle w:val="TableContents"/>
              <w:spacing w:before="0" w:after="0"/>
              <w:jc w:val="right"/>
              <w:rPr/>
            </w:pPr>
            <w:r>
              <w:rPr/>
              <w:t>—</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227,479</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197,302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096" w:type="dxa"/>
            <w:gridSpan w:val="2"/>
            <w:tcBorders/>
            <w:shd w:fill="CCEEFF" w:val="clear"/>
            <w:vAlign w:val="center"/>
          </w:tcPr>
          <w:p>
            <w:pPr>
              <w:pStyle w:val="TableContents"/>
              <w:spacing w:before="0" w:after="0"/>
              <w:jc w:val="right"/>
              <w:rPr/>
            </w:pPr>
            <w:r>
              <w:rPr/>
              <w:t>—</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197,302</w:t>
            </w:r>
          </w:p>
        </w:tc>
        <w:tc>
          <w:tcPr>
            <w:tcW w:w="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 expense</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63,761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69" w:type="dxa"/>
            <w:gridSpan w:val="2"/>
            <w:tcBorders/>
            <w:shd w:fill="auto" w:val="clear"/>
            <w:vAlign w:val="center"/>
          </w:tcPr>
          <w:p>
            <w:pPr>
              <w:pStyle w:val="TableContents"/>
              <w:spacing w:before="0" w:after="0"/>
              <w:jc w:val="right"/>
              <w:rPr/>
            </w:pPr>
            <w:r>
              <w:rPr/>
              <w:t>—</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63,761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56,250</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09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(10,945</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45,305</w:t>
            </w:r>
          </w:p>
        </w:tc>
        <w:tc>
          <w:tcPr>
            <w:tcW w:w="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16,805</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69" w:type="dxa"/>
            <w:gridSpan w:val="2"/>
            <w:tcBorders/>
            <w:shd w:fill="CCEEFF" w:val="clear"/>
            <w:vAlign w:val="center"/>
          </w:tcPr>
          <w:p>
            <w:pPr>
              <w:pStyle w:val="TableContents"/>
              <w:spacing w:before="0" w:after="0"/>
              <w:jc w:val="right"/>
              <w:rPr/>
            </w:pPr>
            <w:r>
              <w:rPr/>
              <w:t>—</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16,805</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12,670</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096" w:type="dxa"/>
            <w:gridSpan w:val="2"/>
            <w:tcBorders/>
            <w:shd w:fill="CCEEFF" w:val="clear"/>
            <w:vAlign w:val="center"/>
          </w:tcPr>
          <w:p>
            <w:pPr>
              <w:pStyle w:val="TableContents"/>
              <w:spacing w:before="0" w:after="0"/>
              <w:jc w:val="right"/>
              <w:rPr/>
            </w:pPr>
            <w:r>
              <w:rPr/>
              <w:t>—</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12,670</w:t>
            </w:r>
          </w:p>
        </w:tc>
        <w:tc>
          <w:tcPr>
            <w:tcW w:w="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3,086</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69" w:type="dxa"/>
            <w:gridSpan w:val="2"/>
            <w:tcBorders/>
            <w:shd w:fill="auto" w:val="clear"/>
            <w:vAlign w:val="center"/>
          </w:tcPr>
          <w:p>
            <w:pPr>
              <w:pStyle w:val="TableContents"/>
              <w:spacing w:before="0" w:after="0"/>
              <w:jc w:val="right"/>
              <w:rPr/>
            </w:pPr>
            <w:r>
              <w:rPr/>
              <w:t>—</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3,086</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654</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096" w:type="dxa"/>
            <w:gridSpan w:val="2"/>
            <w:tcBorders/>
            <w:shd w:fill="auto" w:val="clear"/>
            <w:vAlign w:val="center"/>
          </w:tcPr>
          <w:p>
            <w:pPr>
              <w:pStyle w:val="TableContents"/>
              <w:spacing w:before="0" w:after="0"/>
              <w:jc w:val="right"/>
              <w:rPr/>
            </w:pPr>
            <w:r>
              <w:rPr/>
              <w:t>—</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654</w:t>
            </w:r>
          </w:p>
        </w:tc>
        <w:tc>
          <w:tcPr>
            <w:tcW w:w="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 loss on sale/disposal of assets</w:t>
            </w:r>
          </w:p>
        </w:tc>
        <w:tc>
          <w:tcPr>
            <w:tcW w:w="111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138</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6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138</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13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CCEEFF" w:val="clear"/>
            <w:vAlign w:val="center"/>
          </w:tcPr>
          <w:p>
            <w:pPr>
              <w:pStyle w:val="TableContents"/>
              <w:spacing w:before="0" w:after="0"/>
              <w:ind w:left="0" w:right="0" w:firstLine="30"/>
              <w:rPr/>
            </w:pPr>
            <w:r>
              <w:rPr/>
              <w:t> </w:t>
            </w:r>
          </w:p>
        </w:tc>
        <w:tc>
          <w:tcPr>
            <w:tcW w:w="109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526" w:type="dxa"/>
            <w:tcBorders>
              <w:bottom w:val="single" w:sz="2" w:space="0" w:color="000000"/>
            </w:tcBorders>
            <w:shd w:fill="CCEEFF"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1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149,641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69" w:type="dxa"/>
            <w:gridSpan w:val="2"/>
            <w:tcBorders/>
            <w:shd w:fill="auto" w:val="clear"/>
            <w:vAlign w:val="center"/>
          </w:tcPr>
          <w:p>
            <w:pPr>
              <w:pStyle w:val="TableContents"/>
              <w:spacing w:before="0" w:after="0"/>
              <w:jc w:val="right"/>
              <w:rPr/>
            </w:pPr>
            <w:r>
              <w:rPr/>
              <w:t>—</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149,641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121,305</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09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10,945</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132,250</w:t>
            </w:r>
          </w:p>
        </w:tc>
        <w:tc>
          <w:tcPr>
            <w:tcW w:w="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(486</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CCEEFF" w:val="clear"/>
            <w:vAlign w:val="center"/>
          </w:tcPr>
          <w:p>
            <w:pPr>
              <w:pStyle w:val="TableContents"/>
              <w:spacing w:before="0" w:after="0"/>
              <w:ind w:left="0" w:right="0" w:firstLine="30"/>
              <w:rPr/>
            </w:pPr>
            <w:r>
              <w:rPr/>
              <w:t> </w:t>
            </w:r>
          </w:p>
        </w:tc>
        <w:tc>
          <w:tcPr>
            <w:tcW w:w="1169" w:type="dxa"/>
            <w:gridSpan w:val="2"/>
            <w:tcBorders/>
            <w:shd w:fill="CCEEFF" w:val="clear"/>
            <w:vAlign w:val="center"/>
          </w:tcPr>
          <w:p>
            <w:pPr>
              <w:pStyle w:val="TableContents"/>
              <w:spacing w:before="0" w:after="0"/>
              <w:jc w:val="right"/>
              <w:rPr/>
            </w:pPr>
            <w:r>
              <w:rPr/>
              <w:t>—</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(486</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CCEEFF" w:val="clear"/>
            <w:vAlign w:val="center"/>
          </w:tcPr>
          <w:p>
            <w:pPr>
              <w:pStyle w:val="TableContents"/>
              <w:spacing w:before="0" w:after="0"/>
              <w:ind w:left="0" w:right="0" w:firstLine="30"/>
              <w:rPr/>
            </w:pPr>
            <w:r>
              <w:rPr/>
              <w:t> </w:t>
            </w:r>
          </w:p>
        </w:tc>
        <w:tc>
          <w:tcPr>
            <w:tcW w:w="1096" w:type="dxa"/>
            <w:gridSpan w:val="2"/>
            <w:tcBorders/>
            <w:shd w:fill="CCEEFF" w:val="clear"/>
            <w:vAlign w:val="center"/>
          </w:tcPr>
          <w:p>
            <w:pPr>
              <w:pStyle w:val="TableContents"/>
              <w:spacing w:before="0" w:after="0"/>
              <w:jc w:val="right"/>
              <w:rPr/>
            </w:pPr>
            <w:r>
              <w:rPr/>
              <w:t>—</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w:t>
            </w:r>
          </w:p>
        </w:tc>
        <w:tc>
          <w:tcPr>
            <w:tcW w:w="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4,180</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69" w:type="dxa"/>
            <w:gridSpan w:val="2"/>
            <w:tcBorders/>
            <w:shd w:fill="auto" w:val="clear"/>
            <w:vAlign w:val="center"/>
          </w:tcPr>
          <w:p>
            <w:pPr>
              <w:pStyle w:val="TableContents"/>
              <w:spacing w:before="0" w:after="0"/>
              <w:jc w:val="right"/>
              <w:rPr/>
            </w:pPr>
            <w:r>
              <w:rPr/>
              <w:t>—</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4,180</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1,186</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096" w:type="dxa"/>
            <w:gridSpan w:val="2"/>
            <w:tcBorders/>
            <w:shd w:fill="auto" w:val="clear"/>
            <w:vAlign w:val="center"/>
          </w:tcPr>
          <w:p>
            <w:pPr>
              <w:pStyle w:val="TableContents"/>
              <w:spacing w:before="0" w:after="0"/>
              <w:jc w:val="right"/>
              <w:rPr/>
            </w:pPr>
            <w:r>
              <w:rPr/>
              <w:t>—</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1,186</w:t>
            </w:r>
          </w:p>
        </w:tc>
        <w:tc>
          <w:tcPr>
            <w:tcW w:w="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(12,935</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CCEEFF" w:val="clear"/>
            <w:vAlign w:val="center"/>
          </w:tcPr>
          <w:p>
            <w:pPr>
              <w:pStyle w:val="TableContents"/>
              <w:spacing w:before="0" w:after="0"/>
              <w:ind w:left="0" w:right="0" w:firstLine="30"/>
              <w:rPr/>
            </w:pPr>
            <w:r>
              <w:rPr/>
              <w:t> </w:t>
            </w:r>
          </w:p>
        </w:tc>
        <w:tc>
          <w:tcPr>
            <w:tcW w:w="1169" w:type="dxa"/>
            <w:gridSpan w:val="2"/>
            <w:tcBorders/>
            <w:shd w:fill="CCEEFF" w:val="clear"/>
            <w:vAlign w:val="center"/>
          </w:tcPr>
          <w:p>
            <w:pPr>
              <w:pStyle w:val="TableContents"/>
              <w:spacing w:before="0" w:after="0"/>
              <w:jc w:val="right"/>
              <w:rPr/>
            </w:pPr>
            <w:r>
              <w:rPr/>
              <w:t>—</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(12,935</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(12,157</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CCEEFF" w:val="clear"/>
            <w:vAlign w:val="center"/>
          </w:tcPr>
          <w:p>
            <w:pPr>
              <w:pStyle w:val="TableContents"/>
              <w:spacing w:before="0" w:after="0"/>
              <w:ind w:left="0" w:right="0" w:firstLine="30"/>
              <w:rPr/>
            </w:pPr>
            <w:r>
              <w:rPr/>
              <w:t> </w:t>
            </w:r>
          </w:p>
        </w:tc>
        <w:tc>
          <w:tcPr>
            <w:tcW w:w="1096" w:type="dxa"/>
            <w:gridSpan w:val="2"/>
            <w:tcBorders/>
            <w:shd w:fill="CCEEFF" w:val="clear"/>
            <w:vAlign w:val="center"/>
          </w:tcPr>
          <w:p>
            <w:pPr>
              <w:pStyle w:val="TableContents"/>
              <w:spacing w:before="0" w:after="0"/>
              <w:jc w:val="right"/>
              <w:rPr/>
            </w:pPr>
            <w:r>
              <w:rPr/>
              <w:t>—</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(12,157</w:t>
            </w:r>
          </w:p>
        </w:tc>
        <w:tc>
          <w:tcPr>
            <w:tcW w:w="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1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(157</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auto" w:val="clear"/>
            <w:vAlign w:val="center"/>
          </w:tcPr>
          <w:p>
            <w:pPr>
              <w:pStyle w:val="TableContents"/>
              <w:spacing w:before="0" w:after="0"/>
              <w:ind w:left="0" w:right="0" w:firstLine="30"/>
              <w:rPr/>
            </w:pPr>
            <w:r>
              <w:rPr/>
              <w:t> </w:t>
            </w:r>
          </w:p>
        </w:tc>
        <w:tc>
          <w:tcPr>
            <w:tcW w:w="116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9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(157</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auto" w:val="clear"/>
            <w:vAlign w:val="center"/>
          </w:tcPr>
          <w:p>
            <w:pPr>
              <w:pStyle w:val="TableContents"/>
              <w:spacing w:before="0" w:after="0"/>
              <w:ind w:left="0" w:right="0" w:firstLine="30"/>
              <w:rPr/>
            </w:pPr>
            <w:r>
              <w:rPr/>
              <w:t> </w:t>
            </w:r>
          </w:p>
        </w:tc>
        <w:tc>
          <w:tcPr>
            <w:tcW w:w="109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w:t>
            </w:r>
          </w:p>
        </w:tc>
        <w:tc>
          <w:tcPr>
            <w:tcW w:w="52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income taxes</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159,039</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69" w:type="dxa"/>
            <w:gridSpan w:val="2"/>
            <w:tcBorders/>
            <w:shd w:fill="CCEEFF" w:val="clear"/>
            <w:vAlign w:val="center"/>
          </w:tcPr>
          <w:p>
            <w:pPr>
              <w:pStyle w:val="TableContents"/>
              <w:spacing w:before="0" w:after="0"/>
              <w:jc w:val="right"/>
              <w:rPr/>
            </w:pPr>
            <w:r>
              <w:rPr/>
              <w:t>—</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159,039</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132,471</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09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10,945</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143,416</w:t>
            </w:r>
          </w:p>
        </w:tc>
        <w:tc>
          <w:tcPr>
            <w:tcW w:w="52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1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52,603</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6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9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52,603</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46,677</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09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3,831</w:t>
            </w:r>
          </w:p>
        </w:tc>
        <w:tc>
          <w:tcPr>
            <w:tcW w:w="16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50,508</w:t>
            </w:r>
          </w:p>
        </w:tc>
        <w:tc>
          <w:tcPr>
            <w:tcW w:w="52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11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106,436</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6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106,436</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85,794</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09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7,114</w:t>
            </w:r>
          </w:p>
        </w:tc>
        <w:tc>
          <w:tcPr>
            <w:tcW w:w="16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92,908</w:t>
            </w:r>
          </w:p>
        </w:tc>
        <w:tc>
          <w:tcPr>
            <w:tcW w:w="5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Attributable to noncontrolling interest</w:t>
            </w:r>
          </w:p>
        </w:tc>
        <w:tc>
          <w:tcPr>
            <w:tcW w:w="111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1,300</w:t>
            </w:r>
          </w:p>
        </w:tc>
        <w:tc>
          <w:tcPr>
            <w:tcW w:w="13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6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9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1,300</w:t>
            </w:r>
          </w:p>
        </w:tc>
        <w:tc>
          <w:tcPr>
            <w:tcW w:w="13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13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096"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16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5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4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105,136</w:t>
            </w:r>
          </w:p>
        </w:tc>
        <w:tc>
          <w:tcPr>
            <w:tcW w:w="13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29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1"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9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4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105,136</w:t>
            </w:r>
          </w:p>
        </w:tc>
        <w:tc>
          <w:tcPr>
            <w:tcW w:w="13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4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85,794</w:t>
            </w:r>
          </w:p>
        </w:tc>
        <w:tc>
          <w:tcPr>
            <w:tcW w:w="13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8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7,114</w:t>
            </w:r>
          </w:p>
        </w:tc>
        <w:tc>
          <w:tcPr>
            <w:tcW w:w="16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4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92,908</w:t>
            </w:r>
          </w:p>
        </w:tc>
        <w:tc>
          <w:tcPr>
            <w:tcW w:w="52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per share, diluted</w:t>
            </w:r>
          </w:p>
        </w:tc>
        <w:tc>
          <w:tcPr>
            <w:tcW w:w="146"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2.06</w:t>
            </w:r>
          </w:p>
        </w:tc>
        <w:tc>
          <w:tcPr>
            <w:tcW w:w="132"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298"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1"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93"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46"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2.06</w:t>
            </w:r>
          </w:p>
        </w:tc>
        <w:tc>
          <w:tcPr>
            <w:tcW w:w="132"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46"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132"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83"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0.14</w:t>
            </w:r>
          </w:p>
        </w:tc>
        <w:tc>
          <w:tcPr>
            <w:tcW w:w="167"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46"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6"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1.85</w:t>
            </w:r>
          </w:p>
        </w:tc>
        <w:tc>
          <w:tcPr>
            <w:tcW w:w="526"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shares, diluted</w:t>
            </w:r>
          </w:p>
        </w:tc>
        <w:tc>
          <w:tcPr>
            <w:tcW w:w="1112" w:type="dxa"/>
            <w:gridSpan w:val="2"/>
            <w:tcBorders>
              <w:top w:val="double" w:sz="6"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51,042</w:t>
            </w:r>
          </w:p>
        </w:tc>
        <w:tc>
          <w:tcPr>
            <w:tcW w:w="132" w:type="dxa"/>
            <w:tcBorders>
              <w:top w:val="double" w:sz="6"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69" w:type="dxa"/>
            <w:gridSpan w:val="2"/>
            <w:tcBorders/>
            <w:shd w:fill="CCEEFF" w:val="clear"/>
            <w:vAlign w:val="center"/>
          </w:tcPr>
          <w:p>
            <w:pPr>
              <w:pStyle w:val="TableContents"/>
              <w:spacing w:before="0" w:after="0"/>
              <w:jc w:val="right"/>
              <w:rPr/>
            </w:pPr>
            <w:r>
              <w:rPr/>
              <w:t>—</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51,042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top w:val="double" w:sz="6"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50,292</w:t>
            </w:r>
          </w:p>
        </w:tc>
        <w:tc>
          <w:tcPr>
            <w:tcW w:w="132" w:type="dxa"/>
            <w:tcBorders>
              <w:top w:val="double" w:sz="6"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096" w:type="dxa"/>
            <w:gridSpan w:val="2"/>
            <w:tcBorders>
              <w:top w:val="double" w:sz="6"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50,292</w:t>
            </w:r>
          </w:p>
        </w:tc>
        <w:tc>
          <w:tcPr>
            <w:tcW w:w="167" w:type="dxa"/>
            <w:tcBorders>
              <w:top w:val="double" w:sz="6"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50,292</w:t>
            </w:r>
          </w:p>
        </w:tc>
        <w:tc>
          <w:tcPr>
            <w:tcW w:w="526"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before="0" w:after="283"/>
        <w:jc w:val="center"/>
        <w:rPr>
          <w:sz w:val="17"/>
        </w:rPr>
      </w:pPr>
      <w:r>
        <w:rPr>
          <w:rFonts w:ascii="inherit" w:hAnsi="inherit"/>
          <w:sz w:val="17"/>
        </w:rPr>
        <w:t>11</w:t>
      </w:r>
      <w:r>
        <w:rPr>
          <w:sz w:val="17"/>
        </w:rPr>
        <w:t xml:space="preserve"> </w:t>
      </w:r>
      <w:r>
        <w:rPr>
          <w:rFonts w:ascii="inherit" w:hAnsi="inherit"/>
          <w:sz w:val="17"/>
        </w:rPr>
        <w:t>of 11</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3937</Words>
  <CharactersWithSpaces>25757</CharactersWithSpaces>
  <Paragraphs>2109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