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December 23, 2016</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368"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6040" w:type="dxa"/>
            <w:vAlign w:val="bottom"/>
          </w:tcPr>
          <w:p>
            <w:pPr>
              <w:jc w:val="center"/>
              <w:ind w:right="1239"/>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49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040" w:type="dxa"/>
            <w:vAlign w:val="bottom"/>
          </w:tcPr>
          <w:p>
            <w:pPr>
              <w:jc w:val="center"/>
              <w:ind w:right="12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300" w:type="dxa"/>
            <w:vAlign w:val="bottom"/>
          </w:tcPr>
          <w:p>
            <w:pPr>
              <w:jc w:val="center"/>
              <w:ind w:left="1179"/>
              <w:spacing w:after="0"/>
              <w:rPr>
                <w:sz w:val="20"/>
                <w:szCs w:val="20"/>
                <w:color w:val="auto"/>
              </w:rPr>
            </w:pPr>
            <w:r>
              <w:rPr>
                <w:rFonts w:ascii="Arial" w:cs="Arial" w:eastAsia="Arial" w:hAnsi="Arial"/>
                <w:sz w:val="14"/>
                <w:szCs w:val="14"/>
                <w:color w:val="auto"/>
                <w:w w:val="96"/>
              </w:rPr>
              <w:t>(I.R.S. Employer identification no.)</w:t>
            </w:r>
          </w:p>
        </w:tc>
      </w:tr>
      <w:tr>
        <w:trPr>
          <w:trHeight w:val="390"/>
        </w:trPr>
        <w:tc>
          <w:tcPr>
            <w:tcW w:w="6040" w:type="dxa"/>
            <w:vAlign w:val="bottom"/>
          </w:tcPr>
          <w:p>
            <w:pPr>
              <w:jc w:val="center"/>
              <w:ind w:right="1179"/>
              <w:spacing w:after="0"/>
              <w:rPr>
                <w:sz w:val="20"/>
                <w:szCs w:val="20"/>
                <w:color w:val="auto"/>
              </w:rPr>
            </w:pPr>
            <w:r>
              <w:rPr>
                <w:rFonts w:ascii="Arial" w:cs="Arial" w:eastAsia="Arial" w:hAnsi="Arial"/>
                <w:sz w:val="18"/>
                <w:szCs w:val="18"/>
                <w:b w:val="1"/>
                <w:bCs w:val="1"/>
                <w:color w:val="auto"/>
                <w:w w:val="89"/>
              </w:rPr>
              <w:t>2500 Bee Cave Road, Bidg One, Suite 200, Rollingwood, Texas</w:t>
            </w:r>
          </w:p>
        </w:tc>
        <w:tc>
          <w:tcPr>
            <w:tcW w:w="3300" w:type="dxa"/>
            <w:vAlign w:val="bottom"/>
          </w:tcPr>
          <w:p>
            <w:pPr>
              <w:jc w:val="right"/>
              <w:ind w:right="679"/>
              <w:spacing w:after="0"/>
              <w:rPr>
                <w:sz w:val="20"/>
                <w:szCs w:val="20"/>
                <w:color w:val="auto"/>
              </w:rPr>
            </w:pPr>
            <w:r>
              <w:rPr>
                <w:rFonts w:ascii="Arial" w:cs="Arial" w:eastAsia="Arial" w:hAnsi="Arial"/>
                <w:sz w:val="18"/>
                <w:szCs w:val="18"/>
                <w:b w:val="1"/>
                <w:bCs w:val="1"/>
                <w:color w:val="auto"/>
              </w:rPr>
              <w:t>78746</w:t>
            </w:r>
          </w:p>
        </w:tc>
      </w:tr>
      <w:tr>
        <w:trPr>
          <w:trHeight w:val="218"/>
        </w:trPr>
        <w:tc>
          <w:tcPr>
            <w:tcW w:w="6040" w:type="dxa"/>
            <w:vAlign w:val="bottom"/>
          </w:tcPr>
          <w:p>
            <w:pPr>
              <w:jc w:val="center"/>
              <w:ind w:right="1179"/>
              <w:spacing w:after="0"/>
              <w:rPr>
                <w:sz w:val="20"/>
                <w:szCs w:val="20"/>
                <w:color w:val="auto"/>
              </w:rPr>
            </w:pPr>
            <w:r>
              <w:rPr>
                <w:rFonts w:ascii="Arial" w:cs="Arial" w:eastAsia="Arial" w:hAnsi="Arial"/>
                <w:sz w:val="14"/>
                <w:szCs w:val="14"/>
                <w:color w:val="auto"/>
                <w:w w:val="95"/>
              </w:rPr>
              <w:t>(Address of principal executive offices)</w:t>
            </w:r>
          </w:p>
        </w:tc>
        <w:tc>
          <w:tcPr>
            <w:tcW w:w="3300" w:type="dxa"/>
            <w:vAlign w:val="bottom"/>
          </w:tcPr>
          <w:p>
            <w:pPr>
              <w:jc w:val="center"/>
              <w:ind w:left="123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2500 Bee Cave Road, Building One, Suite 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Rollingwood,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1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2600" w:type="dxa"/>
            <w:vAlign w:val="bottom"/>
          </w:tcPr>
          <w:p>
            <w:pPr>
              <w:ind w:left="640"/>
              <w:spacing w:after="0"/>
              <w:rPr>
                <w:sz w:val="20"/>
                <w:szCs w:val="20"/>
                <w:color w:val="auto"/>
              </w:rPr>
            </w:pPr>
            <w:r>
              <w:rPr>
                <w:rFonts w:ascii="Arial" w:cs="Arial" w:eastAsia="Arial" w:hAnsi="Arial"/>
                <w:sz w:val="16"/>
                <w:szCs w:val="16"/>
                <w:color w:val="auto"/>
              </w:rPr>
              <w:t>Large accelerated filer o</w:t>
            </w:r>
          </w:p>
        </w:tc>
        <w:tc>
          <w:tcPr>
            <w:tcW w:w="1880" w:type="dxa"/>
            <w:vAlign w:val="bottom"/>
          </w:tcPr>
          <w:p>
            <w:pPr>
              <w:ind w:left="4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Non-accelerated filer o</w:t>
            </w:r>
          </w:p>
        </w:tc>
        <w:tc>
          <w:tcPr>
            <w:tcW w:w="3320" w:type="dxa"/>
            <w:vAlign w:val="bottom"/>
            <w:gridSpan w:val="2"/>
          </w:tcPr>
          <w:p>
            <w:pPr>
              <w:ind w:left="880"/>
              <w:spacing w:after="0"/>
              <w:rPr>
                <w:sz w:val="20"/>
                <w:szCs w:val="20"/>
                <w:color w:val="auto"/>
              </w:rPr>
            </w:pPr>
            <w:r>
              <w:rPr>
                <w:rFonts w:ascii="Arial" w:cs="Arial" w:eastAsia="Arial" w:hAnsi="Arial"/>
                <w:sz w:val="16"/>
                <w:szCs w:val="16"/>
                <w:color w:val="auto"/>
              </w:rPr>
              <w:t>Smaller reporting company o</w:t>
            </w: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(Do not check if a smaller reporting company)</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00" w:type="dxa"/>
            <w:vAlign w:val="bottom"/>
          </w:tcPr>
          <w:p>
            <w:pPr>
              <w:spacing w:after="0"/>
              <w:rPr>
                <w:sz w:val="24"/>
                <w:szCs w:val="24"/>
                <w:color w:val="auto"/>
              </w:rPr>
            </w:pPr>
          </w:p>
        </w:tc>
        <w:tc>
          <w:tcPr>
            <w:tcW w:w="5520" w:type="dxa"/>
            <w:vAlign w:val="bottom"/>
            <w:gridSpan w:val="4"/>
          </w:tcPr>
          <w:p>
            <w:pPr>
              <w:ind w:left="1560"/>
              <w:spacing w:after="0"/>
              <w:rPr>
                <w:sz w:val="20"/>
                <w:szCs w:val="20"/>
                <w:color w:val="auto"/>
              </w:rPr>
            </w:pPr>
            <w:r>
              <w:rPr>
                <w:rFonts w:ascii="Arial" w:cs="Arial" w:eastAsia="Arial" w:hAnsi="Arial"/>
                <w:sz w:val="16"/>
                <w:szCs w:val="16"/>
                <w:b w:val="1"/>
                <w:bCs w:val="1"/>
                <w:color w:val="auto"/>
              </w:rPr>
              <w:t>CALCULATION OF REGISTRATION FEE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480" w:type="dxa"/>
            <w:vAlign w:val="bottom"/>
            <w:tcBorders>
              <w:left w:val="single" w:sz="8" w:color="auto"/>
              <w:right w:val="single" w:sz="8" w:color="auto"/>
            </w:tcBorders>
            <w:gridSpan w:val="2"/>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left w:val="single" w:sz="8" w:color="auto"/>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Class A Non-Voting Common Stock,</w:t>
            </w:r>
          </w:p>
        </w:tc>
        <w:tc>
          <w:tcPr>
            <w:tcW w:w="1840" w:type="dxa"/>
            <w:vAlign w:val="bottom"/>
            <w:tcBorders>
              <w:right w:val="single" w:sz="8" w:color="auto"/>
            </w:tcBorders>
            <w:vMerge w:val="restart"/>
          </w:tcPr>
          <w:p>
            <w:pPr>
              <w:jc w:val="right"/>
              <w:ind w:right="481"/>
              <w:spacing w:after="0"/>
              <w:rPr>
                <w:sz w:val="20"/>
                <w:szCs w:val="20"/>
                <w:color w:val="auto"/>
              </w:rPr>
            </w:pPr>
            <w:r>
              <w:rPr>
                <w:rFonts w:ascii="Arial" w:cs="Arial" w:eastAsia="Arial" w:hAnsi="Arial"/>
                <w:sz w:val="16"/>
                <w:szCs w:val="16"/>
                <w:color w:val="auto"/>
              </w:rPr>
              <w:t>500,000 (2)</w:t>
            </w:r>
          </w:p>
        </w:tc>
        <w:tc>
          <w:tcPr>
            <w:tcW w:w="1720" w:type="dxa"/>
            <w:vAlign w:val="bottom"/>
            <w:tcBorders>
              <w:right w:val="single" w:sz="8" w:color="auto"/>
            </w:tcBorders>
            <w:vMerge w:val="restart"/>
          </w:tcPr>
          <w:p>
            <w:pPr>
              <w:jc w:val="right"/>
              <w:ind w:right="586"/>
              <w:spacing w:after="0"/>
              <w:rPr>
                <w:sz w:val="20"/>
                <w:szCs w:val="20"/>
                <w:color w:val="auto"/>
              </w:rPr>
            </w:pPr>
            <w:r>
              <w:rPr>
                <w:rFonts w:ascii="Arial" w:cs="Arial" w:eastAsia="Arial" w:hAnsi="Arial"/>
                <w:sz w:val="16"/>
                <w:szCs w:val="16"/>
                <w:color w:val="auto"/>
              </w:rPr>
              <w:t>$10.39</w:t>
            </w:r>
          </w:p>
        </w:tc>
        <w:tc>
          <w:tcPr>
            <w:tcW w:w="80" w:type="dxa"/>
            <w:vAlign w:val="bottom"/>
          </w:tcPr>
          <w:p>
            <w:pPr>
              <w:spacing w:after="0"/>
              <w:rPr>
                <w:sz w:val="19"/>
                <w:szCs w:val="19"/>
                <w:color w:val="auto"/>
              </w:rPr>
            </w:pPr>
          </w:p>
        </w:tc>
        <w:tc>
          <w:tcPr>
            <w:tcW w:w="1620" w:type="dxa"/>
            <w:vAlign w:val="bottom"/>
            <w:tcBorders>
              <w:right w:val="single" w:sz="8" w:color="auto"/>
            </w:tcBorders>
            <w:vMerge w:val="restart"/>
          </w:tcPr>
          <w:p>
            <w:pPr>
              <w:jc w:val="right"/>
              <w:ind w:right="424"/>
              <w:spacing w:after="0"/>
              <w:rPr>
                <w:sz w:val="20"/>
                <w:szCs w:val="20"/>
                <w:color w:val="auto"/>
              </w:rPr>
            </w:pPr>
            <w:r>
              <w:rPr>
                <w:rFonts w:ascii="Arial" w:cs="Arial" w:eastAsia="Arial" w:hAnsi="Arial"/>
                <w:sz w:val="16"/>
                <w:szCs w:val="16"/>
                <w:color w:val="auto"/>
              </w:rPr>
              <w:t>$5,195,000</w:t>
            </w:r>
          </w:p>
        </w:tc>
        <w:tc>
          <w:tcPr>
            <w:tcW w:w="1700" w:type="dxa"/>
            <w:vAlign w:val="bottom"/>
            <w:tcBorders>
              <w:right w:val="single" w:sz="8" w:color="auto"/>
            </w:tcBorders>
            <w:vMerge w:val="restart"/>
          </w:tcPr>
          <w:p>
            <w:pPr>
              <w:jc w:val="right"/>
              <w:ind w:right="623"/>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52"/>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89"/>
              </w:rPr>
              <w:t>par value, $0.01 per share</w:t>
            </w:r>
          </w:p>
        </w:tc>
        <w:tc>
          <w:tcPr>
            <w:tcW w:w="184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80" w:type="dxa"/>
            <w:vAlign w:val="bottom"/>
            <w:tcBorders>
              <w:left w:val="single" w:sz="8" w:color="auto"/>
              <w:right w:val="single" w:sz="8" w:color="auto"/>
            </w:tcBorders>
            <w:gridSpan w:val="2"/>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00" w:type="dxa"/>
            <w:vAlign w:val="bottom"/>
            <w:tcBorders>
              <w:left w:val="single" w:sz="8" w:color="auto"/>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December 19, 2016.</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1"/>
              </w:rPr>
              <w:t>Amended and Restated EZCORP, Inc. 2010 Long-Term Incentive Plan, effective December 21, 2016 (incorporated</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1"/>
              </w:rPr>
              <w:t>by reference to Exhibit 10.1 to the Company's Current Report on Form 8-K dated December 21, 2016, Commission</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File No. 0-19424)</w:t>
            </w:r>
          </w:p>
        </w:tc>
      </w:tr>
    </w:tbl>
    <w:p>
      <w:pPr>
        <w:sectPr>
          <w:pgSz w:w="11900" w:h="16838" w:orient="portrait"/>
          <w:cols w:equalWidth="0" w:num="1">
            <w:col w:w="11400"/>
          </w:cols>
          <w:pgMar w:left="240" w:top="58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December 23, 2016.</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560" w:type="dxa"/>
            <w:vAlign w:val="bottom"/>
            <w:gridSpan w:val="2"/>
          </w:tcPr>
          <w:p>
            <w:pPr>
              <w:ind w:left="2580"/>
              <w:spacing w:after="0"/>
              <w:rPr>
                <w:sz w:val="20"/>
                <w:szCs w:val="20"/>
                <w:color w:val="auto"/>
              </w:rPr>
            </w:pPr>
            <w:r>
              <w:rPr>
                <w:rFonts w:ascii="Arial" w:cs="Arial" w:eastAsia="Arial" w:hAnsi="Arial"/>
                <w:sz w:val="14"/>
                <w:szCs w:val="14"/>
                <w:b w:val="1"/>
                <w:bCs w:val="1"/>
                <w:color w:val="auto"/>
              </w:rPr>
              <w:t>Title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Mark S. Ashby</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Mark S. Ashby</w:t>
            </w:r>
          </w:p>
        </w:tc>
        <w:tc>
          <w:tcPr>
            <w:tcW w:w="120" w:type="dxa"/>
            <w:vAlign w:val="bottom"/>
          </w:tcPr>
          <w:p>
            <w:pPr>
              <w:spacing w:after="0"/>
              <w:rPr>
                <w:sz w:val="20"/>
                <w:szCs w:val="20"/>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5"/>
              </w:rPr>
              <w:t>/s/ David McGuire</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David McGuire</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Thomas C. Roberts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December 23,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24"/>
                <w:szCs w:val="24"/>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1"/>
              </w:rPr>
              <w:t>Amended and Restated EZCORP, Inc. 2010 Long-Term Incentive Plan, effective December 21, 2016 (incorporated</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1"/>
              </w:rPr>
              <w:t>by reference to Exhibit 10.1 to the Company's Current Report on Form 8-K dated December 21, 2016, Commission</w:t>
            </w:r>
          </w:p>
        </w:tc>
      </w:tr>
    </w:tbl>
    <w:p>
      <w:pPr>
        <w:ind w:left="2100"/>
        <w:spacing w:after="0"/>
        <w:rPr>
          <w:sz w:val="20"/>
          <w:szCs w:val="20"/>
          <w:color w:val="auto"/>
        </w:rPr>
      </w:pPr>
      <w:r>
        <w:rPr>
          <w:rFonts w:ascii="Arial" w:cs="Arial" w:eastAsia="Arial" w:hAnsi="Arial"/>
          <w:sz w:val="18"/>
          <w:szCs w:val="18"/>
          <w:color w:val="auto"/>
        </w:rPr>
        <w:t>File No. 0-19424)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520"/>
          </w:cols>
          <w:pgMar w:left="660" w:top="796" w:right="719" w:bottom="1440" w:gutter="0" w:footer="0" w:header="0"/>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380365</wp:posOffset>
            </wp:positionV>
            <wp:extent cx="230695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December 23,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 78746</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Senior Vice President, General Counsel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an additional 500,000 shares of the Company's Class A Non-Voting Common Stock, par value $.01 per share (the “Shares”), that may be issued from time to time pursuant to awards granted under the EZCORP 2010 Long-Term Incentive Plan (the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reaching the opinion set forth herein, I have examined such agreements, certificates of public officials and officers of the Company, records, documents and matters of law as I deemed relevant.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opinion expressed above is limited to the laws of the State of Texas, the Delaware General Corporation Law and the federal laws of the United States of America. I am not admitted to the practice of law in the State of Delaware.</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3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420"/>
          </w:cols>
          <w:pgMar w:left="240" w:top="101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hereby consent to the incorporation by reference in this Registration Statement of our reports dated December 14, 2016, relating to the consolidated financial statements, and the effectiveness of EZCORP, Inc.'s internal control over financial reporting appearing in the Company's Annual Report on Form 10-K for the year ended September 30, 2016.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2016</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relating to the consolidated financial statements of EZCORP, Inc. and subsidiaries dated November 26, 2014 (November 9, 2015 as to the effects of the restatement discussed in Note 22; December 23, 2015 as to Note 3 (relating to the adjustments for discontinued operations arising in 2015) and Note 18 (relating to the change in reportable segments in 2015); December 14, 2016 as to the effects of the restatement discussed in Note 2) (which report expresses an unqualified opinion; includes an explanatory paragraph that the retrospective adjustments for the adoption of ASU 2014-08 were audited by other auditors; and includes an explanatory paragraph related to the restatement of the 2014 consolidated financial statements) appearing in the Annual Report on Form 10-K of EZCORP, Inc. for the year ended September 30, 2016.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2020-01-22T00:09:34Z</dcterms:created>
  <dcterms:modified xsi:type="dcterms:W3CDTF">2020-01-22T00:09:34Z</dcterms:modified>
</cp:coreProperties>
</file>