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7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jc w:val="center"/>
        <w:ind w:right="3779"/>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right="3899"/>
        <w:spacing w:after="0" w:line="235" w:lineRule="auto"/>
        <w:rPr>
          <w:sz w:val="20"/>
          <w:szCs w:val="20"/>
          <w:color w:val="auto"/>
        </w:rPr>
      </w:pPr>
      <w:r>
        <w:rPr>
          <w:rFonts w:ascii="Courier New" w:cs="Courier New" w:eastAsia="Courier New" w:hAnsi="Courier New"/>
          <w:sz w:val="18"/>
          <w:szCs w:val="18"/>
          <w:color w:val="auto"/>
        </w:rPr>
        <w:t>[x]QUARTERLY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December 31, 1996</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both"/>
        <w:ind w:left="1060" w:right="3899" w:firstLine="1"/>
        <w:spacing w:after="0" w:line="235" w:lineRule="auto"/>
        <w:tabs>
          <w:tab w:leader="none" w:pos="148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 [NO</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FEE REQUIRED]</w:t>
      </w:r>
    </w:p>
    <w:p>
      <w:pPr>
        <w:spacing w:after="0" w:line="202" w:lineRule="exact"/>
        <w:rPr>
          <w:sz w:val="24"/>
          <w:szCs w:val="24"/>
          <w:color w:val="auto"/>
        </w:rPr>
      </w:pPr>
    </w:p>
    <w:p>
      <w:pPr>
        <w:spacing w:after="0"/>
        <w:tabs>
          <w:tab w:leader="none" w:pos="620" w:val="left"/>
          <w:tab w:leader="none" w:pos="1260" w:val="left"/>
          <w:tab w:leader="none" w:pos="2620" w:val="left"/>
          <w:tab w:leader="none" w:pos="3560" w:val="left"/>
          <w:tab w:leader="none" w:pos="4300" w:val="left"/>
          <w:tab w:leader="none" w:pos="61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8"/>
          <w:szCs w:val="18"/>
          <w:color w:val="auto"/>
        </w:rPr>
        <w:t>transition</w:t>
      </w:r>
      <w:r>
        <w:rPr>
          <w:sz w:val="20"/>
          <w:szCs w:val="20"/>
          <w:color w:val="auto"/>
        </w:rPr>
        <w:tab/>
      </w:r>
      <w:r>
        <w:rPr>
          <w:rFonts w:ascii="Courier New" w:cs="Courier New" w:eastAsia="Courier New" w:hAnsi="Courier New"/>
          <w:sz w:val="18"/>
          <w:szCs w:val="18"/>
          <w:color w:val="auto"/>
        </w:rPr>
        <w:t>period</w:t>
        <w:tab/>
        <w:t>from</w:t>
        <w:tab/>
        <w:t>______________</w:t>
      </w:r>
      <w:r>
        <w:rPr>
          <w:sz w:val="20"/>
          <w:szCs w:val="20"/>
          <w:color w:val="auto"/>
        </w:rPr>
        <w:tab/>
      </w:r>
      <w:r>
        <w:rPr>
          <w:rFonts w:ascii="Courier New" w:cs="Courier New" w:eastAsia="Courier New" w:hAnsi="Courier New"/>
          <w:sz w:val="16"/>
          <w:szCs w:val="16"/>
          <w:color w:val="auto"/>
        </w:rPr>
        <w:t>to</w:t>
      </w:r>
    </w:p>
    <w:p>
      <w:pPr>
        <w:spacing w:after="0" w:line="238" w:lineRule="auto"/>
        <w:rPr>
          <w:sz w:val="20"/>
          <w:szCs w:val="20"/>
          <w:color w:val="auto"/>
        </w:rPr>
      </w:pPr>
      <w:r>
        <w:rPr>
          <w:rFonts w:ascii="Courier New" w:cs="Courier New" w:eastAsia="Courier New" w:hAnsi="Courier New"/>
          <w:sz w:val="18"/>
          <w:szCs w:val="18"/>
          <w:color w:val="auto"/>
        </w:rPr>
        <w:t>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Commission File Number 0-19424</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2540"/>
        <w:spacing w:after="0"/>
        <w:rPr>
          <w:sz w:val="20"/>
          <w:szCs w:val="20"/>
          <w:color w:val="auto"/>
        </w:rPr>
      </w:pPr>
      <w:r>
        <w:rPr>
          <w:rFonts w:ascii="Courier New" w:cs="Courier New" w:eastAsia="Courier New" w:hAnsi="Courier New"/>
          <w:sz w:val="18"/>
          <w:szCs w:val="18"/>
          <w:color w:val="auto"/>
        </w:rPr>
        <w:t>EZCORP, INC.</w:t>
      </w:r>
    </w:p>
    <w:p>
      <w:pPr>
        <w:ind w:left="320"/>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74-2540145</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1"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1901 Capital Parkway</w:t>
      </w:r>
    </w:p>
    <w:p>
      <w:pPr>
        <w:jc w:val="center"/>
        <w:ind w:right="3879"/>
        <w:spacing w:after="0"/>
        <w:tabs>
          <w:tab w:leader="none" w:pos="200" w:val="left"/>
        </w:tabs>
        <w:rPr>
          <w:sz w:val="20"/>
          <w:szCs w:val="20"/>
          <w:color w:val="auto"/>
        </w:rPr>
      </w:pPr>
      <w:r>
        <w:rPr>
          <w:rFonts w:ascii="Courier New" w:cs="Courier New" w:eastAsia="Courier New" w:hAnsi="Courier New"/>
          <w:sz w:val="18"/>
          <w:szCs w:val="18"/>
          <w:color w:val="auto"/>
        </w:rPr>
        <w:t>Austin, Texas</w:t>
      </w:r>
      <w:r>
        <w:rPr>
          <w:sz w:val="20"/>
          <w:szCs w:val="20"/>
          <w:color w:val="auto"/>
        </w:rPr>
        <w:tab/>
      </w:r>
      <w:r>
        <w:rPr>
          <w:rFonts w:ascii="Courier New" w:cs="Courier New" w:eastAsia="Courier New" w:hAnsi="Courier New"/>
          <w:sz w:val="16"/>
          <w:szCs w:val="16"/>
          <w:color w:val="auto"/>
        </w:rPr>
        <w:t>78746</w:t>
      </w:r>
    </w:p>
    <w:p>
      <w:pPr>
        <w:jc w:val="center"/>
        <w:ind w:right="389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(512) 314-3400</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NA</w:t>
      </w:r>
    </w:p>
    <w:p>
      <w:pPr>
        <w:jc w:val="center"/>
        <w:ind w:right="389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3779"/>
        <w:spacing w:after="0"/>
        <w:rPr>
          <w:sz w:val="20"/>
          <w:szCs w:val="20"/>
          <w:color w:val="auto"/>
        </w:rPr>
      </w:pPr>
      <w:r>
        <w:rPr>
          <w:rFonts w:ascii="Courier New" w:cs="Courier New" w:eastAsia="Courier New" w:hAnsi="Courier New"/>
          <w:sz w:val="18"/>
          <w:szCs w:val="18"/>
          <w:color w:val="auto"/>
        </w:rPr>
        <w:t>if changed since last report)</w:t>
      </w:r>
    </w:p>
    <w:p>
      <w:pPr>
        <w:spacing w:after="0" w:line="206" w:lineRule="exact"/>
        <w:rPr>
          <w:sz w:val="24"/>
          <w:szCs w:val="24"/>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w:t>
      </w:r>
    </w:p>
    <w:p>
      <w:pPr>
        <w:spacing w:after="0" w:line="205"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The only class of voting securities of the registrant issued and outstanding is the Class B Voting Common Stock, par value $.01 per share, 100% of which is owned by two record holders which are affiliates of the registrant. There is no trading market for the Class B Voting Common Stock.</w:t>
      </w:r>
    </w:p>
    <w:p>
      <w:pPr>
        <w:spacing w:after="0" w:line="210" w:lineRule="exact"/>
        <w:rPr>
          <w:sz w:val="24"/>
          <w:szCs w:val="24"/>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As of December 31, 1996, 9,959,536 shares of the registrant's Class A Non-voting Common Stock, par value $.01 per share and 2,036,296 shares of the registrant's Class B Voting Common Stock, par value $.01 per share were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3879"/>
        <w:spacing w:after="0"/>
        <w:rPr>
          <w:sz w:val="20"/>
          <w:szCs w:val="20"/>
          <w:color w:val="auto"/>
        </w:rPr>
      </w:pPr>
      <w:r>
        <w:rPr>
          <w:rFonts w:ascii="Courier New" w:cs="Courier New" w:eastAsia="Courier New" w:hAnsi="Courier New"/>
          <w:sz w:val="18"/>
          <w:szCs w:val="18"/>
          <w:color w:val="auto"/>
        </w:rPr>
        <w:t>EZCORP, INC.</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INDEX TO FORM 10-Q</w:t>
      </w:r>
    </w:p>
    <w:p>
      <w:pPr>
        <w:spacing w:after="0" w:line="22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Page</w:t>
      </w:r>
    </w:p>
    <w:p>
      <w:pPr>
        <w:sectPr>
          <w:pgSz w:w="11900" w:h="16838" w:orient="portrait"/>
          <w:cols w:equalWidth="0" w:num="1">
            <w:col w:w="10219"/>
          </w:cols>
          <w:pgMar w:left="240" w:top="514"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ectPr>
          <w:pgSz w:w="11900" w:h="16838" w:orient="portrait"/>
          <w:cols w:equalWidth="0" w:num="2">
            <w:col w:w="740" w:space="220"/>
            <w:col w:w="9259"/>
          </w:cols>
          <w:pgMar w:left="240" w:top="514"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Item 1. Financial Statements (Unaudited)</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left="740" w:right="20"/>
        <w:spacing w:after="0" w:line="290" w:lineRule="auto"/>
        <w:rPr>
          <w:sz w:val="20"/>
          <w:szCs w:val="20"/>
          <w:color w:val="auto"/>
        </w:rPr>
      </w:pPr>
      <w:r>
        <w:rPr>
          <w:rFonts w:ascii="Courier New" w:cs="Courier New" w:eastAsia="Courier New" w:hAnsi="Courier New"/>
          <w:sz w:val="16"/>
          <w:szCs w:val="16"/>
          <w:color w:val="auto"/>
        </w:rPr>
        <w:t>Condensed Consolidated Balance Sheets - December 31, 1996 and September 30,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24"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ind w:left="740" w:right="4319"/>
        <w:spacing w:after="0" w:line="290" w:lineRule="auto"/>
        <w:rPr>
          <w:sz w:val="20"/>
          <w:szCs w:val="20"/>
          <w:color w:val="auto"/>
        </w:rPr>
      </w:pPr>
      <w:r>
        <w:rPr>
          <w:rFonts w:ascii="Courier New" w:cs="Courier New" w:eastAsia="Courier New" w:hAnsi="Courier New"/>
          <w:sz w:val="16"/>
          <w:szCs w:val="16"/>
          <w:color w:val="auto"/>
        </w:rPr>
        <w:t>Condensed Consolidated Statements of Operations - Three Months Ended December 31, 1996 and 1995 2</w:t>
      </w:r>
    </w:p>
    <w:p>
      <w:pPr>
        <w:spacing w:after="0" w:line="170" w:lineRule="exact"/>
        <w:rPr>
          <w:sz w:val="20"/>
          <w:szCs w:val="20"/>
          <w:color w:val="auto"/>
        </w:rPr>
      </w:pPr>
    </w:p>
    <w:p>
      <w:pPr>
        <w:ind w:left="740" w:right="4319"/>
        <w:spacing w:after="0" w:line="290" w:lineRule="auto"/>
        <w:rPr>
          <w:sz w:val="20"/>
          <w:szCs w:val="20"/>
          <w:color w:val="auto"/>
        </w:rPr>
      </w:pPr>
      <w:r>
        <w:rPr>
          <w:rFonts w:ascii="Courier New" w:cs="Courier New" w:eastAsia="Courier New" w:hAnsi="Courier New"/>
          <w:sz w:val="16"/>
          <w:szCs w:val="16"/>
          <w:color w:val="auto"/>
        </w:rPr>
        <w:t>Condensed Consolidated Statements of Cash Flows - Three Months Ended December 31, 1996 and 1995 3</w:t>
      </w:r>
    </w:p>
    <w:p>
      <w:pPr>
        <w:spacing w:after="0" w:line="17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Notes to Interim Condensed Consolidated Financial</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Statements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2. Management's Discussion and Analysis of</w:t>
      </w:r>
    </w:p>
    <w:p>
      <w:pPr>
        <w:ind w:left="740"/>
        <w:spacing w:after="0"/>
        <w:tabs>
          <w:tab w:leader="none" w:pos="5680" w:val="left"/>
        </w:tabs>
        <w:rPr>
          <w:sz w:val="20"/>
          <w:szCs w:val="20"/>
          <w:color w:val="auto"/>
        </w:rPr>
      </w:pPr>
      <w:r>
        <w:rPr>
          <w:rFonts w:ascii="Courier New" w:cs="Courier New" w:eastAsia="Courier New" w:hAnsi="Courier New"/>
          <w:sz w:val="18"/>
          <w:szCs w:val="18"/>
          <w:color w:val="auto"/>
        </w:rPr>
        <w:t>Financial Condition and Results of Operations</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219"/>
          </w:cols>
          <w:pgMar w:left="240" w:top="514"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PART I</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207" w:lineRule="exact"/>
        <w:rPr>
          <w:sz w:val="20"/>
          <w:szCs w:val="20"/>
          <w:color w:val="auto"/>
        </w:rPr>
      </w:pPr>
    </w:p>
    <w:p>
      <w:pPr>
        <w:jc w:val="center"/>
        <w:ind w:right="3779"/>
        <w:spacing w:after="0" w:line="236" w:lineRule="auto"/>
        <w:rPr>
          <w:sz w:val="20"/>
          <w:szCs w:val="20"/>
          <w:color w:val="auto"/>
        </w:rPr>
      </w:pPr>
      <w:r>
        <w:rPr>
          <w:rFonts w:ascii="Courier New" w:cs="Courier New" w:eastAsia="Courier New" w:hAnsi="Courier New"/>
          <w:sz w:val="18"/>
          <w:szCs w:val="18"/>
          <w:color w:val="auto"/>
        </w:rPr>
        <w:t>EZCORP, Inc. and Subsidiaries Condensed Consolidated Balance Sheets (Unaudited) (Dollars in thousands)</w:t>
      </w:r>
    </w:p>
    <w:p>
      <w:pPr>
        <w:spacing w:after="0" w:line="203" w:lineRule="exact"/>
        <w:rPr>
          <w:sz w:val="20"/>
          <w:szCs w:val="20"/>
          <w:color w:val="auto"/>
        </w:rPr>
      </w:pPr>
    </w:p>
    <w:p>
      <w:pPr>
        <w:ind w:left="3060"/>
        <w:spacing w:after="0"/>
        <w:tabs>
          <w:tab w:leader="none" w:pos="452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September 30,</w:t>
      </w:r>
    </w:p>
    <w:tbl>
      <w:tblPr>
        <w:tblLayout w:type="fixed"/>
        <w:tblInd w:w="0" w:type="dxa"/>
        <w:tblCellMar>
          <w:top w:w="0" w:type="dxa"/>
          <w:left w:w="0" w:type="dxa"/>
          <w:bottom w:w="0" w:type="dxa"/>
          <w:right w:w="0" w:type="dxa"/>
        </w:tblCellMar>
      </w:tblPr>
      <w:tr>
        <w:trPr>
          <w:trHeight w:val="203"/>
        </w:trPr>
        <w:tc>
          <w:tcPr>
            <w:tcW w:w="402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rPr>
              <w:t>1996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280" w:type="dxa"/>
            <w:vAlign w:val="bottom"/>
            <w:gridSpan w:val="5"/>
          </w:tcPr>
          <w:p>
            <w:pPr>
              <w:ind w:left="38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2,793</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1,419</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Pawn loans receivable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35,775</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34,636</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Service charge receivable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10,693</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10,262</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Inventories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34,673</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35,834</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2,366</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2,140</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2,378</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2,998</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88,678</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87,289</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Property and equipment,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33,850</w:t>
            </w:r>
          </w:p>
        </w:tc>
        <w:tc>
          <w:tcPr>
            <w:tcW w:w="32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34,266</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Excess purchase price over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 acquired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12,981</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13,099</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5,737</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5,712</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141,246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140,366</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long-term debt</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7,546</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8,183</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Federal income taxes payable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1,420</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1,974</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1,976</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11,117</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11,131</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Long-term debt less current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maturities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15,199</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16,244</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Preferred stock, par value $.01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 share - Authorized 5,000,000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44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7"/>
              </w:rPr>
              <w:t>shares; none issued and outstanding</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Class A Non-voting Common stock,</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par value $.01 a share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40,000,000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9,968,569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9,959,536 outstanding at December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1996 (9,728,904 issued and 9,719,871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outstanding September 30, 1996)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Class B Voting Common stock,</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par value $.01 a share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Authorized 2,274,969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2,036,296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1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outstanding at December 31, 1996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7"/>
              </w:rPr>
              <w:t>(2,270,863 issued and outstanding</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September 30, 1996)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114,338</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114,301</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1,236</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(666)</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115,694</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113,755</w:t>
            </w:r>
          </w:p>
        </w:tc>
      </w:tr>
      <w:tr>
        <w:trPr>
          <w:trHeight w:val="203"/>
        </w:trPr>
        <w:tc>
          <w:tcPr>
            <w:tcW w:w="4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(764)</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114,930</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112,991</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141,246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140,366</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See Notes to Interim Condensed Consolidated Financial Statements (unaudited).</w:t>
      </w:r>
    </w:p>
    <w:p>
      <w:pPr>
        <w:sectPr>
          <w:pgSz w:w="11900" w:h="16838" w:orient="portrait"/>
          <w:cols w:equalWidth="0" w:num="1">
            <w:col w:w="10219"/>
          </w:cols>
          <w:pgMar w:left="240" w:top="514" w:right="1440" w:bottom="16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120" w:type="dxa"/>
            <w:vAlign w:val="bottom"/>
            <w:gridSpan w:val="3"/>
          </w:tcPr>
          <w:p>
            <w:pPr>
              <w:jc w:val="right"/>
              <w:ind w:right="292"/>
              <w:spacing w:after="0"/>
              <w:rPr>
                <w:sz w:val="20"/>
                <w:szCs w:val="20"/>
                <w:color w:val="auto"/>
              </w:rPr>
            </w:pPr>
            <w:r>
              <w:rPr>
                <w:rFonts w:ascii="Courier New" w:cs="Courier New" w:eastAsia="Courier New" w:hAnsi="Courier New"/>
                <w:sz w:val="18"/>
                <w:szCs w:val="18"/>
                <w:color w:val="auto"/>
              </w:rPr>
              <w:t>EZCORP, Inc. and Subsidiaries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Condensed Consolidated Statements of Operations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(Unaudited)</w:t>
            </w:r>
          </w:p>
        </w:tc>
      </w:tr>
      <w:tr>
        <w:trPr>
          <w:trHeight w:val="203"/>
        </w:trPr>
        <w:tc>
          <w:tcPr>
            <w:tcW w:w="6320" w:type="dxa"/>
            <w:vAlign w:val="bottom"/>
            <w:gridSpan w:val="5"/>
          </w:tcPr>
          <w:p>
            <w:pPr>
              <w:jc w:val="right"/>
              <w:ind w:right="532"/>
              <w:spacing w:after="0" w:line="203" w:lineRule="exact"/>
              <w:rPr>
                <w:sz w:val="20"/>
                <w:szCs w:val="20"/>
                <w:color w:val="auto"/>
              </w:rPr>
            </w:pPr>
            <w:r>
              <w:rPr>
                <w:rFonts w:ascii="Courier New" w:cs="Courier New" w:eastAsia="Courier New" w:hAnsi="Courier New"/>
                <w:sz w:val="18"/>
                <w:szCs w:val="18"/>
                <w:color w:val="auto"/>
              </w:rPr>
              <w:t>(Dollars in thousands, except per share amounts)</w:t>
            </w:r>
          </w:p>
        </w:tc>
      </w:tr>
      <w:tr>
        <w:trPr>
          <w:trHeight w:val="405"/>
        </w:trPr>
        <w:tc>
          <w:tcPr>
            <w:tcW w:w="6320" w:type="dxa"/>
            <w:vAlign w:val="bottom"/>
            <w:gridSpan w:val="5"/>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74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32,118</w:t>
            </w: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18,742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19,315</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revenues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45,842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51,433</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22,512</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27,995</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revenues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23,330</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23,438</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Operations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15,013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16,555</w:t>
            </w: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2,940</w:t>
            </w: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1,894</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20,096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21,389</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2,049</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291</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762</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1,287</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Income tax expense</w:t>
            </w:r>
          </w:p>
        </w:tc>
        <w:tc>
          <w:tcPr>
            <w:tcW w:w="5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1,040</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462</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3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Weighted average shares outstanding</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11,992,718</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11,980,912</w:t>
            </w:r>
          </w:p>
        </w:tc>
      </w:tr>
      <w:tr>
        <w:trPr>
          <w:trHeight w:val="203"/>
        </w:trPr>
        <w:tc>
          <w:tcPr>
            <w:tcW w:w="374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Interim Condensed Consolidated</w:t>
      </w:r>
    </w:p>
    <w:p>
      <w:pPr>
        <w:spacing w:after="0" w:line="238" w:lineRule="auto"/>
        <w:rPr>
          <w:sz w:val="20"/>
          <w:szCs w:val="20"/>
          <w:color w:val="auto"/>
        </w:rPr>
      </w:pPr>
      <w:r>
        <w:rPr>
          <w:rFonts w:ascii="Courier New" w:cs="Courier New" w:eastAsia="Courier New" w:hAnsi="Courier New"/>
          <w:sz w:val="18"/>
          <w:szCs w:val="18"/>
          <w:color w:val="auto"/>
        </w:rPr>
        <w:t>Financial Statements (unaudited).</w:t>
      </w:r>
    </w:p>
    <w:p>
      <w:pPr>
        <w:sectPr>
          <w:pgSz w:w="11900" w:h="16838" w:orient="portrait"/>
          <w:cols w:equalWidth="0" w:num="1">
            <w:col w:w="10219"/>
          </w:cols>
          <w:pgMar w:left="240" w:top="514" w:right="1440" w:bottom="1440" w:gutter="0" w:footer="0" w:header="0"/>
        </w:sectPr>
      </w:pPr>
    </w:p>
    <w:bookmarkStart w:id="4" w:name="page5"/>
    <w:bookmarkEnd w:id="4"/>
    <w:p>
      <w:pPr>
        <w:jc w:val="center"/>
        <w:ind w:left="460" w:right="320"/>
        <w:spacing w:after="0" w:line="236" w:lineRule="auto"/>
        <w:rPr>
          <w:sz w:val="20"/>
          <w:szCs w:val="20"/>
          <w:color w:val="auto"/>
        </w:rPr>
      </w:pPr>
      <w:r>
        <w:rPr>
          <w:rFonts w:ascii="Courier New" w:cs="Courier New" w:eastAsia="Courier New" w:hAnsi="Courier New"/>
          <w:sz w:val="18"/>
          <w:szCs w:val="18"/>
          <w:color w:val="auto"/>
        </w:rPr>
        <w:t>EZCORP, Inc. and SubsidiariesCondensed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gridSpan w:val="4"/>
          </w:tcPr>
          <w:p>
            <w:pPr>
              <w:ind w:left="3580"/>
              <w:spacing w:after="0"/>
              <w:rPr>
                <w:sz w:val="20"/>
                <w:szCs w:val="20"/>
                <w:color w:val="auto"/>
              </w:rPr>
            </w:pPr>
            <w:r>
              <w:rPr>
                <w:rFonts w:ascii="Courier New" w:cs="Courier New" w:eastAsia="Courier New" w:hAnsi="Courier New"/>
                <w:sz w:val="18"/>
                <w:szCs w:val="18"/>
                <w:color w:val="auto"/>
                <w:w w:val="96"/>
              </w:rPr>
              <w:t>Three Months Ended</w:t>
            </w:r>
          </w:p>
        </w:tc>
        <w:tc>
          <w:tcPr>
            <w:tcW w:w="740" w:type="dxa"/>
            <w:vAlign w:val="bottom"/>
          </w:tcPr>
          <w:p>
            <w:pPr>
              <w:spacing w:after="0"/>
              <w:rPr>
                <w:sz w:val="17"/>
                <w:szCs w:val="17"/>
                <w:color w:val="auto"/>
              </w:rPr>
            </w:pPr>
          </w:p>
        </w:tc>
      </w:tr>
      <w:tr>
        <w:trPr>
          <w:trHeight w:val="203"/>
        </w:trPr>
        <w:tc>
          <w:tcPr>
            <w:tcW w:w="5320" w:type="dxa"/>
            <w:vAlign w:val="bottom"/>
            <w:gridSpan w:val="3"/>
          </w:tcPr>
          <w:p>
            <w:pPr>
              <w:ind w:left="3700"/>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220" w:type="dxa"/>
            <w:vAlign w:val="bottom"/>
            <w:gridSpan w:val="5"/>
          </w:tcPr>
          <w:p>
            <w:pPr>
              <w:ind w:left="4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3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1,894</w:t>
            </w: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10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operating assets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liabilities: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(Increase)/decrease in service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charge receivable</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1,229</w:t>
            </w:r>
          </w:p>
        </w:tc>
      </w:tr>
      <w:tr>
        <w:trPr>
          <w:trHeight w:val="203"/>
        </w:trPr>
        <w:tc>
          <w:tcPr>
            <w:tcW w:w="532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w w:val="98"/>
              </w:rPr>
              <w:t>(Increase)/decrease in inventories 1,161</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(Increase)/decrease in prepaid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expenses and other assets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w:t>
            </w: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Increase/(decrease) in accounts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payable and accrued expenses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w:t>
            </w: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Increase/(decrease) in customer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layaway deposits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532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Decrease in income taxes recoverable  -</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4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7"/>
              </w:rPr>
              <w:t>Increase in income taxes payable</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32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activities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4,734</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Pawn loans forfeited and transferred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inventories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11,466</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16,512</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loans made</w:t>
            </w:r>
          </w:p>
        </w:tc>
        <w:tc>
          <w:tcPr>
            <w:tcW w:w="17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(32,374)(39,339)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loans repaid</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19,769</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28,627</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w w:val="98"/>
              </w:rPr>
              <w:t>Net (increase)/decrease in loans (1,139)</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r>
      <w:tr>
        <w:trPr>
          <w:trHeight w:val="405"/>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Additions to property, plant,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(1,181)</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of assets</w:t>
            </w:r>
          </w:p>
        </w:tc>
        <w:tc>
          <w:tcPr>
            <w:tcW w:w="10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736</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provided/(used) by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(2,320)</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bank borrowings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1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on borrowings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(2,040)</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(5,046)</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(used) by financing</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activities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(1,040)</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(5,046)</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cash and cash equivalents</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6,683</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1,419</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4,593</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at end of period</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2,793</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$11,276</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NONCASH INVESTING AND FINANCING ACTIVITIES: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common stock to</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401(k) Plan</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See Notes to Interim Condensed Consolidated Financial Statements (unaudited).</w:t>
      </w:r>
    </w:p>
    <w:p>
      <w:pPr>
        <w:sectPr>
          <w:pgSz w:w="11900" w:h="16838" w:orient="portrait"/>
          <w:cols w:equalWidth="0" w:num="1">
            <w:col w:w="10219"/>
          </w:cols>
          <w:pgMar w:left="240" w:top="520" w:right="1440" w:bottom="971" w:gutter="0" w:footer="0" w:header="0"/>
        </w:sectPr>
      </w:pPr>
    </w:p>
    <w:bookmarkStart w:id="5" w:name="page6"/>
    <w:bookmarkEnd w:id="5"/>
    <w:p>
      <w:pPr>
        <w:ind w:left="960" w:right="4099" w:hanging="631"/>
        <w:spacing w:after="0" w:line="268" w:lineRule="auto"/>
        <w:rPr>
          <w:sz w:val="20"/>
          <w:szCs w:val="20"/>
          <w:color w:val="auto"/>
        </w:rPr>
      </w:pPr>
      <w:r>
        <w:rPr>
          <w:rFonts w:ascii="Courier New" w:cs="Courier New" w:eastAsia="Courier New" w:hAnsi="Courier New"/>
          <w:sz w:val="16"/>
          <w:szCs w:val="16"/>
          <w:color w:val="auto"/>
        </w:rPr>
        <w:t>EZCORP, Inc. and SubsidiariesNotes to Interim Condensed Consolidated Financial Statements (Unaudited)</w:t>
      </w:r>
    </w:p>
    <w:p>
      <w:pPr>
        <w:ind w:left="1800"/>
        <w:spacing w:after="0" w:line="233" w:lineRule="auto"/>
        <w:rPr>
          <w:sz w:val="20"/>
          <w:szCs w:val="20"/>
          <w:color w:val="auto"/>
        </w:rPr>
      </w:pPr>
      <w:r>
        <w:rPr>
          <w:rFonts w:ascii="Courier New" w:cs="Courier New" w:eastAsia="Courier New" w:hAnsi="Courier New"/>
          <w:sz w:val="18"/>
          <w:szCs w:val="18"/>
          <w:color w:val="auto"/>
        </w:rPr>
        <w:t>December 31, 1996</w:t>
      </w:r>
    </w:p>
    <w:p>
      <w:pPr>
        <w:spacing w:after="0" w:line="200" w:lineRule="exact"/>
        <w:rPr>
          <w:sz w:val="20"/>
          <w:szCs w:val="20"/>
          <w:color w:val="auto"/>
        </w:rPr>
      </w:pPr>
    </w:p>
    <w:p>
      <w:pPr>
        <w:spacing w:after="0" w:line="210" w:lineRule="exact"/>
        <w:rPr>
          <w:sz w:val="20"/>
          <w:szCs w:val="20"/>
          <w:color w:val="auto"/>
        </w:rPr>
      </w:pPr>
    </w:p>
    <w:p>
      <w:pPr>
        <w:jc w:val="both"/>
        <w:ind w:right="3899"/>
        <w:spacing w:after="0" w:line="270" w:lineRule="auto"/>
        <w:rPr>
          <w:sz w:val="20"/>
          <w:szCs w:val="20"/>
          <w:color w:val="auto"/>
        </w:rPr>
      </w:pPr>
      <w:r>
        <w:rPr>
          <w:rFonts w:ascii="Courier New" w:cs="Courier New" w:eastAsia="Courier New" w:hAnsi="Courier New"/>
          <w:sz w:val="16"/>
          <w:szCs w:val="16"/>
          <w:color w:val="auto"/>
        </w:rPr>
        <w:t>Note A - Basis of PresentationThe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entries) considered necessary for a fair presentation have been included. The accompanying financial statements should be read with the Notes to Consolidated Financial Statements included in the Company's Annual Report on Form 10-K for the year ended September 30, 1996.</w:t>
      </w:r>
    </w:p>
    <w:p>
      <w:pPr>
        <w:spacing w:after="0" w:line="388" w:lineRule="exact"/>
        <w:rPr>
          <w:sz w:val="20"/>
          <w:szCs w:val="20"/>
          <w:color w:val="auto"/>
        </w:rPr>
      </w:pPr>
    </w:p>
    <w:p>
      <w:pPr>
        <w:jc w:val="both"/>
        <w:ind w:right="3899" w:firstLine="737"/>
        <w:spacing w:after="0" w:line="275" w:lineRule="auto"/>
        <w:rPr>
          <w:sz w:val="20"/>
          <w:szCs w:val="20"/>
          <w:color w:val="auto"/>
        </w:rPr>
      </w:pPr>
      <w:r>
        <w:rPr>
          <w:rFonts w:ascii="Courier New" w:cs="Courier New" w:eastAsia="Courier New" w:hAnsi="Courier New"/>
          <w:sz w:val="16"/>
          <w:szCs w:val="16"/>
          <w:color w:val="auto"/>
        </w:rPr>
        <w:t>The Company's business is subject to seasonal variations, and operating results for the three-month period ended December 31, 1996 are not necessarily indicative of the results of operations for the full fiscal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Accounting Principles and Practices</w:t>
      </w:r>
    </w:p>
    <w:p>
      <w:pPr>
        <w:spacing w:after="0" w:line="207" w:lineRule="exact"/>
        <w:rPr>
          <w:sz w:val="20"/>
          <w:szCs w:val="20"/>
          <w:color w:val="auto"/>
        </w:rPr>
      </w:pPr>
    </w:p>
    <w:p>
      <w:pPr>
        <w:jc w:val="both"/>
        <w:ind w:right="3899" w:firstLine="632"/>
        <w:spacing w:after="0" w:line="236" w:lineRule="auto"/>
        <w:rPr>
          <w:sz w:val="20"/>
          <w:szCs w:val="20"/>
          <w:color w:val="auto"/>
        </w:rPr>
      </w:pPr>
      <w:r>
        <w:rPr>
          <w:rFonts w:ascii="Courier New" w:cs="Courier New" w:eastAsia="Courier New" w:hAnsi="Courier New"/>
          <w:sz w:val="18"/>
          <w:szCs w:val="18"/>
          <w:color w:val="auto"/>
        </w:rPr>
        <w:t>The provision for federal income taxes has been calculated based on the Company's estimate of its effective tax rate for the full fiscal year.</w:t>
      </w:r>
    </w:p>
    <w:p>
      <w:pPr>
        <w:spacing w:after="0" w:line="209" w:lineRule="exact"/>
        <w:rPr>
          <w:sz w:val="20"/>
          <w:szCs w:val="20"/>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To conform with the current year's presentation, $3.4 million of proceeds from the disposal of scrap jewelry have been reclassified from cost of sales to sales for the three-month period ended December 31, 1995.</w:t>
      </w:r>
    </w:p>
    <w:p>
      <w:pPr>
        <w:spacing w:after="0" w:line="207" w:lineRule="exact"/>
        <w:rPr>
          <w:sz w:val="20"/>
          <w:szCs w:val="20"/>
          <w:color w:val="auto"/>
        </w:rPr>
      </w:pPr>
    </w:p>
    <w:p>
      <w:pPr>
        <w:jc w:val="both"/>
        <w:ind w:right="3899" w:firstLine="632"/>
        <w:spacing w:after="0" w:line="273" w:lineRule="auto"/>
        <w:rPr>
          <w:sz w:val="20"/>
          <w:szCs w:val="20"/>
          <w:color w:val="auto"/>
        </w:rPr>
      </w:pPr>
      <w:r>
        <w:rPr>
          <w:rFonts w:ascii="Courier New" w:cs="Courier New" w:eastAsia="Courier New" w:hAnsi="Courier New"/>
          <w:sz w:val="16"/>
          <w:szCs w:val="16"/>
          <w:color w:val="auto"/>
        </w:rPr>
        <w:t>The Company provides inventory reserves for shrinkage and cost in excess of market value. The Company estimates these reserves using analysis of sales trends, inventory aging, sales margins and shrinkage on inventory. As of December 31, 1996, inventory reserves were $7.8 million.</w:t>
      </w:r>
    </w:p>
    <w:p>
      <w:pPr>
        <w:spacing w:after="0" w:line="185" w:lineRule="exact"/>
        <w:rPr>
          <w:sz w:val="20"/>
          <w:szCs w:val="20"/>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During fiscal 1995, the Company established a $7.7 million provision for the closing and consolidation of thirty-two (32) of its stores and for the write-down of tangible and intangible assets. As of December 31, 1996, all the stores have been closed. The December 31, 1996 accrued liability for store closings is $0.3 million, principally for estimated rent obligations.</w:t>
      </w:r>
    </w:p>
    <w:p>
      <w:pPr>
        <w:spacing w:after="0" w:line="211" w:lineRule="exact"/>
        <w:rPr>
          <w:sz w:val="20"/>
          <w:szCs w:val="20"/>
          <w:color w:val="auto"/>
        </w:rPr>
      </w:pPr>
    </w:p>
    <w:p>
      <w:pPr>
        <w:jc w:val="both"/>
        <w:ind w:right="3899" w:firstLine="632"/>
        <w:spacing w:after="0" w:line="270" w:lineRule="auto"/>
        <w:rPr>
          <w:sz w:val="20"/>
          <w:szCs w:val="20"/>
          <w:color w:val="auto"/>
        </w:rPr>
      </w:pPr>
      <w:r>
        <w:rPr>
          <w:rFonts w:ascii="Courier New" w:cs="Courier New" w:eastAsia="Courier New" w:hAnsi="Courier New"/>
          <w:sz w:val="16"/>
          <w:szCs w:val="16"/>
          <w:color w:val="auto"/>
        </w:rPr>
        <w:t>In October 1995, the Financial Accounting Standards Board issued FASB Statement No. 123, "Accounting for Stock Based Compensation" which prescribes accounting and reporting standards for all stock-based compensation plans. The Company has determined it will continue to account for its stock based compensation plans in accordance with Accounting Principles Board Opinion No. 25, "Accounting for Stock Issued to Employees." The Company will not expense the fair value of stock based compensation, but will provide proforma footnote disclosures in the annual report of what net income would have been had the Company adopted the new fair value method for recognition purposes.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Earnings Per Share</w:t>
      </w:r>
    </w:p>
    <w:p>
      <w:pPr>
        <w:spacing w:after="0" w:line="207" w:lineRule="exact"/>
        <w:rPr>
          <w:sz w:val="20"/>
          <w:szCs w:val="20"/>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Earnings per share calculations assume exercise of all outstanding stock options and warrants using the treasury stock method of calculation. The per share calculation excludes these common equivalent shares as their effect is anti-dilutive.</w:t>
      </w:r>
    </w:p>
    <w:p>
      <w:pPr>
        <w:sectPr>
          <w:pgSz w:w="11900" w:h="16838" w:orient="portrait"/>
          <w:cols w:equalWidth="0" w:num="1">
            <w:col w:w="10219"/>
          </w:cols>
          <w:pgMar w:left="240" w:top="520" w:right="1440" w:bottom="1440" w:gutter="0" w:footer="0" w:header="0"/>
        </w:sectPr>
      </w:pPr>
    </w:p>
    <w:bookmarkStart w:id="6" w:name="page7"/>
    <w:bookmarkEnd w:id="6"/>
    <w:p>
      <w:pPr>
        <w:jc w:val="center"/>
        <w:ind w:left="360" w:right="200"/>
        <w:spacing w:after="0" w:line="236" w:lineRule="auto"/>
        <w:rPr>
          <w:sz w:val="20"/>
          <w:szCs w:val="20"/>
          <w:color w:val="auto"/>
        </w:rPr>
      </w:pPr>
      <w:r>
        <w:rPr>
          <w:rFonts w:ascii="Courier New" w:cs="Courier New" w:eastAsia="Courier New" w:hAnsi="Courier New"/>
          <w:sz w:val="18"/>
          <w:szCs w:val="18"/>
          <w:color w:val="auto"/>
        </w:rPr>
        <w:t>EZCORP, Inc. and SubsidiariesNotes to Interim Condensed Consolidated Financial Statements (Unaudited) December 31,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Litigation</w:t>
      </w:r>
    </w:p>
    <w:p>
      <w:pPr>
        <w:spacing w:after="0" w:line="207" w:lineRule="exact"/>
        <w:rPr>
          <w:sz w:val="20"/>
          <w:szCs w:val="20"/>
          <w:color w:val="auto"/>
        </w:rPr>
      </w:pPr>
    </w:p>
    <w:p>
      <w:pPr>
        <w:jc w:val="both"/>
        <w:ind w:right="3899" w:firstLine="632"/>
        <w:spacing w:after="0" w:line="270" w:lineRule="auto"/>
        <w:rPr>
          <w:sz w:val="20"/>
          <w:szCs w:val="20"/>
          <w:color w:val="auto"/>
        </w:rPr>
      </w:pPr>
      <w:r>
        <w:rPr>
          <w:rFonts w:ascii="Courier New" w:cs="Courier New" w:eastAsia="Courier New" w:hAnsi="Courier New"/>
          <w:sz w:val="16"/>
          <w:szCs w:val="16"/>
          <w:color w:val="auto"/>
        </w:rPr>
        <w:t>The Company is involved in litigation relating to claims that arise from time to time from normal business operations. Currently, the Company is a defendant in several lawsuits. Some of these lawsuits involve claims for substantial amounts. While the ultimate outcome of these lawsuits involving the Company cannot be ascertained, after consultation with counsel, it is management's opinion that the resolution of these suits will not have a material adverse effect on the Company's financial condition or results of operations. However, there can be no assurance as to the ultimate outcome of these matters.</w:t>
      </w:r>
    </w:p>
    <w:p>
      <w:pPr>
        <w:sectPr>
          <w:pgSz w:w="11900" w:h="16838" w:orient="portrait"/>
          <w:cols w:equalWidth="0" w:num="1">
            <w:col w:w="10219"/>
          </w:cols>
          <w:pgMar w:left="240" w:top="520" w:right="1440" w:bottom="1440" w:gutter="0" w:footer="0" w:header="0"/>
        </w:sectPr>
      </w:pPr>
    </w:p>
    <w:bookmarkStart w:id="7" w:name="page8"/>
    <w:bookmarkEnd w:id="7"/>
    <w:p>
      <w:pPr>
        <w:ind w:left="540" w:right="431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2.Management's Discussion and Analysis of Financial Condition and Results of Operations</w:t>
      </w:r>
    </w:p>
    <w:p>
      <w:pPr>
        <w:spacing w:after="0" w:line="208" w:lineRule="exact"/>
        <w:rPr>
          <w:sz w:val="20"/>
          <w:szCs w:val="20"/>
          <w:color w:val="auto"/>
        </w:rPr>
      </w:pPr>
    </w:p>
    <w:p>
      <w:pPr>
        <w:jc w:val="both"/>
        <w:ind w:right="3899"/>
        <w:spacing w:after="0" w:line="235" w:lineRule="auto"/>
        <w:rPr>
          <w:sz w:val="20"/>
          <w:szCs w:val="20"/>
          <w:color w:val="auto"/>
        </w:rPr>
      </w:pPr>
      <w:r>
        <w:rPr>
          <w:rFonts w:ascii="Courier New" w:cs="Courier New" w:eastAsia="Courier New" w:hAnsi="Courier New"/>
          <w:sz w:val="18"/>
          <w:szCs w:val="18"/>
          <w:color w:val="auto"/>
        </w:rPr>
        <w:t>First Quarter Ended December 31, 1996 vs. First Quarter Ended December 31, 1995</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discussion in this section of this report contains</w:t>
      </w:r>
    </w:p>
    <w:p>
      <w:pPr>
        <w:spacing w:after="0" w:line="21"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forward-looking statements that involve risks and uncertainties. The Company's actual results could differ materially from those discussed herein. Factors that could cause or contribute to such differences include, but are not limited to, those discussed in this section and those discussed elsewhere in this report.</w:t>
      </w:r>
    </w:p>
    <w:p>
      <w:pPr>
        <w:spacing w:after="0" w:line="210" w:lineRule="exact"/>
        <w:rPr>
          <w:sz w:val="20"/>
          <w:szCs w:val="20"/>
          <w:color w:val="auto"/>
        </w:rPr>
      </w:pPr>
    </w:p>
    <w:p>
      <w:pPr>
        <w:jc w:val="both"/>
        <w:ind w:right="3899" w:firstLine="632"/>
        <w:spacing w:after="0" w:line="236" w:lineRule="auto"/>
        <w:rPr>
          <w:sz w:val="20"/>
          <w:szCs w:val="20"/>
          <w:color w:val="auto"/>
        </w:rPr>
      </w:pPr>
      <w:r>
        <w:rPr>
          <w:rFonts w:ascii="Courier New" w:cs="Courier New" w:eastAsia="Courier New" w:hAnsi="Courier New"/>
          <w:sz w:val="18"/>
          <w:szCs w:val="18"/>
          <w:color w:val="auto"/>
        </w:rPr>
        <w:t>The following table sets forth selected, unaudited, consolidated financial data with respect to the Company for the three months ended December 31, 1996 and 1995.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3"/>
          </w:tcPr>
          <w:p>
            <w:pPr>
              <w:ind w:left="2440"/>
              <w:spacing w:after="0"/>
              <w:rPr>
                <w:sz w:val="20"/>
                <w:szCs w:val="20"/>
                <w:color w:val="auto"/>
              </w:rPr>
            </w:pPr>
            <w:r>
              <w:rPr>
                <w:rFonts w:ascii="Courier New" w:cs="Courier New" w:eastAsia="Courier New" w:hAnsi="Courier New"/>
                <w:sz w:val="18"/>
                <w:szCs w:val="18"/>
                <w:color w:val="auto"/>
                <w:w w:val="95"/>
              </w:rPr>
              <w:t>Three Months Ended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or</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4120" w:type="dxa"/>
            <w:vAlign w:val="bottom"/>
            <w:gridSpan w:val="2"/>
          </w:tcPr>
          <w:p>
            <w:pPr>
              <w:ind w:left="2540"/>
              <w:spacing w:after="0" w:line="203" w:lineRule="exact"/>
              <w:rPr>
                <w:sz w:val="20"/>
                <w:szCs w:val="20"/>
                <w:color w:val="auto"/>
              </w:rPr>
            </w:pPr>
            <w:r>
              <w:rPr>
                <w:rFonts w:ascii="Courier New" w:cs="Courier New" w:eastAsia="Courier New" w:hAnsi="Courier New"/>
                <w:sz w:val="18"/>
                <w:szCs w:val="18"/>
                <w:color w:val="auto"/>
              </w:rPr>
              <w:t>December 31,</w:t>
            </w:r>
          </w:p>
        </w:tc>
        <w:tc>
          <w:tcPr>
            <w:tcW w:w="2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Point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Changea</w:t>
            </w:r>
          </w:p>
        </w:tc>
      </w:tr>
      <w:tr>
        <w:trPr>
          <w:trHeight w:val="203"/>
        </w:trPr>
        <w:tc>
          <w:tcPr>
            <w:tcW w:w="3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Salesb</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$ 27,100</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$ 32,118</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Pawn service charges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18,742</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19,315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revenuesb</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45,842</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51,433</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goods soldb</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22,512</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27,995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revenues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$ 23,330</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$ 23,438</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Data:</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 as a</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percent of salesb</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annual inventory</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turnover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2.5x</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2.5x</w:t>
            </w:r>
          </w:p>
        </w:tc>
        <w:tc>
          <w:tcPr>
            <w:tcW w:w="5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0.0x</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Average inventory balance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per location as of the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loan balance per</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location as of the end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quarter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$143</w:t>
            </w:r>
          </w:p>
        </w:tc>
        <w:tc>
          <w:tcPr>
            <w:tcW w:w="54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Average yield on loan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portfolio</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207%</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 pts.</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Redemption rate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 pts.</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as a Percent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Revenues:b</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32.2%</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0.5 pt.</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pts.</w:t>
            </w:r>
          </w:p>
        </w:tc>
      </w:tr>
      <w:tr>
        <w:trPr>
          <w:trHeight w:val="203"/>
        </w:trPr>
        <w:tc>
          <w:tcPr>
            <w:tcW w:w="41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Depreciation and amortization 4.1</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0.4 pt.</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net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(0.9) pt.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Locations in Operation: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261</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Acquired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Established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Sold, combined or closed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End of period</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Average locations in operation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 periodc</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247.0</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249.5</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540" w:right="389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comparing the period differences between dollar amounts or store counts, a percentage change is used. In comparing the period differences between two</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percentages, a percentage point (pt.) change is used.</w:t>
      </w:r>
    </w:p>
    <w:p>
      <w:pPr>
        <w:spacing w:after="0" w:line="4" w:lineRule="exact"/>
        <w:rPr>
          <w:sz w:val="20"/>
          <w:szCs w:val="20"/>
          <w:color w:val="auto"/>
        </w:rPr>
      </w:pPr>
    </w:p>
    <w:p>
      <w:pPr>
        <w:jc w:val="both"/>
        <w:ind w:left="540" w:right="389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from scrap and wholesale activity were reclassified from cost of goods sold to sales. All 1995 amounts have been adjusted as a result of this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reclassification.</w:t>
      </w:r>
    </w:p>
    <w:p>
      <w:pPr>
        <w:spacing w:after="0" w:line="4" w:lineRule="exact"/>
        <w:rPr>
          <w:sz w:val="20"/>
          <w:szCs w:val="20"/>
          <w:color w:val="auto"/>
        </w:rPr>
      </w:pPr>
    </w:p>
    <w:p>
      <w:pPr>
        <w:jc w:val="both"/>
        <w:ind w:left="540" w:right="3899" w:hanging="532"/>
        <w:spacing w:after="0" w:line="236"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locations in operation during the period is calculated based on the average of the locations operating at the beginning and end of such period.</w:t>
      </w:r>
    </w:p>
    <w:p>
      <w:pPr>
        <w:sectPr>
          <w:pgSz w:w="11900" w:h="16838" w:orient="portrait"/>
          <w:cols w:equalWidth="0" w:num="1">
            <w:col w:w="10219"/>
          </w:cols>
          <w:pgMar w:left="240" w:top="520" w:right="1440" w:bottom="161"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The following discussion compares results for the three-month period ended December 31, 1996 ("Fiscal 1997 Period") to the three month period ended December 31, 1995 ("Fiscal 1996 Period"). The discussion should be read in conjunction with the accompanying financial statements and related notes.</w:t>
      </w:r>
    </w:p>
    <w:p>
      <w:pPr>
        <w:spacing w:after="0" w:line="204" w:lineRule="exact"/>
        <w:rPr>
          <w:sz w:val="20"/>
          <w:szCs w:val="20"/>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During the Fiscal 1997 Period, the Company opened</w:t>
      </w:r>
      <w:r>
        <w:rPr>
          <w:sz w:val="20"/>
          <w:szCs w:val="20"/>
          <w:color w:val="auto"/>
        </w:rPr>
        <w:tab/>
      </w:r>
      <w:r>
        <w:rPr>
          <w:rFonts w:ascii="Courier New" w:cs="Courier New" w:eastAsia="Courier New" w:hAnsi="Courier New"/>
          <w:sz w:val="16"/>
          <w:szCs w:val="16"/>
          <w:color w:val="auto"/>
        </w:rPr>
        <w:t>two</w:t>
      </w:r>
    </w:p>
    <w:p>
      <w:pPr>
        <w:spacing w:after="0" w:line="4" w:lineRule="exact"/>
        <w:rPr>
          <w:sz w:val="20"/>
          <w:szCs w:val="20"/>
          <w:color w:val="auto"/>
        </w:rPr>
      </w:pPr>
    </w:p>
    <w:p>
      <w:pPr>
        <w:jc w:val="both"/>
        <w:ind w:right="38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 established stores. During the twelve (12) months ended December 31, 1996, the company opened eleven (11) newly establish stores and closed one (1). The store closing was a result of the Company's decision, made during the fourth Fiscal 1995 quarter, to consolidate and close thirty-two (32) stores. At December 31, 1996, the Company operated 248 stores in twelve (12) states.</w:t>
      </w:r>
    </w:p>
    <w:p>
      <w:pPr>
        <w:spacing w:after="0" w:line="211" w:lineRule="exact"/>
        <w:rPr>
          <w:sz w:val="20"/>
          <w:szCs w:val="20"/>
          <w:color w:val="auto"/>
        </w:rPr>
      </w:pPr>
    </w:p>
    <w:p>
      <w:pPr>
        <w:jc w:val="both"/>
        <w:ind w:right="3899" w:firstLine="632"/>
        <w:spacing w:after="0" w:line="238" w:lineRule="auto"/>
        <w:rPr>
          <w:sz w:val="20"/>
          <w:szCs w:val="20"/>
          <w:color w:val="auto"/>
        </w:rPr>
      </w:pPr>
      <w:r>
        <w:rPr>
          <w:rFonts w:ascii="Courier New" w:cs="Courier New" w:eastAsia="Courier New" w:hAnsi="Courier New"/>
          <w:sz w:val="18"/>
          <w:szCs w:val="18"/>
          <w:color w:val="auto"/>
        </w:rPr>
        <w:t>The Company's primary activity is the making of small, non-recourse loans secured by tangible personal property. The income earned on this activity is pawn service charge revenue. For the Fiscal 1997 Period, pawn service charge revenue decreased $0.6 million from the Fiscal 1996 Period to $18.7 million. A decline in same store pawn service charge revenue ($0.5 million) and the loss of pawn service charge revenue from the thirty-two (32) closed stores ($0.3 million) were partially offset by new stores not open the full three month period ($0.2 million). The $0.5 million same store pawn service charge decline is the net result of lower average loan balances ($1.0 million pawn service charge revenue impact) offset by annualized yield improvement on the pawn loan portfolio of six percentage points to 213% ($0.5 million). At December 31, 1996, same store pawn loan balances were 4 percent above December 31, 1995.</w:t>
      </w:r>
    </w:p>
    <w:p>
      <w:pPr>
        <w:spacing w:after="0" w:line="209" w:lineRule="exact"/>
        <w:rPr>
          <w:sz w:val="20"/>
          <w:szCs w:val="20"/>
          <w:color w:val="auto"/>
        </w:rPr>
      </w:pPr>
    </w:p>
    <w:p>
      <w:pPr>
        <w:jc w:val="both"/>
        <w:ind w:right="3899" w:firstLine="640"/>
        <w:spacing w:after="0" w:line="238"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secondary, but related, activity of the Company is the sale of merchandise, primarily collateral forfeited from its lending activity. For the Fiscal 1997 Period, merchandise sales decreased approximately $5.0 million from the Fiscal 1996 Period to approximately $27.1 million. A decline in same store merchandise sales ($2.8 million), merchandise sales of the closed stores ($0.5 million), and the decrease in the amount of sales associated with the inventory liquidation which commenced in the fourth Fiscal 1995 quarter ($2.6 million) were partially offset by new store sales ($0.9 million). Same store sales for the Fiscal 1997 Period declined ten percent from the Fiscal 1996 Period primarily as a result of a twenty percent reduction in inventory levels per store (approximately $140,000 in the Fiscal 1997 Period as compared to $175,000 in the Fiscal 1996 Period).</w:t>
      </w:r>
    </w:p>
    <w:p>
      <w:pPr>
        <w:spacing w:after="0" w:line="208" w:lineRule="exact"/>
        <w:rPr>
          <w:sz w:val="20"/>
          <w:szCs w:val="20"/>
          <w:color w:val="auto"/>
        </w:rPr>
      </w:pPr>
    </w:p>
    <w:p>
      <w:pPr>
        <w:jc w:val="both"/>
        <w:ind w:right="3899" w:firstLine="632"/>
        <w:spacing w:after="0" w:line="270" w:lineRule="auto"/>
        <w:rPr>
          <w:sz w:val="20"/>
          <w:szCs w:val="20"/>
          <w:color w:val="auto"/>
        </w:rPr>
      </w:pPr>
      <w:r>
        <w:rPr>
          <w:rFonts w:ascii="Courier New" w:cs="Courier New" w:eastAsia="Courier New" w:hAnsi="Courier New"/>
          <w:sz w:val="16"/>
          <w:szCs w:val="16"/>
          <w:color w:val="auto"/>
        </w:rPr>
        <w:t>For the Fiscal 1997 Period, gross profits as a percentage of merchandise sales increased 2.9 percentage points from the Fiscal 1996 Period to 16.9 percent, excluding the 1995 inventory liquidation discussed above (1.2 points). This increase results from an improvement in margins on merchandise sales (1.1 percentage points), a reduction in inventory shrinkage when measured as a percentage of merchandise sales (down 1.2 percentage points to approximately 1.3 percentage points) and improved gross profit on the sale of scrap jewelry (0.6 percentage point).</w:t>
      </w:r>
    </w:p>
    <w:p>
      <w:pPr>
        <w:spacing w:after="0" w:line="189" w:lineRule="exact"/>
        <w:rPr>
          <w:sz w:val="20"/>
          <w:szCs w:val="20"/>
          <w:color w:val="auto"/>
        </w:rPr>
      </w:pPr>
    </w:p>
    <w:p>
      <w:pPr>
        <w:jc w:val="both"/>
        <w:ind w:right="3899" w:firstLine="632"/>
        <w:spacing w:after="0" w:line="268" w:lineRule="auto"/>
        <w:rPr>
          <w:sz w:val="20"/>
          <w:szCs w:val="20"/>
          <w:color w:val="auto"/>
        </w:rPr>
      </w:pPr>
      <w:r>
        <w:rPr>
          <w:rFonts w:ascii="Courier New" w:cs="Courier New" w:eastAsia="Courier New" w:hAnsi="Courier New"/>
          <w:sz w:val="16"/>
          <w:szCs w:val="16"/>
          <w:color w:val="auto"/>
        </w:rPr>
        <w:t>The Company's gross margin level (gross profit as a percentage of merchandise sales) results from, among other factors, the composition, quality and age of its inventory. At December 31, 1996, and 1995, respectively, the Company's inventories consisted of approximately 65 and 57 percent jewelry (e.g. ladies' and men's rings, chains, bracelets, etc.) and 35 and 43 percent general merchandise (e.g.,</w:t>
      </w:r>
    </w:p>
    <w:p>
      <w:pPr>
        <w:spacing w:after="0" w:line="1"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televisions, VCRs, tools, sporting goods, musical instruments, firearms, etc.). At December 31, 1996 and 1995, respectively, 76% and 77% of the jewelry was less than twelve months old based on the Company's date of acquisition (date of forfeiture for collateral or date of purchase) as was approximately 87% of the general merchandise inventory for both periods.</w:t>
      </w:r>
    </w:p>
    <w:p>
      <w:pPr>
        <w:sectPr>
          <w:pgSz w:w="11900" w:h="16838" w:orient="portrait"/>
          <w:cols w:equalWidth="0" w:num="1">
            <w:col w:w="10219"/>
          </w:cols>
          <w:pgMar w:left="240" w:top="514" w:right="1440" w:bottom="0" w:gutter="0" w:footer="0" w:header="0"/>
        </w:sectPr>
      </w:pPr>
    </w:p>
    <w:bookmarkStart w:id="9" w:name="page10"/>
    <w:bookmarkEnd w:id="9"/>
    <w:p>
      <w:pPr>
        <w:jc w:val="both"/>
        <w:ind w:right="3899" w:firstLine="527"/>
        <w:spacing w:after="0" w:line="237" w:lineRule="auto"/>
        <w:rPr>
          <w:sz w:val="20"/>
          <w:szCs w:val="20"/>
          <w:color w:val="auto"/>
        </w:rPr>
      </w:pPr>
      <w:r>
        <w:rPr>
          <w:rFonts w:ascii="Courier New" w:cs="Courier New" w:eastAsia="Courier New" w:hAnsi="Courier New"/>
          <w:sz w:val="18"/>
          <w:szCs w:val="18"/>
          <w:color w:val="auto"/>
        </w:rPr>
        <w:t>In the Fiscal 1997 Period, operating and administrative expenses as a percentage of total revenues increased 0.5 and 1.3 percentage points, respectively, from the Fiscal 1996 Period, primarily as a result of the 11% decline in total revenues from the Fiscal 1996 Period.</w:t>
      </w:r>
    </w:p>
    <w:p>
      <w:pPr>
        <w:sectPr>
          <w:pgSz w:w="11900" w:h="16838" w:orient="portrait"/>
          <w:cols w:equalWidth="0" w:num="1">
            <w:col w:w="10219"/>
          </w:cols>
          <w:pgMar w:left="240" w:top="142" w:right="1440" w:bottom="1440" w:gutter="0" w:footer="0" w:header="0"/>
        </w:sectPr>
      </w:pPr>
    </w:p>
    <w:bookmarkStart w:id="10" w:name="page11"/>
    <w:bookmarkEnd w:id="10"/>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Depreciation and amortization expense increased 0.4 percentage points in the Fiscal 1997 Period from the Fiscal 1996 Period. The increase is primarily a result of the 11% decrease in total revenues for the Fiscal 1997 Period from the Fiscal 1996 Period. Interest expense (net) was down 0.9 percentage points in the Fiscal 1997 Period over the Fiscal 1996 Period largely as a result of decreased borrowings under the Company's line of credit.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3899" w:firstLine="632"/>
        <w:spacing w:after="0" w:line="238" w:lineRule="auto"/>
        <w:rPr>
          <w:sz w:val="20"/>
          <w:szCs w:val="20"/>
          <w:color w:val="auto"/>
        </w:rPr>
      </w:pPr>
      <w:r>
        <w:rPr>
          <w:rFonts w:ascii="Courier New" w:cs="Courier New" w:eastAsia="Courier New" w:hAnsi="Courier New"/>
          <w:sz w:val="18"/>
          <w:szCs w:val="18"/>
          <w:color w:val="auto"/>
        </w:rPr>
        <w:t>Net cash provided by operating activities for the Fiscal 1997 Period was $4.7 million as compared to $6.0 million provided in the Fiscal 1996 Period. A portion of the Fiscal 1996 operating cash flow is the result of income tax refunds from the carryback of the Company's Fiscal 1995 net operating loss and the lower level of taxes payable resulting from the carryforward of this net operating loss. Net cash used by investing activities was $2.3 million for the Fiscal 1997 Period compared to $5.7 million provided in the Fiscal 1996 period. The change is due to increases in pawn loan balances and higher levels of capital expenditures for the Fiscal 1997 Period.</w:t>
      </w:r>
    </w:p>
    <w:p>
      <w:pPr>
        <w:spacing w:after="0" w:line="207" w:lineRule="exact"/>
        <w:rPr>
          <w:sz w:val="20"/>
          <w:szCs w:val="20"/>
          <w:color w:val="auto"/>
        </w:rPr>
      </w:pPr>
    </w:p>
    <w:p>
      <w:pPr>
        <w:jc w:val="both"/>
        <w:ind w:right="3899" w:firstLine="632"/>
        <w:spacing w:after="0" w:line="268" w:lineRule="auto"/>
        <w:rPr>
          <w:sz w:val="20"/>
          <w:szCs w:val="20"/>
          <w:color w:val="auto"/>
        </w:rPr>
      </w:pPr>
      <w:r>
        <w:rPr>
          <w:rFonts w:ascii="Courier New" w:cs="Courier New" w:eastAsia="Courier New" w:hAnsi="Courier New"/>
          <w:sz w:val="16"/>
          <w:szCs w:val="16"/>
          <w:color w:val="auto"/>
        </w:rPr>
        <w:t>In the Fiscal 1997 Period, the Company invested approximately $1.2 million, including investments in leasehold improvements and equipment for existing stores and two (2) newly established stores. The Company funded these expenditures largely from cash flow provided by operating activities. The Company plans to open approximately 10 to</w:t>
      </w:r>
    </w:p>
    <w:p>
      <w:pPr>
        <w:spacing w:after="0" w:line="1" w:lineRule="exact"/>
        <w:rPr>
          <w:sz w:val="20"/>
          <w:szCs w:val="20"/>
          <w:color w:val="auto"/>
        </w:rPr>
      </w:pPr>
    </w:p>
    <w:p>
      <w:pPr>
        <w:jc w:val="both"/>
        <w:ind w:right="389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stores and remodel 5 to 10 stores in the next twelve months. The Company anticipates that cash flow from operations and funds available under its existing bank line of credit should be adequate to fund these capital expenditures and expected pawn loan growth during the coming year.</w:t>
      </w:r>
    </w:p>
    <w:p>
      <w:pPr>
        <w:spacing w:after="0" w:line="210" w:lineRule="exact"/>
        <w:rPr>
          <w:sz w:val="20"/>
          <w:szCs w:val="20"/>
          <w:color w:val="auto"/>
        </w:rPr>
      </w:pPr>
    </w:p>
    <w:p>
      <w:pPr>
        <w:jc w:val="both"/>
        <w:ind w:right="3899" w:firstLine="737"/>
        <w:spacing w:after="0" w:line="268" w:lineRule="auto"/>
        <w:rPr>
          <w:sz w:val="20"/>
          <w:szCs w:val="20"/>
          <w:color w:val="auto"/>
        </w:rPr>
      </w:pPr>
      <w:r>
        <w:rPr>
          <w:rFonts w:ascii="Courier New" w:cs="Courier New" w:eastAsia="Courier New" w:hAnsi="Courier New"/>
          <w:sz w:val="16"/>
          <w:szCs w:val="16"/>
          <w:color w:val="auto"/>
        </w:rPr>
        <w:t>The company's current revolving line of credit agreement, which matures January 31, 1998, requires, among other things, that the Company meet certain financial covenants and provide the bank group a first lien security interest in certain assets of the Company. Borrowings under the line bear interest at the bank's Eurodollar rate plus one and one-half percent. The amount which the Company can borrow is based on a percentage of its inventory levels and outstanding pawn loan balance, up to $50.0 million. At</w:t>
      </w:r>
    </w:p>
    <w:p>
      <w:pPr>
        <w:spacing w:after="0" w:line="2"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December 31, 1996, the Company had $14.0 million outstanding on the credit facility and additional borrowing capacity of approximately $26.0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jc w:val="both"/>
        <w:ind w:right="3899" w:firstLine="632"/>
        <w:spacing w:after="0" w:line="237" w:lineRule="auto"/>
        <w:rPr>
          <w:sz w:val="20"/>
          <w:szCs w:val="20"/>
          <w:color w:val="auto"/>
        </w:rPr>
      </w:pPr>
      <w:r>
        <w:rPr>
          <w:rFonts w:ascii="Courier New" w:cs="Courier New" w:eastAsia="Courier New" w:hAnsi="Courier New"/>
          <w:sz w:val="18"/>
          <w:szCs w:val="18"/>
          <w:color w:val="auto"/>
        </w:rPr>
        <w:t>Historically, pawn service charge revenues are highest in the Company's fiscal fourth quarter (July, August and September) due to higher loan demand during the summer months and merchandise sales are highest in the Company's fiscal first quarter (October, November and December) due to the holiday season.</w:t>
      </w:r>
    </w:p>
    <w:p>
      <w:pPr>
        <w:sectPr>
          <w:pgSz w:w="11900" w:h="16838" w:orient="portrait"/>
          <w:cols w:equalWidth="0" w:num="1">
            <w:col w:w="10219"/>
          </w:cols>
          <w:pgMar w:left="240" w:top="520" w:right="1440" w:bottom="1440" w:gutter="0" w:footer="0" w:header="0"/>
        </w:sectPr>
      </w:pPr>
    </w:p>
    <w:bookmarkStart w:id="11" w:name="page12"/>
    <w:bookmarkEnd w:id="11"/>
    <w:p>
      <w:pPr>
        <w:jc w:val="right"/>
        <w:ind w:right="6639"/>
        <w:spacing w:after="0"/>
        <w:rPr>
          <w:sz w:val="20"/>
          <w:szCs w:val="20"/>
          <w:color w:val="auto"/>
        </w:rPr>
      </w:pPr>
      <w:r>
        <w:rPr>
          <w:rFonts w:ascii="Courier New" w:cs="Courier New" w:eastAsia="Courier New" w:hAnsi="Courier New"/>
          <w:sz w:val="18"/>
          <w:szCs w:val="18"/>
          <w:color w:val="auto"/>
        </w:rPr>
        <w:t>PART II</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both"/>
        <w:ind w:right="120" w:firstLine="948"/>
        <w:spacing w:after="0" w:line="269" w:lineRule="auto"/>
        <w:rPr>
          <w:sz w:val="20"/>
          <w:szCs w:val="20"/>
          <w:color w:val="auto"/>
        </w:rPr>
      </w:pPr>
      <w:r>
        <w:rPr>
          <w:rFonts w:ascii="Courier New" w:cs="Courier New" w:eastAsia="Courier New" w:hAnsi="Courier New"/>
          <w:sz w:val="16"/>
          <w:szCs w:val="16"/>
          <w:color w:val="auto"/>
        </w:rPr>
        <w:t>On July 28, 1995, the Company terminated the Employment Agreement of Courtland L. Logue, Jr., the Company's former Chairman and Chief Executive Officer, and an owner of approximately 19% of the Company's outstanding voting securities (Class B Voting Common Stock). Since Mr. Logue's termination, the Company has had ongoing discussions with him concerning certain equipment leases between Mr. Logue and the Company, as well as the application of provisions to Mr. Logue's Employment Agreement and Stock Purchase Agreement with the Company. The Company believes these agreements require, among other things, a $2.7 million payment by Mr. Logue to the Company. On March 8, 1996, the Company filed a lawsuit styled EZCORP, Inc. v. Courtland L. Logue, Jr. in the 201st District Court of Travis County, Texas in an effort to bring resolution to this dispute. Mr. Logue has filed counter-claims relating to the Employment Agreement and certain equipment leases and notes entered into between Mr. Logue and the Company.</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Defaults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r>
        <w:rPr>
          <w:rFonts w:ascii="Courier New" w:cs="Courier New" w:eastAsia="Courier New" w:hAnsi="Courier New"/>
          <w:sz w:val="16"/>
          <w:szCs w:val="16"/>
          <w:color w:val="auto"/>
        </w:rPr>
        <w:t>Description</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8"/>
          <w:szCs w:val="18"/>
          <w:color w:val="auto"/>
        </w:rPr>
      </w:pPr>
    </w:p>
    <w:p>
      <w:pPr>
        <w:ind w:left="2640" w:right="540" w:hanging="136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Exhibit 11.1 Statement Regarding Computation of Per Share Earnings</w:t>
      </w:r>
    </w:p>
    <w:p>
      <w:pPr>
        <w:spacing w:after="0" w:line="164"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12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filed any reports on Form 8-K for the quarter ended December 31,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2">
            <w:col w:w="6440" w:space="100"/>
            <w:col w:w="3679"/>
          </w:cols>
          <w:pgMar w:left="240" w:top="717" w:right="1440" w:bottom="1440" w:gutter="0" w:footer="0" w:header="0"/>
          <w:type w:val="continuous"/>
        </w:sectPr>
      </w:pPr>
    </w:p>
    <w:bookmarkStart w:id="12" w:name="page13"/>
    <w:bookmarkEnd w:id="12"/>
    <w:p>
      <w:pPr>
        <w:ind w:left="27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EZCORP, INC.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DAN N. TONISSEN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4">
            <w:col w:w="540" w:space="320"/>
            <w:col w:w="1780" w:space="520"/>
            <w:col w:w="320" w:space="0"/>
            <w:col w:w="6739"/>
          </w:cols>
          <w:pgMar w:left="240" w:top="717" w:right="1440" w:bottom="1440" w:gutter="0" w:footer="0" w:header="0"/>
          <w:type w:val="continuous"/>
        </w:sect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Dan N. Tonissen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SEP-30-1997</w:t>
      </w:r>
    </w:p>
    <w:p>
      <w:pPr>
        <w:ind w:left="3160"/>
        <w:spacing w:after="0"/>
        <w:rPr>
          <w:sz w:val="20"/>
          <w:szCs w:val="20"/>
          <w:color w:val="auto"/>
        </w:rPr>
      </w:pPr>
      <w:r>
        <w:rPr>
          <w:rFonts w:ascii="Courier New" w:cs="Courier New" w:eastAsia="Courier New" w:hAnsi="Courier New"/>
          <w:sz w:val="18"/>
          <w:szCs w:val="18"/>
          <w:color w:val="auto"/>
        </w:rPr>
        <w:t>DEC-31-1996</w:t>
      </w:r>
    </w:p>
    <w:p>
      <w:pPr>
        <w:ind w:left="4520"/>
        <w:spacing w:after="0" w:line="237" w:lineRule="auto"/>
        <w:rPr>
          <w:sz w:val="20"/>
          <w:szCs w:val="20"/>
          <w:color w:val="auto"/>
        </w:rPr>
      </w:pPr>
      <w:r>
        <w:rPr>
          <w:rFonts w:ascii="Courier New" w:cs="Courier New" w:eastAsia="Courier New" w:hAnsi="Courier New"/>
          <w:sz w:val="18"/>
          <w:szCs w:val="18"/>
          <w:color w:val="auto"/>
        </w:rPr>
        <w:t>2793</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46468</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34673</w:t>
      </w:r>
    </w:p>
    <w:p>
      <w:pPr>
        <w:ind w:left="3360"/>
        <w:spacing w:after="0" w:line="237" w:lineRule="auto"/>
        <w:rPr>
          <w:sz w:val="20"/>
          <w:szCs w:val="20"/>
          <w:color w:val="auto"/>
        </w:rPr>
      </w:pPr>
      <w:r>
        <w:rPr>
          <w:rFonts w:ascii="Courier New" w:cs="Courier New" w:eastAsia="Courier New" w:hAnsi="Courier New"/>
          <w:sz w:val="18"/>
          <w:szCs w:val="18"/>
          <w:color w:val="auto"/>
        </w:rPr>
        <w:t>88678</w:t>
      </w:r>
    </w:p>
    <w:p>
      <w:pPr>
        <w:ind w:left="4420"/>
        <w:spacing w:after="0"/>
        <w:rPr>
          <w:sz w:val="20"/>
          <w:szCs w:val="20"/>
          <w:color w:val="auto"/>
        </w:rPr>
      </w:pPr>
      <w:r>
        <w:rPr>
          <w:rFonts w:ascii="Courier New" w:cs="Courier New" w:eastAsia="Courier New" w:hAnsi="Courier New"/>
          <w:sz w:val="18"/>
          <w:szCs w:val="18"/>
          <w:color w:val="auto"/>
        </w:rPr>
        <w:t>51704</w:t>
      </w:r>
    </w:p>
    <w:p>
      <w:pPr>
        <w:ind w:left="3580"/>
        <w:spacing w:after="0" w:line="237" w:lineRule="auto"/>
        <w:rPr>
          <w:sz w:val="20"/>
          <w:szCs w:val="20"/>
          <w:color w:val="auto"/>
        </w:rPr>
      </w:pPr>
      <w:r>
        <w:rPr>
          <w:rFonts w:ascii="Courier New" w:cs="Courier New" w:eastAsia="Courier New" w:hAnsi="Courier New"/>
          <w:sz w:val="18"/>
          <w:szCs w:val="18"/>
          <w:color w:val="auto"/>
        </w:rPr>
        <w:t>17854</w:t>
      </w:r>
    </w:p>
    <w:p>
      <w:pPr>
        <w:ind w:left="3460"/>
        <w:spacing w:after="0" w:line="238" w:lineRule="auto"/>
        <w:rPr>
          <w:sz w:val="20"/>
          <w:szCs w:val="20"/>
          <w:color w:val="auto"/>
        </w:rPr>
      </w:pPr>
      <w:r>
        <w:rPr>
          <w:rFonts w:ascii="Courier New" w:cs="Courier New" w:eastAsia="Courier New" w:hAnsi="Courier New"/>
          <w:sz w:val="18"/>
          <w:szCs w:val="18"/>
          <w:color w:val="auto"/>
        </w:rPr>
        <w:t>141246</w:t>
      </w:r>
    </w:p>
    <w:p>
      <w:pPr>
        <w:ind w:left="2840"/>
        <w:spacing w:after="0"/>
        <w:rPr>
          <w:sz w:val="20"/>
          <w:szCs w:val="20"/>
          <w:color w:val="auto"/>
        </w:rPr>
      </w:pPr>
      <w:r>
        <w:rPr>
          <w:rFonts w:ascii="Courier New" w:cs="Courier New" w:eastAsia="Courier New" w:hAnsi="Courier New"/>
          <w:sz w:val="18"/>
          <w:szCs w:val="18"/>
          <w:color w:val="auto"/>
        </w:rPr>
        <w:t>11117</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420"/>
        <w:spacing w:after="0"/>
        <w:rPr>
          <w:sz w:val="20"/>
          <w:szCs w:val="20"/>
          <w:color w:val="auto"/>
        </w:rPr>
      </w:pPr>
      <w:r>
        <w:rPr>
          <w:rFonts w:ascii="Courier New" w:cs="Courier New" w:eastAsia="Courier New" w:hAnsi="Courier New"/>
          <w:sz w:val="18"/>
          <w:szCs w:val="18"/>
          <w:color w:val="auto"/>
        </w:rPr>
        <w:t>120</w:t>
      </w:r>
    </w:p>
    <w:p>
      <w:pPr>
        <w:ind w:left="3900"/>
        <w:spacing w:after="0" w:line="237" w:lineRule="auto"/>
        <w:rPr>
          <w:sz w:val="20"/>
          <w:szCs w:val="20"/>
          <w:color w:val="auto"/>
        </w:rPr>
      </w:pPr>
      <w:r>
        <w:rPr>
          <w:rFonts w:ascii="Courier New" w:cs="Courier New" w:eastAsia="Courier New" w:hAnsi="Courier New"/>
          <w:sz w:val="18"/>
          <w:szCs w:val="18"/>
          <w:color w:val="auto"/>
        </w:rPr>
        <w:t>114810</w:t>
      </w:r>
    </w:p>
    <w:p>
      <w:pPr>
        <w:ind w:left="2000"/>
        <w:spacing w:after="0" w:line="238" w:lineRule="auto"/>
        <w:rPr>
          <w:sz w:val="20"/>
          <w:szCs w:val="20"/>
          <w:color w:val="auto"/>
        </w:rPr>
      </w:pPr>
      <w:r>
        <w:rPr>
          <w:rFonts w:ascii="Courier New" w:cs="Courier New" w:eastAsia="Courier New" w:hAnsi="Courier New"/>
          <w:sz w:val="18"/>
          <w:szCs w:val="18"/>
          <w:color w:val="auto"/>
        </w:rPr>
        <w:t>141246</w:t>
      </w:r>
    </w:p>
    <w:p>
      <w:pPr>
        <w:ind w:left="4320"/>
        <w:spacing w:after="0"/>
        <w:rPr>
          <w:sz w:val="20"/>
          <w:szCs w:val="20"/>
          <w:color w:val="auto"/>
        </w:rPr>
      </w:pPr>
      <w:r>
        <w:rPr>
          <w:rFonts w:ascii="Courier New" w:cs="Courier New" w:eastAsia="Courier New" w:hAnsi="Courier New"/>
          <w:sz w:val="18"/>
          <w:szCs w:val="18"/>
          <w:color w:val="auto"/>
        </w:rPr>
        <w:t>27100</w:t>
      </w:r>
    </w:p>
    <w:p>
      <w:pPr>
        <w:ind w:left="3360"/>
        <w:spacing w:after="0" w:line="237" w:lineRule="auto"/>
        <w:rPr>
          <w:sz w:val="20"/>
          <w:szCs w:val="20"/>
          <w:color w:val="auto"/>
        </w:rPr>
      </w:pPr>
      <w:r>
        <w:rPr>
          <w:rFonts w:ascii="Courier New" w:cs="Courier New" w:eastAsia="Courier New" w:hAnsi="Courier New"/>
          <w:sz w:val="18"/>
          <w:szCs w:val="18"/>
          <w:color w:val="auto"/>
        </w:rPr>
        <w:t>45842</w:t>
      </w:r>
    </w:p>
    <w:p>
      <w:pPr>
        <w:jc w:val="right"/>
        <w:ind w:right="5059"/>
        <w:spacing w:after="0"/>
        <w:rPr>
          <w:sz w:val="20"/>
          <w:szCs w:val="20"/>
          <w:color w:val="auto"/>
        </w:rPr>
      </w:pPr>
      <w:r>
        <w:rPr>
          <w:rFonts w:ascii="Courier New" w:cs="Courier New" w:eastAsia="Courier New" w:hAnsi="Courier New"/>
          <w:sz w:val="18"/>
          <w:szCs w:val="18"/>
          <w:color w:val="auto"/>
        </w:rPr>
        <w:t>22512</w:t>
      </w:r>
    </w:p>
    <w:p>
      <w:pPr>
        <w:ind w:left="3680"/>
        <w:spacing w:after="0" w:line="237" w:lineRule="auto"/>
        <w:rPr>
          <w:sz w:val="20"/>
          <w:szCs w:val="20"/>
          <w:color w:val="auto"/>
        </w:rPr>
      </w:pPr>
      <w:r>
        <w:rPr>
          <w:rFonts w:ascii="Courier New" w:cs="Courier New" w:eastAsia="Courier New" w:hAnsi="Courier New"/>
          <w:sz w:val="18"/>
          <w:szCs w:val="18"/>
          <w:color w:val="auto"/>
        </w:rPr>
        <w:t>42608</w:t>
      </w:r>
    </w:p>
    <w:p>
      <w:pPr>
        <w:ind w:left="378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291</w:t>
      </w:r>
    </w:p>
    <w:p>
      <w:pPr>
        <w:ind w:left="3580"/>
        <w:spacing w:after="0" w:line="237" w:lineRule="auto"/>
        <w:rPr>
          <w:sz w:val="20"/>
          <w:szCs w:val="20"/>
          <w:color w:val="auto"/>
        </w:rPr>
      </w:pPr>
      <w:r>
        <w:rPr>
          <w:rFonts w:ascii="Courier New" w:cs="Courier New" w:eastAsia="Courier New" w:hAnsi="Courier New"/>
          <w:sz w:val="18"/>
          <w:szCs w:val="18"/>
          <w:color w:val="auto"/>
        </w:rPr>
        <w:t>2943</w:t>
      </w:r>
    </w:p>
    <w:p>
      <w:pPr>
        <w:ind w:left="3900"/>
        <w:spacing w:after="0" w:line="238" w:lineRule="auto"/>
        <w:rPr>
          <w:sz w:val="20"/>
          <w:szCs w:val="20"/>
          <w:color w:val="auto"/>
        </w:rPr>
      </w:pPr>
      <w:r>
        <w:rPr>
          <w:rFonts w:ascii="Courier New" w:cs="Courier New" w:eastAsia="Courier New" w:hAnsi="Courier New"/>
          <w:sz w:val="18"/>
          <w:szCs w:val="18"/>
          <w:color w:val="auto"/>
        </w:rPr>
        <w:t>1040</w:t>
      </w:r>
    </w:p>
    <w:p>
      <w:pPr>
        <w:ind w:left="3160"/>
        <w:spacing w:after="0"/>
        <w:rPr>
          <w:sz w:val="20"/>
          <w:szCs w:val="20"/>
          <w:color w:val="auto"/>
        </w:rPr>
      </w:pPr>
      <w:r>
        <w:rPr>
          <w:rFonts w:ascii="Courier New" w:cs="Courier New" w:eastAsia="Courier New" w:hAnsi="Courier New"/>
          <w:sz w:val="18"/>
          <w:szCs w:val="18"/>
          <w:color w:val="auto"/>
        </w:rPr>
        <w:t>1903</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1903</w:t>
      </w:r>
    </w:p>
    <w:p>
      <w:pPr>
        <w:ind w:left="3780"/>
        <w:spacing w:after="0" w:line="237" w:lineRule="auto"/>
        <w:rPr>
          <w:sz w:val="20"/>
          <w:szCs w:val="20"/>
          <w:color w:val="auto"/>
        </w:rPr>
      </w:pPr>
      <w:r>
        <w:rPr>
          <w:rFonts w:ascii="Courier New" w:cs="Courier New" w:eastAsia="Courier New" w:hAnsi="Courier New"/>
          <w:sz w:val="18"/>
          <w:szCs w:val="18"/>
          <w:color w:val="auto"/>
        </w:rPr>
        <w:t>0.16</w:t>
      </w:r>
    </w:p>
    <w:p>
      <w:pPr>
        <w:ind w:left="3780"/>
        <w:spacing w:after="0" w:line="238" w:lineRule="auto"/>
        <w:rPr>
          <w:sz w:val="20"/>
          <w:szCs w:val="20"/>
          <w:color w:val="auto"/>
        </w:rPr>
      </w:pPr>
      <w:r>
        <w:rPr>
          <w:rFonts w:ascii="Courier New" w:cs="Courier New" w:eastAsia="Courier New" w:hAnsi="Courier New"/>
          <w:sz w:val="18"/>
          <w:szCs w:val="18"/>
          <w:color w:val="auto"/>
        </w:rPr>
        <w:t>0.16</w:t>
      </w:r>
    </w:p>
    <w:p>
      <w:pPr>
        <w:sectPr>
          <w:pgSz w:w="11900" w:h="16838" w:orient="portrait"/>
          <w:cols w:equalWidth="0" w:num="1">
            <w:col w:w="10099"/>
          </w:cols>
          <w:pgMar w:left="360" w:top="541" w:right="1440" w:bottom="1440" w:gutter="0" w:footer="0" w:header="0"/>
        </w:sectPr>
      </w:pPr>
    </w:p>
    <w:bookmarkStart w:id="14" w:name="page15"/>
    <w:bookmarkEnd w:id="14"/>
    <w:p>
      <w:pPr>
        <w:jc w:val="center"/>
        <w:ind w:right="3899"/>
        <w:spacing w:after="0"/>
        <w:rPr>
          <w:sz w:val="20"/>
          <w:szCs w:val="20"/>
          <w:color w:val="auto"/>
        </w:rPr>
      </w:pPr>
      <w:r>
        <w:rPr>
          <w:rFonts w:ascii="Courier New" w:cs="Courier New" w:eastAsia="Courier New" w:hAnsi="Courier New"/>
          <w:sz w:val="18"/>
          <w:szCs w:val="18"/>
          <w:color w:val="auto"/>
        </w:rPr>
        <w:t>Exhibit 11.1</w:t>
      </w:r>
    </w:p>
    <w:p>
      <w:pPr>
        <w:spacing w:after="0" w:line="20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Statement Regarding Computation of Per Share Earnings</w:t>
      </w:r>
    </w:p>
    <w:p>
      <w:pPr>
        <w:spacing w:after="0" w:line="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(Dollars and shares in thousands, except per share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0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8"/>
              </w:rPr>
              <w:t>Three Months Ended</w:t>
            </w:r>
          </w:p>
        </w:tc>
        <w:tc>
          <w:tcPr>
            <w:tcW w:w="6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December 31,</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Primary and fully diluted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number</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of common shares outstanding</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during the period</w:t>
            </w: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11,993</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11,981</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Net effect of dilutive stock</w:t>
            </w: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options - based on the treasury</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stock method using overall market</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price</w:t>
            </w: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______</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______</w:t>
            </w:r>
          </w:p>
        </w:tc>
      </w:tr>
      <w:tr>
        <w:trPr>
          <w:trHeight w:val="405"/>
        </w:trPr>
        <w:tc>
          <w:tcPr>
            <w:tcW w:w="3540" w:type="dxa"/>
            <w:vAlign w:val="bottom"/>
          </w:tcPr>
          <w:p>
            <w:pPr>
              <w:ind w:left="1060"/>
              <w:spacing w:after="0"/>
              <w:rPr>
                <w:sz w:val="20"/>
                <w:szCs w:val="20"/>
                <w:color w:val="auto"/>
              </w:rPr>
            </w:pPr>
            <w:r>
              <w:rPr>
                <w:rFonts w:ascii="Courier New" w:cs="Courier New" w:eastAsia="Courier New" w:hAnsi="Courier New"/>
                <w:sz w:val="18"/>
                <w:szCs w:val="18"/>
                <w:color w:val="auto"/>
              </w:rPr>
              <w:t>Total shares</w:t>
            </w:r>
          </w:p>
        </w:tc>
        <w:tc>
          <w:tcPr>
            <w:tcW w:w="78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11,993</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11,981</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sharea</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7" w:lineRule="exact"/>
        <w:rPr>
          <w:sz w:val="20"/>
          <w:szCs w:val="20"/>
          <w:color w:val="auto"/>
        </w:rPr>
      </w:pPr>
    </w:p>
    <w:p>
      <w:pPr>
        <w:jc w:val="both"/>
        <w:ind w:left="540" w:right="38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calculations assume exercise of all outstanding stock options and warrants using the treasury stock method of calculation. The per share calculation excludes these common equivalent shares as their effect is anti-dilutive.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a"/>
      <w:numFmt w:val="bullet"/>
      <w:start w:val="1"/>
    </w:lvl>
  </w:abstractNum>
  <w:abstractNum w:abstractNumId="2">
    <w:nsid w:val="507ED7AB"/>
    <w:multiLevelType w:val="hybridMultilevel"/>
    <w:lvl w:ilvl="0">
      <w:lvlJc w:val="left"/>
      <w:lvlText w:val="b"/>
      <w:numFmt w:val="bullet"/>
      <w:start w:val="1"/>
    </w:lvl>
  </w:abstractNum>
  <w:abstractNum w:abstractNumId="3">
    <w:nsid w:val="2EB141F2"/>
    <w:multiLevelType w:val="hybridMultilevel"/>
    <w:lvl w:ilvl="0">
      <w:lvlJc w:val="left"/>
      <w:lvlText w:val="c"/>
      <w:numFmt w:val="bullet"/>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A"/>
      <w:numFmt w:val="bullet"/>
      <w:start w:val="1"/>
    </w:lvl>
  </w:abstractNum>
  <w:abstractNum w:abstractNumId="6">
    <w:nsid w:val="7545E146"/>
    <w:multiLevelType w:val="hybridMultilevel"/>
    <w:lvl w:ilvl="0">
      <w:lvlJc w:val="left"/>
      <w:lvlText w:val="%1"/>
      <w:numFmt w:val="decimal"/>
      <w:start w:val="1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2020-02-16T01:25:44Z</dcterms:created>
  <dcterms:modified xsi:type="dcterms:W3CDTF">2020-02-16T01:25:44Z</dcterms:modified>
</cp:coreProperties>
</file>