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Beal Joseph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1901 CAPITAL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10/01/2012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23.13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Restricted Stock Award is issued with a 2 year vesting period with 3,250 shares vesting on the first anniversary date of the award and 3,250 vesting on the second anniversary date of the award.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Closing market value on date of award is $23.13. However, no consideration was paid for the award other than services rendered and to be rendered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11,700 unvested Restricted Stock Awards.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Securities Beneficially owned includes 500 shares purchased on the open market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Laura Jones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1304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2020-01-29T02:32:04Z</dcterms:created>
  <dcterms:modified xsi:type="dcterms:W3CDTF">2020-01-29T02:32:04Z</dcterms:modified>
</cp:coreProperties>
</file>