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207" w:lineRule="exact"/>
        <w:rPr>
          <w:sz w:val="24"/>
          <w:szCs w:val="24"/>
          <w:color w:val="auto"/>
        </w:rPr>
      </w:pPr>
    </w:p>
    <w:p>
      <w:pPr>
        <w:jc w:val="center"/>
        <w:ind w:right="8859"/>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4"/>
          <w:szCs w:val="24"/>
          <w:color w:val="auto"/>
        </w:rPr>
      </w:pPr>
    </w:p>
    <w:p>
      <w:pPr>
        <w:jc w:val="center"/>
        <w:ind w:right="8859"/>
        <w:spacing w:after="0"/>
        <w:rPr>
          <w:sz w:val="20"/>
          <w:szCs w:val="20"/>
          <w:color w:val="auto"/>
        </w:rPr>
      </w:pPr>
      <w:r>
        <w:rPr>
          <w:rFonts w:ascii="Courier New" w:cs="Courier New" w:eastAsia="Courier New" w:hAnsi="Courier New"/>
          <w:sz w:val="18"/>
          <w:szCs w:val="18"/>
          <w:color w:val="auto"/>
        </w:rPr>
        <w:t>(12/31/99)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Cusip # 302301106</w:t>
      </w:r>
    </w:p>
    <w:p>
      <w:pPr>
        <w:spacing w:after="0" w:line="238" w:lineRule="auto"/>
        <w:rPr>
          <w:sz w:val="20"/>
          <w:szCs w:val="20"/>
          <w:color w:val="auto"/>
        </w:rPr>
      </w:pPr>
      <w:r>
        <w:rPr>
          <w:rFonts w:ascii="Courier New" w:cs="Courier New" w:eastAsia="Courier New" w:hAnsi="Courier New"/>
          <w:sz w:val="18"/>
          <w:szCs w:val="18"/>
          <w:color w:val="auto"/>
        </w:rPr>
        <w:t>Amendment</w:t>
      </w:r>
    </w:p>
    <w:p>
      <w:pPr>
        <w:spacing w:after="0" w:line="20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302301106</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REPORTING PERSONS</w:t>
            </w:r>
          </w:p>
        </w:tc>
        <w:tc>
          <w:tcPr>
            <w:tcW w:w="3520" w:type="dxa"/>
            <w:vAlign w:val="bottom"/>
          </w:tcPr>
          <w:p>
            <w:pPr>
              <w:spacing w:after="0"/>
              <w:rPr>
                <w:sz w:val="17"/>
                <w:szCs w:val="17"/>
                <w:color w:val="auto"/>
              </w:rPr>
            </w:pPr>
          </w:p>
        </w:tc>
      </w:tr>
      <w:tr>
        <w:trPr>
          <w:trHeight w:val="202"/>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Dimensional Fund Advisors Inc. (Tax ID: 22-2370029)</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Delaware Corporation</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SOLE VOTING POWER</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872,400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SOLE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872,400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AGGREGATE AMOUNT BENEFICIALLY OWNED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872,400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 CLASS REPRESENTED BY LINE 9 --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8.07</w:t>
            </w:r>
          </w:p>
        </w:tc>
        <w:tc>
          <w:tcPr>
            <w:tcW w:w="3520" w:type="dxa"/>
            <w:vAlign w:val="bottom"/>
          </w:tcPr>
          <w:p>
            <w:pPr>
              <w:spacing w:after="0"/>
              <w:rPr>
                <w:sz w:val="17"/>
                <w:szCs w:val="17"/>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TYPE OF REPORTING PERSON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3520" w:type="dxa"/>
            <w:vAlign w:val="bottom"/>
          </w:tcPr>
          <w:p>
            <w:pPr>
              <w:spacing w:after="0"/>
              <w:rPr>
                <w:sz w:val="17"/>
                <w:szCs w:val="17"/>
                <w:color w:val="auto"/>
              </w:rPr>
            </w:pPr>
          </w:p>
        </w:tc>
      </w:tr>
    </w:tbl>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EZCORP INC</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1901 Capital Parkway</w:t>
      </w: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Austin, TX</w:t>
      </w:r>
      <w:r>
        <w:rPr>
          <w:sz w:val="20"/>
          <w:szCs w:val="20"/>
          <w:color w:val="auto"/>
        </w:rPr>
        <w:tab/>
      </w:r>
      <w:r>
        <w:rPr>
          <w:rFonts w:ascii="Courier New" w:cs="Courier New" w:eastAsia="Courier New" w:hAnsi="Courier New"/>
          <w:sz w:val="16"/>
          <w:szCs w:val="16"/>
          <w:color w:val="auto"/>
        </w:rPr>
        <w:t>78746</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495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302301106</w:t>
      </w:r>
    </w:p>
    <w:p>
      <w:pPr>
        <w:spacing w:after="0" w:line="207" w:lineRule="exact"/>
        <w:rPr>
          <w:sz w:val="24"/>
          <w:szCs w:val="24"/>
          <w:color w:val="auto"/>
        </w:rPr>
      </w:pPr>
    </w:p>
    <w:p>
      <w:pPr>
        <w:ind w:left="1280" w:right="29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ectPr>
          <w:pgSz w:w="11900" w:h="16838" w:orient="portrait"/>
          <w:cols w:equalWidth="0" w:num="1">
            <w:col w:w="10139"/>
          </w:cols>
          <w:pgMar w:left="320" w:top="447"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4 of 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2"/>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4(a).</w:t>
            </w:r>
          </w:p>
        </w:tc>
        <w:tc>
          <w:tcPr>
            <w:tcW w:w="3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AMOUNT BENEFICIALLY OWNED</w:t>
            </w:r>
          </w:p>
        </w:tc>
        <w:tc>
          <w:tcPr>
            <w:tcW w:w="3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872,400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 OF CLASS</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8.07</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4(c).</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NUMBER OF SHARE AS TO WHICH SUCH PERSON HAS:</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DIRECT THE VOTE --</w:t>
            </w:r>
          </w:p>
        </w:tc>
      </w:tr>
      <w:tr>
        <w:trPr>
          <w:trHeight w:val="203"/>
        </w:trPr>
        <w:tc>
          <w:tcPr>
            <w:tcW w:w="12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872,400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 --</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(iii).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DISPOSITION OF --</w:t>
            </w:r>
          </w:p>
        </w:tc>
      </w:tr>
      <w:tr>
        <w:trPr>
          <w:trHeight w:val="203"/>
        </w:trPr>
        <w:tc>
          <w:tcPr>
            <w:tcW w:w="12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872,400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(iv).</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 POWER TO DISPOSE OR TO DIRECT DISPOSISTION OF --</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 Note</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1 **</w:t>
            </w: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Dimensional Fund Advisors Inc. ("Dimensional"), an investment advisor</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registered under Section 203 of the Investment Advisors Act of 1940,</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furnishes investment advice to four investment companies registered</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under the Investment Company Act of 1940, and serves as investment</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to certain other commingled group trusts and separate accounts.</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These investment companies, trusts and accounts are the "Funds". In its</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role as</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investment adviser or manager, Dimensional possesses voting</w:t>
            </w:r>
          </w:p>
        </w:tc>
      </w:tr>
      <w:tr>
        <w:trPr>
          <w:trHeight w:val="203"/>
        </w:trPr>
        <w:tc>
          <w:tcPr>
            <w:tcW w:w="50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8"/>
              </w:rPr>
              <w:t>and/or investment power over the securities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Issuer described</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this</w:t>
            </w:r>
          </w:p>
        </w:tc>
        <w:tc>
          <w:tcPr>
            <w:tcW w:w="3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schedule that are owned the Funds.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 securities reported</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this</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schedule are owned by the Funds. Dimensional disclaims beneficial</w:t>
            </w:r>
          </w:p>
        </w:tc>
      </w:tr>
      <w:tr>
        <w:trPr>
          <w:trHeight w:val="203"/>
        </w:trPr>
        <w:tc>
          <w:tcPr>
            <w:tcW w:w="34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ownership of such securities.</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If this statement is being filed to report the fact that</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as of 12/31/99 the reporting person has ceased to be the</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beneficial owner of more than five percent of the class</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securities, check the following: [ ]</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ANOTHER PERSON</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bl>
    <w:p>
      <w:pPr>
        <w:spacing w:after="0" w:line="4" w:lineRule="exact"/>
        <w:rPr>
          <w:sz w:val="20"/>
          <w:szCs w:val="20"/>
          <w:color w:val="auto"/>
        </w:rPr>
      </w:pPr>
    </w:p>
    <w:p>
      <w:pPr>
        <w:ind w:left="1280" w:right="2659"/>
        <w:spacing w:after="0" w:line="273" w:lineRule="auto"/>
        <w:rPr>
          <w:sz w:val="20"/>
          <w:szCs w:val="20"/>
          <w:color w:val="auto"/>
        </w:rPr>
      </w:pPr>
      <w:r>
        <w:rPr>
          <w:rFonts w:ascii="Courier New" w:cs="Courier New" w:eastAsia="Courier New" w:hAnsi="Courier New"/>
          <w:sz w:val="16"/>
          <w:szCs w:val="16"/>
          <w:color w:val="auto"/>
        </w:rPr>
        <w:t>All Securities reported in this schedule are onwed by advisory clients of Dimensional Fund Advisors Inc., no one of which to the knowledge of Dimensional Fund Advisors Inc. owns more than 5% of the class. Dimensional Fund Advisors Inc disclaims beneficial ownership of all such securities.</w:t>
      </w:r>
    </w:p>
    <w:p>
      <w:pPr>
        <w:spacing w:after="0" w:line="184" w:lineRule="exact"/>
        <w:rPr>
          <w:sz w:val="20"/>
          <w:szCs w:val="20"/>
          <w:color w:val="auto"/>
        </w:rPr>
      </w:pPr>
    </w:p>
    <w:p>
      <w:pPr>
        <w:ind w:left="1280" w:right="243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285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28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280"/>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w:t>
      </w:r>
    </w:p>
    <w:p>
      <w:pPr>
        <w:ind w:left="1280"/>
        <w:spacing w:after="0" w:line="238" w:lineRule="auto"/>
        <w:rPr>
          <w:sz w:val="20"/>
          <w:szCs w:val="20"/>
          <w:color w:val="auto"/>
        </w:rPr>
      </w:pPr>
      <w:r>
        <w:rPr>
          <w:rFonts w:ascii="Courier New" w:cs="Courier New" w:eastAsia="Courier New" w:hAnsi="Courier New"/>
          <w:sz w:val="18"/>
          <w:szCs w:val="18"/>
          <w:color w:val="auto"/>
        </w:rPr>
        <w:t>and belief, the securities referred to above were acquired</w:t>
      </w:r>
    </w:p>
    <w:p>
      <w:pPr>
        <w:ind w:left="1280"/>
        <w:spacing w:after="0"/>
        <w:rPr>
          <w:sz w:val="20"/>
          <w:szCs w:val="20"/>
          <w:color w:val="auto"/>
        </w:rPr>
      </w:pPr>
      <w:r>
        <w:rPr>
          <w:rFonts w:ascii="Courier New" w:cs="Courier New" w:eastAsia="Courier New" w:hAnsi="Courier New"/>
          <w:sz w:val="18"/>
          <w:szCs w:val="18"/>
          <w:color w:val="auto"/>
        </w:rPr>
        <w:t>in the ordinary course of business and were not acquired for</w:t>
      </w:r>
    </w:p>
    <w:p>
      <w:pPr>
        <w:ind w:left="1280"/>
        <w:spacing w:after="0" w:line="237" w:lineRule="auto"/>
        <w:rPr>
          <w:sz w:val="20"/>
          <w:szCs w:val="20"/>
          <w:color w:val="auto"/>
        </w:rPr>
      </w:pPr>
      <w:r>
        <w:rPr>
          <w:rFonts w:ascii="Courier New" w:cs="Courier New" w:eastAsia="Courier New" w:hAnsi="Courier New"/>
          <w:sz w:val="18"/>
          <w:szCs w:val="18"/>
          <w:color w:val="auto"/>
        </w:rPr>
        <w:t>the purpose of and do not have the effect of changing or</w:t>
      </w:r>
    </w:p>
    <w:p>
      <w:pPr>
        <w:ind w:left="1280"/>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ind w:left="1280"/>
        <w:spacing w:after="0"/>
        <w:rPr>
          <w:sz w:val="20"/>
          <w:szCs w:val="20"/>
          <w:color w:val="auto"/>
        </w:rPr>
      </w:pPr>
      <w:r>
        <w:rPr>
          <w:rFonts w:ascii="Courier New" w:cs="Courier New" w:eastAsia="Courier New" w:hAnsi="Courier New"/>
          <w:sz w:val="18"/>
          <w:szCs w:val="18"/>
          <w:color w:val="auto"/>
        </w:rPr>
        <w:t>and were not acquired in connection with or as a participant</w:t>
      </w:r>
    </w:p>
    <w:p>
      <w:pPr>
        <w:ind w:left="1280"/>
        <w:spacing w:after="0" w:line="237" w:lineRule="auto"/>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Friday, February 4, 2000</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ind w:left="320"/>
        <w:spacing w:after="0" w:line="238" w:lineRule="auto"/>
        <w:rPr>
          <w:sz w:val="20"/>
          <w:szCs w:val="20"/>
          <w:color w:val="auto"/>
        </w:rPr>
      </w:pPr>
      <w:r>
        <w:rPr>
          <w:rFonts w:ascii="Courier New" w:cs="Courier New" w:eastAsia="Courier New" w:hAnsi="Courier New"/>
          <w:sz w:val="18"/>
          <w:szCs w:val="18"/>
          <w:color w:val="auto"/>
        </w:rPr>
        <w:t>Vice President and Chief Finacial Officer</w:t>
      </w:r>
    </w:p>
    <w:sectPr>
      <w:pgSz w:w="11900" w:h="16838" w:orient="portrait"/>
      <w:cols w:equalWidth="0" w:num="1">
        <w:col w:w="10139"/>
      </w:cols>
      <w:pgMar w:left="320" w:top="136" w:right="1440" w:bottom="7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2020-10-06T22:31:24Z</dcterms:created>
  <dcterms:modified xsi:type="dcterms:W3CDTF">2020-10-06T22:31:24Z</dcterms:modified>
</cp:coreProperties>
</file>