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d45837e8vk.htm"/>
      <w:bookmarkStart w:id="1" w:name="ksd45837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w:t>
        <w:br/>
        <w:t>The Securities Exchange Act of 1934</w:t>
      </w:r>
      <w:r>
        <w:rPr>
          <w:rFonts w:ascii="Times New Roman;Times;serif" w:hAnsi="Times New Roman;Times;serif"/>
          <w:sz w:val="2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Date of Report (Date of Earliest Event Reported): April 24, 2007</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EZCORP,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DELAWARE</w:t>
            </w:r>
            <w:r>
              <w:rPr/>
              <w:br/>
              <w:t xml:space="preserve">(State or other </w:t>
              <w:br/>
              <w:t xml:space="preserve">jurisdiction of </w:t>
              <w:br/>
              <w:t xml:space="preserve">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0-19424</w:t>
            </w:r>
            <w:r>
              <w:rPr/>
              <w:br/>
              <w:t xml:space="preserve">(Commission File 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74-2540145</w:t>
            </w:r>
            <w:r>
              <w:rPr/>
              <w:br/>
              <w:t>(I.R.S. Employer</w:t>
              <w:br/>
              <w:t>Identification No.)</w:t>
            </w:r>
          </w:p>
        </w:tc>
      </w:tr>
    </w:tbl>
    <w:tbl>
      <w:tblPr>
        <w:tblW w:w="5000" w:type="pct"/>
        <w:jc w:val="center"/>
        <w:tblInd w:w="0" w:type="dxa"/>
        <w:tblCellMar>
          <w:top w:w="0" w:type="dxa"/>
          <w:left w:w="0" w:type="dxa"/>
          <w:bottom w:w="0" w:type="dxa"/>
          <w:right w:w="0" w:type="dxa"/>
        </w:tblCellMar>
      </w:tblPr>
      <w:tblGrid>
        <w:gridCol w:w="4845"/>
        <w:gridCol w:w="514"/>
        <w:gridCol w:w="4846"/>
      </w:tblGrid>
      <w:tr>
        <w:trPr/>
        <w:tc>
          <w:tcPr>
            <w:tcW w:w="4845"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4846" w:type="dxa"/>
            <w:tcBorders/>
            <w:shd w:fill="auto" w:val="clear"/>
            <w:vAlign w:val="bottom"/>
          </w:tcPr>
          <w:p>
            <w:pPr>
              <w:pStyle w:val="TableContents"/>
              <w:spacing w:before="0" w:after="283"/>
              <w:rPr/>
            </w:pPr>
            <w:r>
              <w:rPr/>
              <w:t> </w:t>
            </w:r>
          </w:p>
        </w:tc>
      </w:tr>
      <w:tr>
        <w:trPr/>
        <w:tc>
          <w:tcPr>
            <w:tcW w:w="4845" w:type="dxa"/>
            <w:tcBorders/>
            <w:shd w:fill="auto" w:val="clear"/>
          </w:tcPr>
          <w:p>
            <w:pPr>
              <w:pStyle w:val="TableContents"/>
              <w:spacing w:before="0" w:after="283"/>
              <w:jc w:val="center"/>
              <w:rPr/>
            </w:pPr>
            <w:r>
              <w:rPr>
                <w:b/>
              </w:rPr>
              <w:t xml:space="preserve">1901 CAPITAL PARKWAY </w:t>
              <w:br/>
              <w:t>AUSTIN, TEXAS</w:t>
            </w:r>
            <w:r>
              <w:rPr/>
              <w:br/>
              <w:t xml:space="preserve">(Address of principal executive offices) </w:t>
            </w:r>
          </w:p>
        </w:tc>
        <w:tc>
          <w:tcPr>
            <w:tcW w:w="514" w:type="dxa"/>
            <w:tcBorders/>
            <w:shd w:fill="auto" w:val="clear"/>
            <w:vAlign w:val="bottom"/>
          </w:tcPr>
          <w:p>
            <w:pPr>
              <w:pStyle w:val="TableContents"/>
              <w:spacing w:before="0" w:after="283"/>
              <w:rPr/>
            </w:pPr>
            <w:r>
              <w:rPr/>
              <w:t> </w:t>
            </w:r>
          </w:p>
        </w:tc>
        <w:tc>
          <w:tcPr>
            <w:tcW w:w="4846" w:type="dxa"/>
            <w:tcBorders/>
            <w:shd w:fill="auto" w:val="clear"/>
          </w:tcPr>
          <w:p>
            <w:pPr>
              <w:pStyle w:val="TableContents"/>
              <w:spacing w:before="0" w:after="283"/>
              <w:jc w:val="center"/>
              <w:rPr/>
            </w:pPr>
            <w:r>
              <w:rPr>
                <w:b/>
              </w:rPr>
              <w:t>78746</w:t>
            </w:r>
            <w:r>
              <w:rPr/>
              <w:br/>
              <w:t>(Zip Code)</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(512) 314-3400</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Check the appropriate box below if the Form 8-K filing is intended to simultaneously satisfy the filing obligation of the registrant under any of the following provisions:</w:t>
      </w:r>
    </w:p>
    <w:tbl>
      <w:tblPr>
        <w:tblW w:w="5000" w:type="pct"/>
        <w:jc w:val="center"/>
        <w:tblInd w:w="0" w:type="dxa"/>
        <w:tblCellMar>
          <w:top w:w="0" w:type="dxa"/>
          <w:left w:w="0" w:type="dxa"/>
          <w:bottom w:w="0" w:type="dxa"/>
          <w:right w:w="0" w:type="dxa"/>
        </w:tblCellMar>
      </w:tblPr>
      <w:tblGrid>
        <w:gridCol w:w="203"/>
        <w:gridCol w:w="307"/>
        <w:gridCol w:w="9695"/>
      </w:tblGrid>
      <w:tr>
        <w:trPr/>
        <w:tc>
          <w:tcPr>
            <w:tcW w:w="203"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9695" w:type="dxa"/>
            <w:tcBorders/>
            <w:shd w:fill="auto" w:val="clear"/>
            <w:vAlign w:val="bottom"/>
          </w:tcPr>
          <w:p>
            <w:pPr>
              <w:pStyle w:val="TableContents"/>
              <w:spacing w:before="0" w:after="283"/>
              <w:rPr/>
            </w:pPr>
            <w:r>
              <w:rPr/>
              <w:t> </w:t>
            </w:r>
          </w:p>
        </w:tc>
      </w:tr>
      <w:tr>
        <w:trPr/>
        <w:tc>
          <w:tcPr>
            <w:tcW w:w="203" w:type="dxa"/>
            <w:tcBorders/>
            <w:shd w:fill="auto" w:val="clear"/>
          </w:tcPr>
          <w:p>
            <w:pPr>
              <w:pStyle w:val="TableContents"/>
              <w:spacing w:before="0" w:after="0"/>
              <w:ind w:left="0" w:right="0" w:hanging="0"/>
              <w:rPr/>
            </w:pPr>
            <w:r>
              <w:rPr>
                <w:rFonts w:ascii="Wingdings" w:hAnsi="Wingdings"/>
              </w:rPr>
              <w:t>o</w:t>
            </w:r>
            <w:r>
              <w:rPr/>
              <w:t xml:space="preserve"> </w:t>
            </w:r>
          </w:p>
        </w:tc>
        <w:tc>
          <w:tcPr>
            <w:tcW w:w="307" w:type="dxa"/>
            <w:tcBorders/>
            <w:shd w:fill="auto" w:val="clear"/>
            <w:vAlign w:val="bottom"/>
          </w:tcPr>
          <w:p>
            <w:pPr>
              <w:pStyle w:val="TableContents"/>
              <w:spacing w:before="0" w:after="283"/>
              <w:rPr/>
            </w:pPr>
            <w:r>
              <w:rPr/>
              <w:t> </w:t>
            </w:r>
          </w:p>
        </w:tc>
        <w:tc>
          <w:tcPr>
            <w:tcW w:w="9695" w:type="dxa"/>
            <w:tcBorders/>
            <w:shd w:fill="auto" w:val="clear"/>
          </w:tcPr>
          <w:p>
            <w:pPr>
              <w:pStyle w:val="TableContents"/>
              <w:spacing w:before="0" w:after="283"/>
              <w:jc w:val="left"/>
              <w:rPr/>
            </w:pPr>
            <w:r>
              <w:rPr/>
              <w:t>Written communications pursuant to Rule 425 under the Securities Act (17 CFR 230.425)</w:t>
            </w:r>
          </w:p>
        </w:tc>
      </w:tr>
      <w:tr>
        <w:trPr/>
        <w:tc>
          <w:tcPr>
            <w:tcW w:w="203" w:type="dxa"/>
            <w:tcBorders/>
            <w:shd w:fill="auto" w:val="clear"/>
          </w:tcPr>
          <w:p>
            <w:pPr>
              <w:pStyle w:val="TableContents"/>
              <w:spacing w:before="0" w:after="0"/>
              <w:ind w:left="0" w:right="0" w:hanging="0"/>
              <w:rPr/>
            </w:pPr>
            <w:r>
              <w:rPr/>
              <w:t> </w:t>
            </w:r>
          </w:p>
        </w:tc>
        <w:tc>
          <w:tcPr>
            <w:tcW w:w="307" w:type="dxa"/>
            <w:tcBorders/>
            <w:shd w:fill="auto" w:val="clear"/>
            <w:vAlign w:val="bottom"/>
          </w:tcPr>
          <w:p>
            <w:pPr>
              <w:pStyle w:val="TableContents"/>
              <w:spacing w:before="0" w:after="283"/>
              <w:rPr/>
            </w:pPr>
            <w:r>
              <w:rPr/>
              <w:t> </w:t>
            </w:r>
          </w:p>
        </w:tc>
        <w:tc>
          <w:tcPr>
            <w:tcW w:w="9695" w:type="dxa"/>
            <w:tcBorders/>
            <w:shd w:fill="auto" w:val="clear"/>
          </w:tcPr>
          <w:p>
            <w:pPr>
              <w:pStyle w:val="TableContents"/>
              <w:spacing w:before="0" w:after="283"/>
              <w:jc w:val="left"/>
              <w:rPr/>
            </w:pPr>
            <w:r>
              <w:rPr/>
              <w:t> </w:t>
            </w:r>
          </w:p>
        </w:tc>
      </w:tr>
      <w:tr>
        <w:trPr/>
        <w:tc>
          <w:tcPr>
            <w:tcW w:w="203" w:type="dxa"/>
            <w:tcBorders/>
            <w:shd w:fill="auto" w:val="clear"/>
          </w:tcPr>
          <w:p>
            <w:pPr>
              <w:pStyle w:val="TableContents"/>
              <w:spacing w:before="0" w:after="0"/>
              <w:ind w:left="0" w:right="0" w:hanging="0"/>
              <w:rPr/>
            </w:pPr>
            <w:r>
              <w:rPr>
                <w:rFonts w:ascii="Wingdings" w:hAnsi="Wingdings"/>
              </w:rPr>
              <w:t>o</w:t>
            </w:r>
            <w:r>
              <w:rPr/>
              <w:t xml:space="preserve"> </w:t>
            </w:r>
          </w:p>
        </w:tc>
        <w:tc>
          <w:tcPr>
            <w:tcW w:w="307" w:type="dxa"/>
            <w:tcBorders/>
            <w:shd w:fill="auto" w:val="clear"/>
            <w:vAlign w:val="bottom"/>
          </w:tcPr>
          <w:p>
            <w:pPr>
              <w:pStyle w:val="TableContents"/>
              <w:spacing w:before="0" w:after="283"/>
              <w:rPr/>
            </w:pPr>
            <w:r>
              <w:rPr/>
              <w:t> </w:t>
            </w:r>
          </w:p>
        </w:tc>
        <w:tc>
          <w:tcPr>
            <w:tcW w:w="9695" w:type="dxa"/>
            <w:tcBorders/>
            <w:shd w:fill="auto" w:val="clear"/>
          </w:tcPr>
          <w:p>
            <w:pPr>
              <w:pStyle w:val="TableContents"/>
              <w:spacing w:before="0" w:after="283"/>
              <w:jc w:val="left"/>
              <w:rPr/>
            </w:pPr>
            <w:r>
              <w:rPr/>
              <w:t>Soliciting material pursuant to Rule 14a-12 under the Exchange Act (17 CFR 240.14a-12)</w:t>
            </w:r>
          </w:p>
        </w:tc>
      </w:tr>
      <w:tr>
        <w:trPr/>
        <w:tc>
          <w:tcPr>
            <w:tcW w:w="203" w:type="dxa"/>
            <w:tcBorders/>
            <w:shd w:fill="auto" w:val="clear"/>
          </w:tcPr>
          <w:p>
            <w:pPr>
              <w:pStyle w:val="TableContents"/>
              <w:spacing w:before="0" w:after="0"/>
              <w:ind w:left="0" w:right="0" w:hanging="0"/>
              <w:rPr/>
            </w:pPr>
            <w:r>
              <w:rPr/>
              <w:t> </w:t>
            </w:r>
          </w:p>
        </w:tc>
        <w:tc>
          <w:tcPr>
            <w:tcW w:w="307" w:type="dxa"/>
            <w:tcBorders/>
            <w:shd w:fill="auto" w:val="clear"/>
            <w:vAlign w:val="bottom"/>
          </w:tcPr>
          <w:p>
            <w:pPr>
              <w:pStyle w:val="TableContents"/>
              <w:spacing w:before="0" w:after="283"/>
              <w:rPr/>
            </w:pPr>
            <w:r>
              <w:rPr/>
              <w:t> </w:t>
            </w:r>
          </w:p>
        </w:tc>
        <w:tc>
          <w:tcPr>
            <w:tcW w:w="9695" w:type="dxa"/>
            <w:tcBorders/>
            <w:shd w:fill="auto" w:val="clear"/>
          </w:tcPr>
          <w:p>
            <w:pPr>
              <w:pStyle w:val="TableContents"/>
              <w:spacing w:before="0" w:after="283"/>
              <w:jc w:val="left"/>
              <w:rPr/>
            </w:pPr>
            <w:r>
              <w:rPr/>
              <w:t> </w:t>
            </w:r>
          </w:p>
        </w:tc>
      </w:tr>
      <w:tr>
        <w:trPr/>
        <w:tc>
          <w:tcPr>
            <w:tcW w:w="203" w:type="dxa"/>
            <w:tcBorders/>
            <w:shd w:fill="auto" w:val="clear"/>
          </w:tcPr>
          <w:p>
            <w:pPr>
              <w:pStyle w:val="TableContents"/>
              <w:spacing w:before="0" w:after="0"/>
              <w:ind w:left="0" w:right="0" w:hanging="0"/>
              <w:rPr/>
            </w:pPr>
            <w:r>
              <w:rPr>
                <w:rFonts w:ascii="Wingdings" w:hAnsi="Wingdings"/>
              </w:rPr>
              <w:t>o</w:t>
            </w:r>
            <w:r>
              <w:rPr/>
              <w:t xml:space="preserve"> </w:t>
            </w:r>
          </w:p>
        </w:tc>
        <w:tc>
          <w:tcPr>
            <w:tcW w:w="307" w:type="dxa"/>
            <w:tcBorders/>
            <w:shd w:fill="auto" w:val="clear"/>
            <w:vAlign w:val="bottom"/>
          </w:tcPr>
          <w:p>
            <w:pPr>
              <w:pStyle w:val="TableContents"/>
              <w:spacing w:before="0" w:after="283"/>
              <w:rPr/>
            </w:pPr>
            <w:r>
              <w:rPr/>
              <w:t> </w:t>
            </w:r>
          </w:p>
        </w:tc>
        <w:tc>
          <w:tcPr>
            <w:tcW w:w="9695" w:type="dxa"/>
            <w:tcBorders/>
            <w:shd w:fill="auto" w:val="clear"/>
          </w:tcPr>
          <w:p>
            <w:pPr>
              <w:pStyle w:val="TableContents"/>
              <w:spacing w:before="0" w:after="283"/>
              <w:jc w:val="left"/>
              <w:rPr/>
            </w:pPr>
            <w:r>
              <w:rPr/>
              <w:t>Pre-commencement communications pursuant to Rule 14d-2(b) under the Exchange Act (17 CFR 240.14d-2(b))</w:t>
            </w:r>
          </w:p>
        </w:tc>
      </w:tr>
      <w:tr>
        <w:trPr/>
        <w:tc>
          <w:tcPr>
            <w:tcW w:w="203" w:type="dxa"/>
            <w:tcBorders/>
            <w:shd w:fill="auto" w:val="clear"/>
          </w:tcPr>
          <w:p>
            <w:pPr>
              <w:pStyle w:val="TableContents"/>
              <w:spacing w:before="0" w:after="0"/>
              <w:ind w:left="0" w:right="0" w:hanging="0"/>
              <w:rPr/>
            </w:pPr>
            <w:r>
              <w:rPr/>
              <w:t> </w:t>
            </w:r>
          </w:p>
        </w:tc>
        <w:tc>
          <w:tcPr>
            <w:tcW w:w="307" w:type="dxa"/>
            <w:tcBorders/>
            <w:shd w:fill="auto" w:val="clear"/>
            <w:vAlign w:val="bottom"/>
          </w:tcPr>
          <w:p>
            <w:pPr>
              <w:pStyle w:val="TableContents"/>
              <w:spacing w:before="0" w:after="283"/>
              <w:rPr/>
            </w:pPr>
            <w:r>
              <w:rPr/>
              <w:t> </w:t>
            </w:r>
          </w:p>
        </w:tc>
        <w:tc>
          <w:tcPr>
            <w:tcW w:w="9695" w:type="dxa"/>
            <w:tcBorders/>
            <w:shd w:fill="auto" w:val="clear"/>
          </w:tcPr>
          <w:p>
            <w:pPr>
              <w:pStyle w:val="TableContents"/>
              <w:spacing w:before="0" w:after="283"/>
              <w:jc w:val="left"/>
              <w:rPr/>
            </w:pPr>
            <w:r>
              <w:rPr/>
              <w:t> </w:t>
            </w:r>
          </w:p>
        </w:tc>
      </w:tr>
      <w:tr>
        <w:trPr/>
        <w:tc>
          <w:tcPr>
            <w:tcW w:w="203" w:type="dxa"/>
            <w:tcBorders/>
            <w:shd w:fill="auto" w:val="clear"/>
          </w:tcPr>
          <w:p>
            <w:pPr>
              <w:pStyle w:val="TableContents"/>
              <w:spacing w:before="0" w:after="0"/>
              <w:ind w:left="0" w:right="0" w:hanging="0"/>
              <w:rPr/>
            </w:pPr>
            <w:r>
              <w:rPr>
                <w:rFonts w:ascii="Wingdings" w:hAnsi="Wingdings"/>
              </w:rPr>
              <w:t>o</w:t>
            </w:r>
            <w:r>
              <w:rPr/>
              <w:t xml:space="preserve"> </w:t>
            </w:r>
          </w:p>
        </w:tc>
        <w:tc>
          <w:tcPr>
            <w:tcW w:w="307" w:type="dxa"/>
            <w:tcBorders/>
            <w:shd w:fill="auto" w:val="clear"/>
            <w:vAlign w:val="bottom"/>
          </w:tcPr>
          <w:p>
            <w:pPr>
              <w:pStyle w:val="TableContents"/>
              <w:spacing w:before="0" w:after="283"/>
              <w:rPr/>
            </w:pPr>
            <w:r>
              <w:rPr/>
              <w:t> </w:t>
            </w:r>
          </w:p>
        </w:tc>
        <w:tc>
          <w:tcPr>
            <w:tcW w:w="9695" w:type="dxa"/>
            <w:tcBorders/>
            <w:shd w:fill="auto" w:val="clear"/>
          </w:tcPr>
          <w:p>
            <w:pPr>
              <w:pStyle w:val="TableContents"/>
              <w:spacing w:before="0" w:after="283"/>
              <w:jc w:val="left"/>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2.02. RESULTS OF OPERATIONS AND FINANCIAL CONDITION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This information set forth under Item 2.02. Results Of Operations And Financial Condition, including the Exhibit attached hereto, shall not be deemed filed for purposes of Section 18 of the Securities and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pStyle w:val="TextBody"/>
        <w:spacing w:before="120" w:after="283"/>
        <w:jc w:val="left"/>
        <w:rPr>
          <w:rFonts w:ascii="Times New Roman;Times;serif" w:hAnsi="Times New Roman;Times;serif"/>
          <w:sz w:val="17"/>
        </w:rPr>
      </w:pPr>
      <w:r>
        <w:rPr>
          <w:rFonts w:ascii="Times New Roman;Times;serif" w:hAnsi="Times New Roman;Times;serif"/>
          <w:sz w:val="17"/>
        </w:rPr>
        <w:t>On April 24, 2007, EZCORP, Inc. issued a press release announcing its results of operations and financial condition for the quarter ended March 31, 2007. A copy of the press release is attached hereto as Exhibit 99.1.</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9.01. FINANCIAL STATEMENTS AND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63"/>
        <w:gridCol w:w="315"/>
        <w:gridCol w:w="9427"/>
      </w:tblGrid>
      <w:tr>
        <w:trPr/>
        <w:tc>
          <w:tcPr>
            <w:tcW w:w="463"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9427" w:type="dxa"/>
            <w:tcBorders/>
            <w:shd w:fill="auto" w:val="clear"/>
            <w:vAlign w:val="bottom"/>
          </w:tcPr>
          <w:p>
            <w:pPr>
              <w:pStyle w:val="TableContents"/>
              <w:spacing w:before="0" w:after="283"/>
              <w:rPr/>
            </w:pPr>
            <w:r>
              <w:rPr/>
              <w:t> </w:t>
            </w:r>
          </w:p>
        </w:tc>
      </w:tr>
      <w:tr>
        <w:trPr/>
        <w:tc>
          <w:tcPr>
            <w:tcW w:w="463" w:type="dxa"/>
            <w:tcBorders/>
            <w:shd w:fill="auto" w:val="clear"/>
          </w:tcPr>
          <w:p>
            <w:pPr>
              <w:pStyle w:val="TableContents"/>
              <w:spacing w:before="0" w:after="0"/>
              <w:ind w:left="0" w:right="0" w:hanging="0"/>
              <w:rPr/>
            </w:pPr>
            <w:r>
              <w:rPr/>
              <w:t xml:space="preserve">99.1 </w:t>
            </w:r>
          </w:p>
        </w:tc>
        <w:tc>
          <w:tcPr>
            <w:tcW w:w="315" w:type="dxa"/>
            <w:tcBorders/>
            <w:shd w:fill="auto" w:val="clear"/>
            <w:vAlign w:val="bottom"/>
          </w:tcPr>
          <w:p>
            <w:pPr>
              <w:pStyle w:val="TableContents"/>
              <w:spacing w:before="0" w:after="283"/>
              <w:rPr/>
            </w:pPr>
            <w:r>
              <w:rPr/>
              <w:t> </w:t>
            </w:r>
          </w:p>
        </w:tc>
        <w:tc>
          <w:tcPr>
            <w:tcW w:w="9427" w:type="dxa"/>
            <w:tcBorders/>
            <w:shd w:fill="auto" w:val="clear"/>
          </w:tcPr>
          <w:p>
            <w:pPr>
              <w:pStyle w:val="TableContents"/>
              <w:spacing w:before="0" w:after="283"/>
              <w:jc w:val="left"/>
              <w:rPr/>
            </w:pPr>
            <w:r>
              <w:rPr/>
              <w:t>Press release dated April 24, 2007, issued by EZCORP, Inc.</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Pursuant to the requirements of the Securities Exchange Act of 1934, the registrant has duly caused this report to be signed on its behalf by the undersigned hereunto duly authorized.</w:t>
      </w:r>
    </w:p>
    <w:tbl>
      <w:tblPr>
        <w:tblW w:w="5000" w:type="pct"/>
        <w:jc w:val="left"/>
        <w:tblInd w:w="0" w:type="dxa"/>
        <w:tblCellMar>
          <w:top w:w="0" w:type="dxa"/>
          <w:left w:w="0" w:type="dxa"/>
          <w:bottom w:w="0" w:type="dxa"/>
          <w:right w:w="0" w:type="dxa"/>
        </w:tblCellMar>
      </w:tblPr>
      <w:tblGrid>
        <w:gridCol w:w="4356"/>
        <w:gridCol w:w="790"/>
        <w:gridCol w:w="600"/>
        <w:gridCol w:w="3198"/>
        <w:gridCol w:w="1261"/>
      </w:tblGrid>
      <w:tr>
        <w:trPr/>
        <w:tc>
          <w:tcPr>
            <w:tcW w:w="4356" w:type="dxa"/>
            <w:tcBorders/>
            <w:shd w:fill="auto" w:val="clear"/>
            <w:vAlign w:val="center"/>
          </w:tcPr>
          <w:p>
            <w:pPr>
              <w:pStyle w:val="TableContents"/>
              <w:spacing w:before="0" w:after="283"/>
              <w:rPr/>
            </w:pPr>
            <w:r>
              <w:rPr/>
              <w:t> </w:t>
            </w:r>
          </w:p>
        </w:tc>
        <w:tc>
          <w:tcPr>
            <w:tcW w:w="790" w:type="dxa"/>
            <w:tcBorders/>
            <w:shd w:fill="auto" w:val="clear"/>
            <w:vAlign w:val="center"/>
          </w:tcPr>
          <w:p>
            <w:pPr>
              <w:pStyle w:val="TableContents"/>
              <w:spacing w:before="0" w:after="283"/>
              <w:rPr/>
            </w:pPr>
            <w:r>
              <w:rPr/>
              <w:t> </w:t>
            </w:r>
          </w:p>
        </w:tc>
        <w:tc>
          <w:tcPr>
            <w:tcW w:w="600" w:type="dxa"/>
            <w:tcBorders/>
            <w:shd w:fill="auto" w:val="clear"/>
            <w:vAlign w:val="center"/>
          </w:tcPr>
          <w:p>
            <w:pPr>
              <w:pStyle w:val="TableContents"/>
              <w:spacing w:before="0" w:after="283"/>
              <w:rPr/>
            </w:pPr>
            <w:r>
              <w:rPr/>
              <w:t> </w:t>
            </w:r>
          </w:p>
        </w:tc>
        <w:tc>
          <w:tcPr>
            <w:tcW w:w="3198" w:type="dxa"/>
            <w:tcBorders/>
            <w:shd w:fill="auto" w:val="clear"/>
            <w:vAlign w:val="center"/>
          </w:tcPr>
          <w:p>
            <w:pPr>
              <w:pStyle w:val="TableContents"/>
              <w:spacing w:before="0" w:after="283"/>
              <w:rPr/>
            </w:pPr>
            <w:r>
              <w:rPr/>
              <w:t> </w:t>
            </w:r>
          </w:p>
        </w:tc>
        <w:tc>
          <w:tcPr>
            <w:tcW w:w="1261" w:type="dxa"/>
            <w:tcBorders/>
            <w:shd w:fill="auto" w:val="clear"/>
            <w:vAlign w:val="center"/>
          </w:tcPr>
          <w:p>
            <w:pPr>
              <w:pStyle w:val="TableContents"/>
              <w:spacing w:before="0" w:after="283"/>
              <w:rPr/>
            </w:pPr>
            <w:r>
              <w:rPr/>
              <w:t> </w:t>
            </w:r>
          </w:p>
        </w:tc>
      </w:tr>
      <w:tr>
        <w:trPr/>
        <w:tc>
          <w:tcPr>
            <w:tcW w:w="4356" w:type="dxa"/>
            <w:tcBorders/>
            <w:shd w:fill="auto" w:val="clear"/>
          </w:tcPr>
          <w:p>
            <w:pPr>
              <w:pStyle w:val="TableContents"/>
              <w:spacing w:before="0" w:after="283"/>
              <w:jc w:val="left"/>
              <w:rPr/>
            </w:pPr>
            <w:r>
              <w:rPr/>
              <w:t> </w:t>
            </w:r>
          </w:p>
        </w:tc>
        <w:tc>
          <w:tcPr>
            <w:tcW w:w="4588" w:type="dxa"/>
            <w:gridSpan w:val="3"/>
            <w:tcBorders/>
            <w:shd w:fill="auto" w:val="clear"/>
            <w:vAlign w:val="center"/>
          </w:tcPr>
          <w:p>
            <w:pPr>
              <w:pStyle w:val="TableContents"/>
              <w:spacing w:before="0" w:after="283"/>
              <w:jc w:val="left"/>
              <w:rPr/>
            </w:pPr>
            <w:r>
              <w:rPr>
                <w:b/>
              </w:rPr>
              <w:t>EZCORP, INC.</w:t>
            </w:r>
            <w:r>
              <w:rPr/>
              <w:br/>
              <w:t>(Registrant)</w:t>
              <w:br/>
              <w:t> </w:t>
            </w:r>
          </w:p>
        </w:tc>
        <w:tc>
          <w:tcPr>
            <w:tcW w:w="1261" w:type="dxa"/>
            <w:tcBorders/>
            <w:shd w:fill="auto" w:val="clear"/>
            <w:vAlign w:val="center"/>
          </w:tcPr>
          <w:p>
            <w:pPr>
              <w:pStyle w:val="TableContents"/>
              <w:spacing w:before="0" w:after="283"/>
              <w:rPr/>
            </w:pPr>
            <w:r>
              <w:rPr/>
              <w:t> </w:t>
            </w:r>
          </w:p>
        </w:tc>
      </w:tr>
      <w:tr>
        <w:trPr/>
        <w:tc>
          <w:tcPr>
            <w:tcW w:w="4356" w:type="dxa"/>
            <w:tcBorders/>
            <w:shd w:fill="auto" w:val="clear"/>
            <w:vAlign w:val="center"/>
          </w:tcPr>
          <w:p>
            <w:pPr>
              <w:pStyle w:val="TableContents"/>
              <w:spacing w:before="0" w:after="283"/>
              <w:jc w:val="left"/>
              <w:rPr>
                <w:i/>
              </w:rPr>
            </w:pPr>
            <w:r>
              <w:rPr>
                <w:i/>
              </w:rPr>
              <w:t>Date: April 24, 2007</w:t>
            </w:r>
          </w:p>
        </w:tc>
        <w:tc>
          <w:tcPr>
            <w:tcW w:w="790" w:type="dxa"/>
            <w:tcBorders/>
            <w:shd w:fill="auto" w:val="clear"/>
          </w:tcPr>
          <w:p>
            <w:pPr>
              <w:pStyle w:val="TableContents"/>
              <w:spacing w:before="0" w:after="283"/>
              <w:rPr/>
            </w:pPr>
            <w:r>
              <w:rPr/>
              <w:t>By:  </w:t>
            </w:r>
          </w:p>
        </w:tc>
        <w:tc>
          <w:tcPr>
            <w:tcW w:w="3798" w:type="dxa"/>
            <w:gridSpan w:val="2"/>
            <w:tcBorders>
              <w:bottom w:val="single" w:sz="2" w:space="0" w:color="000000"/>
            </w:tcBorders>
            <w:shd w:fill="auto" w:val="clear"/>
            <w:tcMar>
              <w:bottom w:w="28" w:type="dxa"/>
            </w:tcMar>
            <w:vAlign w:val="center"/>
          </w:tcPr>
          <w:p>
            <w:pPr>
              <w:pStyle w:val="TableContents"/>
              <w:spacing w:before="0" w:after="283"/>
              <w:jc w:val="left"/>
              <w:rPr/>
            </w:pPr>
            <w:r>
              <w:rPr>
                <w:i/>
              </w:rPr>
              <w:t>/s/ Daniel N. Tonissen</w:t>
            </w:r>
            <w:r>
              <w:rPr/>
              <w:t xml:space="preserve">  </w:t>
            </w:r>
          </w:p>
        </w:tc>
        <w:tc>
          <w:tcPr>
            <w:tcW w:w="1261" w:type="dxa"/>
            <w:tcBorders/>
            <w:shd w:fill="auto" w:val="clear"/>
            <w:vAlign w:val="center"/>
          </w:tcPr>
          <w:p>
            <w:pPr>
              <w:pStyle w:val="TableContents"/>
              <w:spacing w:before="0" w:after="283"/>
              <w:rPr/>
            </w:pPr>
            <w:r>
              <w:rPr/>
              <w:t> </w:t>
            </w:r>
          </w:p>
        </w:tc>
      </w:tr>
      <w:tr>
        <w:trPr/>
        <w:tc>
          <w:tcPr>
            <w:tcW w:w="4356" w:type="dxa"/>
            <w:tcBorders/>
            <w:shd w:fill="auto" w:val="clear"/>
            <w:vAlign w:val="center"/>
          </w:tcPr>
          <w:p>
            <w:pPr>
              <w:pStyle w:val="TableContents"/>
              <w:spacing w:before="0" w:after="283"/>
              <w:jc w:val="left"/>
              <w:rPr/>
            </w:pPr>
            <w:r>
              <w:rPr/>
              <w:t> </w:t>
            </w:r>
          </w:p>
        </w:tc>
        <w:tc>
          <w:tcPr>
            <w:tcW w:w="790" w:type="dxa"/>
            <w:tcBorders/>
            <w:shd w:fill="auto" w:val="clear"/>
            <w:vAlign w:val="center"/>
          </w:tcPr>
          <w:p>
            <w:pPr>
              <w:pStyle w:val="TableContents"/>
              <w:spacing w:before="0" w:after="283"/>
              <w:rPr/>
            </w:pPr>
            <w:r>
              <w:rPr/>
              <w:t> </w:t>
            </w:r>
          </w:p>
        </w:tc>
        <w:tc>
          <w:tcPr>
            <w:tcW w:w="3798" w:type="dxa"/>
            <w:gridSpan w:val="2"/>
            <w:tcBorders/>
            <w:shd w:fill="auto" w:val="clear"/>
            <w:vAlign w:val="center"/>
          </w:tcPr>
          <w:p>
            <w:pPr>
              <w:pStyle w:val="TableContents"/>
              <w:spacing w:before="0" w:after="283"/>
              <w:jc w:val="left"/>
              <w:rPr/>
            </w:pPr>
            <w:r>
              <w:rPr>
                <w:i/>
              </w:rPr>
              <w:t>(Signature)</w:t>
            </w:r>
            <w:r>
              <w:rPr/>
              <w:t> </w:t>
            </w:r>
          </w:p>
        </w:tc>
        <w:tc>
          <w:tcPr>
            <w:tcW w:w="1261" w:type="dxa"/>
            <w:tcBorders/>
            <w:shd w:fill="auto" w:val="clear"/>
            <w:vAlign w:val="center"/>
          </w:tcPr>
          <w:p>
            <w:pPr>
              <w:pStyle w:val="TableContents"/>
              <w:spacing w:before="0" w:after="283"/>
              <w:rPr/>
            </w:pPr>
            <w:r>
              <w:rPr/>
              <w:t> </w:t>
            </w:r>
          </w:p>
        </w:tc>
      </w:tr>
      <w:tr>
        <w:trPr/>
        <w:tc>
          <w:tcPr>
            <w:tcW w:w="4356" w:type="dxa"/>
            <w:tcBorders/>
            <w:shd w:fill="auto" w:val="clear"/>
            <w:vAlign w:val="center"/>
          </w:tcPr>
          <w:p>
            <w:pPr>
              <w:pStyle w:val="TableContents"/>
              <w:spacing w:before="0" w:after="283"/>
              <w:jc w:val="left"/>
              <w:rPr/>
            </w:pPr>
            <w:r>
              <w:rPr/>
              <w:t> </w:t>
            </w:r>
          </w:p>
        </w:tc>
        <w:tc>
          <w:tcPr>
            <w:tcW w:w="790" w:type="dxa"/>
            <w:tcBorders/>
            <w:shd w:fill="auto" w:val="clear"/>
            <w:vAlign w:val="center"/>
          </w:tcPr>
          <w:p>
            <w:pPr>
              <w:pStyle w:val="TableContents"/>
              <w:spacing w:before="0" w:after="283"/>
              <w:rPr/>
            </w:pPr>
            <w:r>
              <w:rPr/>
              <w:t> </w:t>
            </w:r>
          </w:p>
        </w:tc>
        <w:tc>
          <w:tcPr>
            <w:tcW w:w="3798" w:type="dxa"/>
            <w:gridSpan w:val="2"/>
            <w:tcBorders/>
            <w:shd w:fill="auto" w:val="clear"/>
            <w:vAlign w:val="center"/>
          </w:tcPr>
          <w:p>
            <w:pPr>
              <w:pStyle w:val="TableContents"/>
              <w:spacing w:before="0" w:after="283"/>
              <w:jc w:val="left"/>
              <w:rPr/>
            </w:pPr>
            <w:r>
              <w:rPr/>
              <w:t>Senior Vice President, Chief Financial Officer, and Director </w:t>
            </w:r>
          </w:p>
        </w:tc>
        <w:tc>
          <w:tcPr>
            <w:tcW w:w="1261" w:type="dxa"/>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EXHIBIT 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63"/>
        <w:gridCol w:w="315"/>
        <w:gridCol w:w="9427"/>
      </w:tblGrid>
      <w:tr>
        <w:trPr/>
        <w:tc>
          <w:tcPr>
            <w:tcW w:w="463"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9427" w:type="dxa"/>
            <w:tcBorders/>
            <w:shd w:fill="auto" w:val="clear"/>
            <w:vAlign w:val="bottom"/>
          </w:tcPr>
          <w:p>
            <w:pPr>
              <w:pStyle w:val="TableContents"/>
              <w:spacing w:before="0" w:after="283"/>
              <w:rPr/>
            </w:pPr>
            <w:r>
              <w:rPr/>
              <w:t> </w:t>
            </w:r>
          </w:p>
        </w:tc>
      </w:tr>
      <w:tr>
        <w:trPr/>
        <w:tc>
          <w:tcPr>
            <w:tcW w:w="463" w:type="dxa"/>
            <w:tcBorders/>
            <w:shd w:fill="auto" w:val="clear"/>
          </w:tcPr>
          <w:p>
            <w:pPr>
              <w:pStyle w:val="TableContents"/>
              <w:spacing w:before="0" w:after="0"/>
              <w:ind w:left="0" w:right="0" w:hanging="0"/>
              <w:rPr/>
            </w:pPr>
            <w:r>
              <w:rPr/>
              <w:t xml:space="preserve">99.1 </w:t>
            </w:r>
          </w:p>
        </w:tc>
        <w:tc>
          <w:tcPr>
            <w:tcW w:w="315" w:type="dxa"/>
            <w:tcBorders/>
            <w:shd w:fill="auto" w:val="clear"/>
            <w:vAlign w:val="bottom"/>
          </w:tcPr>
          <w:p>
            <w:pPr>
              <w:pStyle w:val="TableContents"/>
              <w:spacing w:before="0" w:after="283"/>
              <w:rPr/>
            </w:pPr>
            <w:r>
              <w:rPr/>
              <w:t> </w:t>
            </w:r>
          </w:p>
        </w:tc>
        <w:tc>
          <w:tcPr>
            <w:tcW w:w="9427" w:type="dxa"/>
            <w:tcBorders/>
            <w:shd w:fill="auto" w:val="clear"/>
          </w:tcPr>
          <w:p>
            <w:pPr>
              <w:pStyle w:val="TableContents"/>
              <w:spacing w:before="0" w:after="283"/>
              <w:jc w:val="left"/>
              <w:rPr/>
            </w:pPr>
            <w:r>
              <w:rPr/>
              <w:t>Press release dated April 24, 2007, issued by EZCORP, Inc.</w:t>
            </w:r>
          </w:p>
        </w:tc>
      </w:tr>
    </w:tbl>
    <w:p>
      <w:pPr>
        <w:pStyle w:val="TextBody"/>
        <w:jc w:val="center"/>
        <w:rPr/>
      </w:pPr>
      <w:r>
        <w:rPr/>
        <w:t xml:space="preserve">  </w:t>
      </w:r>
      <w:r>
        <w:br w:type="page"/>
      </w:r>
    </w:p>
    <w:p>
      <w:pPr>
        <w:pStyle w:val="Heading5"/>
        <w:jc w:val="left"/>
        <w:rPr/>
      </w:pPr>
      <w:bookmarkStart w:id="2" w:name="d45837exv99w1.htm"/>
      <w:bookmarkStart w:id="3" w:name="ksd45837exv99w1"/>
      <w:bookmarkEnd w:id="2"/>
      <w:bookmarkEnd w:id="3"/>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EXHIBIT 99.1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ANNOUNCES SECOND FISCAL QUARTER RESULTS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 xml:space="preserve">AUSTIN, Texas (April 24, 2007) </w:t>
      </w:r>
      <w:r>
        <w:rPr>
          <w:rFonts w:ascii="Times New Roman;Times;serif" w:hAnsi="Times New Roman;Times;serif"/>
          <w:sz w:val="17"/>
        </w:rPr>
        <w:t> EZCORP, Inc. (Nasdaq: EZPW) announced today results for its second fiscal quarter and six month period, which ended March 31, 2007.</w:t>
      </w:r>
    </w:p>
    <w:p>
      <w:pPr>
        <w:pStyle w:val="TextBody"/>
        <w:spacing w:before="120" w:after="283"/>
        <w:jc w:val="left"/>
        <w:rPr>
          <w:rFonts w:ascii="Times New Roman;Times;serif" w:hAnsi="Times New Roman;Times;serif"/>
          <w:sz w:val="17"/>
        </w:rPr>
      </w:pPr>
      <w:r>
        <w:rPr>
          <w:rFonts w:ascii="Times New Roman;Times;serif" w:hAnsi="Times New Roman;Times;serif"/>
          <w:sz w:val="17"/>
        </w:rPr>
        <w:t>For the quarter ended March 31, 2007, EZCORPs net income increased 32% to $10,196,000 ($0.23 per share) compared to $7,727,000 ($0.19 per share) for the quarter ended March 31, 2006. Total revenues for the second fiscal quarter increased 14% to $89,643,000 while operating income improved 29% to $14,880,000.</w:t>
      </w:r>
    </w:p>
    <w:p>
      <w:pPr>
        <w:pStyle w:val="TextBody"/>
        <w:spacing w:before="120" w:after="283"/>
        <w:jc w:val="left"/>
        <w:rPr>
          <w:rFonts w:ascii="Times New Roman;Times;serif" w:hAnsi="Times New Roman;Times;serif"/>
          <w:sz w:val="17"/>
        </w:rPr>
      </w:pPr>
      <w:r>
        <w:rPr>
          <w:rFonts w:ascii="Times New Roman;Times;serif" w:hAnsi="Times New Roman;Times;serif"/>
          <w:sz w:val="17"/>
        </w:rPr>
        <w:t>For the six months ended March 31, 2007, EZCORPs net income increased 38% to $19,957,000 ($0.46 per share) compared to $14,483,000 ($0.35 per share) for the prior year six month period. Total revenues grew 17% to $181,330,000 while operating income increased 35% to $29,503,000. Operating income margins for the six months, measured as a percent of net revenue, improved almost three percentage points to 24.4%.</w:t>
      </w:r>
    </w:p>
    <w:p>
      <w:pPr>
        <w:pStyle w:val="TextBody"/>
        <w:spacing w:before="120" w:after="283"/>
        <w:jc w:val="left"/>
        <w:rPr>
          <w:rFonts w:ascii="Times New Roman;Times;serif" w:hAnsi="Times New Roman;Times;serif"/>
          <w:sz w:val="17"/>
        </w:rPr>
      </w:pPr>
      <w:r>
        <w:rPr>
          <w:rFonts w:ascii="Times New Roman;Times;serif" w:hAnsi="Times New Roman;Times;serif"/>
          <w:sz w:val="17"/>
        </w:rPr>
        <w:t>Commenting on these results, President and Chief Executive Officer, Joe Rotunda, stated, Our results for the second fiscal 2007 quarter were driven by continued strong growth in our payday loan and credit service business and strong growth in our pawn business. Payday loan and credit service fees increased 46% to $22.7 million while bad debt measured as a percent of fee revenues improved a percentage point to just under 13%. Our pawn net revenue improved 4% to $36.6 million with pawn service charges and sales gross profit increasing 7% and 2% over the prior year period.</w:t>
      </w:r>
    </w:p>
    <w:p>
      <w:pPr>
        <w:pStyle w:val="TextBody"/>
        <w:spacing w:before="120" w:after="283"/>
        <w:jc w:val="left"/>
        <w:rPr>
          <w:rFonts w:ascii="Times New Roman;Times;serif" w:hAnsi="Times New Roman;Times;serif"/>
          <w:sz w:val="17"/>
        </w:rPr>
      </w:pPr>
      <w:r>
        <w:rPr>
          <w:rFonts w:ascii="Times New Roman;Times;serif" w:hAnsi="Times New Roman;Times;serif"/>
          <w:sz w:val="17"/>
        </w:rPr>
        <w:t>Rotunda continued, This was a very productive quarter for us. During the period, we opened a net twenty-nine EZMONEY stores, we opened our second Mexico EZPAWN location, we agreed to acquire fifteen Colorado pawn locations and we introduced our installment loan product in selective test locations. We believe each of these accomplishments will help drive earnings growth in upcoming quarters.</w:t>
      </w:r>
    </w:p>
    <w:p>
      <w:pPr>
        <w:pStyle w:val="TextBody"/>
        <w:spacing w:before="120" w:after="283"/>
        <w:jc w:val="left"/>
        <w:rPr>
          <w:rFonts w:ascii="Times New Roman;Times;serif" w:hAnsi="Times New Roman;Times;serif"/>
          <w:sz w:val="17"/>
        </w:rPr>
      </w:pPr>
      <w:r>
        <w:rPr>
          <w:rFonts w:ascii="Times New Roman;Times;serif" w:hAnsi="Times New Roman;Times;serif"/>
          <w:sz w:val="17"/>
        </w:rPr>
        <w:t>Rotunda concluded, We expect our third fiscal 2007 quarters earnings to be approximately $0.15 per share compared to $0.13 for the fiscal 2006 third quarter. For our 2007 fiscal year, we are raising guidance to approximately $0.86 per share compared to fiscal 2006s $0.69 per share. Based on new EZMONEY locations in the pipeline, we expect to open approximately 65 EZMONEY stores over the next two quarters for a total of 100 net new EZMONEY locations this fiscal year. In early June, we expect to complete our Colorado store acquisition, adding fifteen EZPAWN locations; and, during the next two quarters, we will open one to two additional Mexico EZPAWN stores.</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EZCORP is primarily a lender or provider of credit services to individuals who do not have cash resources or access to credit to meet their short-term cash needs. The Company offers non-recourse loans collateralized by tangible personal property, commonly known as pawn loans, in 280 U.S. and two Mexico EZPAWN locations open at March 31, 2007. At these locations, the Company also sells merchandise, primarily collateral forfeited from its pawn lending operations, to consumers looking for good value. In 369 EZMONEY locations and 80 EZPAWN locations open at March 31, 2007, the Company offers short-term non-collateralized loans, often referred to as payday loans, or fee based credit services to customers seeking loans.</w:t>
      </w:r>
    </w:p>
    <w:p>
      <w:pPr>
        <w:pStyle w:val="TextBody"/>
        <w:spacing w:before="120" w:after="283"/>
        <w:jc w:val="left"/>
        <w:rPr>
          <w:rFonts w:ascii="Times New Roman;Times;serif" w:hAnsi="Times New Roman;Times;serif"/>
          <w:sz w:val="17"/>
        </w:rPr>
      </w:pPr>
      <w:r>
        <w:rPr>
          <w:rFonts w:ascii="Times New Roman;Times;serif" w:hAnsi="Times New Roman;Times;serif"/>
          <w:sz w:val="17"/>
        </w:rPr>
        <w:t>This announcement contains certain forward-looking statements regarding the Companys expected performance for future periods including, but not limited to, new store expansion and expected future earnings. Actual results for these periods may materially differ from these statements. Such forward-looking statements involve risks and uncertainties such as changing market conditions in the overall economy and the industry, consumer demand for the Companys services and merchandise, changes in the regulatory environment, and other factors periodically discussed in the Companys annual, quarterly and other reports filed with the Securities and Exchange Commission.</w:t>
      </w:r>
    </w:p>
    <w:p>
      <w:pPr>
        <w:pStyle w:val="TextBody"/>
        <w:spacing w:before="120" w:after="283"/>
        <w:jc w:val="left"/>
        <w:rPr>
          <w:rFonts w:ascii="Times New Roman;Times;serif" w:hAnsi="Times New Roman;Times;serif"/>
          <w:sz w:val="17"/>
        </w:rPr>
      </w:pPr>
      <w:r>
        <w:rPr>
          <w:rFonts w:ascii="Times New Roman;Times;serif" w:hAnsi="Times New Roman;Times;serif"/>
          <w:sz w:val="17"/>
        </w:rPr>
        <w:t>You are invited to listen to a conference call discussing these results on April 24, 2007 at 3:30pm Central Time. The conference call can be accessed over the Internet or replayed at your convenience at the following address.</w:t>
      </w:r>
    </w:p>
    <w:p>
      <w:pPr>
        <w:pStyle w:val="TextBody"/>
        <w:spacing w:before="240" w:after="283"/>
        <w:jc w:val="left"/>
        <w:rPr>
          <w:rFonts w:ascii="Times New Roman;Times;serif" w:hAnsi="Times New Roman;Times;serif"/>
          <w:sz w:val="17"/>
        </w:rPr>
      </w:pPr>
      <w:r>
        <w:rPr>
          <w:rFonts w:ascii="Times New Roman;Times;serif" w:hAnsi="Times New Roman;Times;serif"/>
          <w:sz w:val="17"/>
          <w:u w:val="single"/>
        </w:rPr>
        <w:t>http://www.videonewswire.com/event.asp?id=38919</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additional information, contact Dan Tonissen at (512) 314-2289.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 CORP, Inc.</w:t>
        <w:br/>
        <w:t>Highlights of Consolidated Statements of Operations (Unaudited)</w:t>
      </w:r>
      <w:r>
        <w:rPr>
          <w:rFonts w:ascii="Times New Roman;Times;serif" w:hAnsi="Times New Roman;Times;serif"/>
          <w:sz w:val="17"/>
        </w:rPr>
        <w:br/>
      </w:r>
      <w:r>
        <w:rPr>
          <w:rFonts w:ascii="Times New Roman;Times;serif" w:hAnsi="Times New Roman;Times;serif"/>
          <w:i/>
          <w:sz w:val="17"/>
        </w:rPr>
        <w:t>(in thousands, except per share data)</w:t>
      </w:r>
      <w:r>
        <w:rPr>
          <w:rFonts w:ascii="Times New Roman;Times;serif" w:hAnsi="Times New Roman;Times;serif"/>
          <w:sz w:val="17"/>
        </w:rPr>
        <w:t xml:space="preserve"> </w:t>
      </w:r>
    </w:p>
    <w:p>
      <w:pPr>
        <w:pStyle w:val="TextBody"/>
        <w:spacing w:before="12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6012"/>
        <w:gridCol w:w="380"/>
        <w:gridCol w:w="258"/>
        <w:gridCol w:w="1269"/>
        <w:gridCol w:w="196"/>
        <w:gridCol w:w="417"/>
        <w:gridCol w:w="258"/>
        <w:gridCol w:w="1272"/>
        <w:gridCol w:w="143"/>
      </w:tblGrid>
      <w:tr>
        <w:trPr/>
        <w:tc>
          <w:tcPr>
            <w:tcW w:w="6012"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7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6012"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3670"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March 31,</w:t>
            </w:r>
          </w:p>
        </w:tc>
        <w:tc>
          <w:tcPr>
            <w:tcW w:w="143" w:type="dxa"/>
            <w:tcBorders/>
            <w:shd w:fill="auto" w:val="clear"/>
            <w:vAlign w:val="bottom"/>
          </w:tcPr>
          <w:p>
            <w:pPr>
              <w:pStyle w:val="TableContents"/>
              <w:spacing w:before="0" w:after="283"/>
              <w:rPr/>
            </w:pPr>
            <w:r>
              <w:rPr/>
              <w:t> </w:t>
            </w:r>
          </w:p>
        </w:tc>
      </w:tr>
      <w:tr>
        <w:trPr/>
        <w:tc>
          <w:tcPr>
            <w:tcW w:w="6012"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27" w:type="dxa"/>
            <w:gridSpan w:val="2"/>
            <w:tcBorders/>
            <w:shd w:fill="auto" w:val="clear"/>
            <w:vAlign w:val="bottom"/>
          </w:tcPr>
          <w:p>
            <w:pPr>
              <w:pStyle w:val="TableContents"/>
              <w:spacing w:before="0" w:after="283"/>
              <w:jc w:val="center"/>
              <w:rPr>
                <w:b/>
              </w:rPr>
            </w:pPr>
            <w:r>
              <w:rPr>
                <w:b/>
              </w:rPr>
              <w:t>2007</w:t>
            </w:r>
          </w:p>
        </w:tc>
        <w:tc>
          <w:tcPr>
            <w:tcW w:w="19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530" w:type="dxa"/>
            <w:gridSpan w:val="2"/>
            <w:tcBorders/>
            <w:shd w:fill="auto" w:val="clear"/>
            <w:vAlign w:val="bottom"/>
          </w:tcPr>
          <w:p>
            <w:pPr>
              <w:pStyle w:val="TableContents"/>
              <w:spacing w:before="0" w:after="283"/>
              <w:jc w:val="center"/>
              <w:rPr>
                <w:b/>
              </w:rPr>
            </w:pPr>
            <w:r>
              <w:rPr>
                <w:b/>
              </w:rPr>
              <w:t>2006</w:t>
            </w:r>
          </w:p>
        </w:tc>
        <w:tc>
          <w:tcPr>
            <w:tcW w:w="143" w:type="dxa"/>
            <w:tcBorders/>
            <w:shd w:fill="auto" w:val="clear"/>
            <w:vAlign w:val="bottom"/>
          </w:tcPr>
          <w:p>
            <w:pPr>
              <w:pStyle w:val="TableContents"/>
              <w:spacing w:before="0" w:after="283"/>
              <w:rPr/>
            </w:pPr>
            <w:r>
              <w:rPr/>
              <w:t> </w:t>
            </w:r>
          </w:p>
        </w:tc>
      </w:tr>
      <w:tr>
        <w:trPr/>
        <w:tc>
          <w:tcPr>
            <w:tcW w:w="6012"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3813"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012" w:type="dxa"/>
            <w:tcBorders/>
            <w:shd w:fill="CCEEFF" w:val="clear"/>
            <w:vAlign w:val="bottom"/>
          </w:tcPr>
          <w:p>
            <w:pPr>
              <w:pStyle w:val="TableContents"/>
              <w:spacing w:before="0" w:after="0"/>
              <w:ind w:left="225" w:right="0" w:hanging="225"/>
              <w:rPr/>
            </w:pPr>
            <w:r>
              <w:rPr/>
              <w:t>Revenues:</w:t>
            </w:r>
          </w:p>
        </w:tc>
        <w:tc>
          <w:tcPr>
            <w:tcW w:w="38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7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r>
      <w:tr>
        <w:trPr/>
        <w:tc>
          <w:tcPr>
            <w:tcW w:w="6012" w:type="dxa"/>
            <w:tcBorders/>
            <w:shd w:fill="auto" w:val="clear"/>
            <w:vAlign w:val="bottom"/>
          </w:tcPr>
          <w:p>
            <w:pPr>
              <w:pStyle w:val="TableContents"/>
              <w:spacing w:before="0" w:after="0"/>
              <w:ind w:left="450" w:right="0" w:hanging="225"/>
              <w:rPr/>
            </w:pPr>
            <w:r>
              <w:rPr/>
              <w:t>Merchandise sales</w:t>
            </w:r>
          </w:p>
        </w:tc>
        <w:tc>
          <w:tcPr>
            <w:tcW w:w="38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jc w:val="left"/>
              <w:rPr/>
            </w:pPr>
            <w:r>
              <w:rPr/>
              <w:t>$</w:t>
            </w:r>
          </w:p>
        </w:tc>
        <w:tc>
          <w:tcPr>
            <w:tcW w:w="1269" w:type="dxa"/>
            <w:tcBorders/>
            <w:shd w:fill="auto" w:val="clear"/>
            <w:vAlign w:val="bottom"/>
          </w:tcPr>
          <w:p>
            <w:pPr>
              <w:pStyle w:val="TableContents"/>
              <w:spacing w:before="0" w:after="283"/>
              <w:jc w:val="right"/>
              <w:rPr/>
            </w:pPr>
            <w:r>
              <w:rPr/>
              <w:t>39,507</w:t>
            </w:r>
          </w:p>
        </w:tc>
        <w:tc>
          <w:tcPr>
            <w:tcW w:w="19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jc w:val="left"/>
              <w:rPr/>
            </w:pPr>
            <w:r>
              <w:rPr/>
              <w:t>$</w:t>
            </w:r>
          </w:p>
        </w:tc>
        <w:tc>
          <w:tcPr>
            <w:tcW w:w="1272" w:type="dxa"/>
            <w:tcBorders/>
            <w:shd w:fill="auto" w:val="clear"/>
            <w:vAlign w:val="bottom"/>
          </w:tcPr>
          <w:p>
            <w:pPr>
              <w:pStyle w:val="TableContents"/>
              <w:spacing w:before="0" w:after="283"/>
              <w:jc w:val="right"/>
              <w:rPr/>
            </w:pPr>
            <w:r>
              <w:rPr/>
              <w:t>39,036</w:t>
            </w:r>
          </w:p>
        </w:tc>
        <w:tc>
          <w:tcPr>
            <w:tcW w:w="143" w:type="dxa"/>
            <w:tcBorders/>
            <w:shd w:fill="auto" w:val="clear"/>
            <w:vAlign w:val="bottom"/>
          </w:tcPr>
          <w:p>
            <w:pPr>
              <w:pStyle w:val="TableContents"/>
              <w:spacing w:before="0" w:after="283"/>
              <w:rPr/>
            </w:pPr>
            <w:r>
              <w:rPr/>
              <w:t> </w:t>
            </w:r>
          </w:p>
        </w:tc>
      </w:tr>
      <w:tr>
        <w:trPr/>
        <w:tc>
          <w:tcPr>
            <w:tcW w:w="6012" w:type="dxa"/>
            <w:tcBorders/>
            <w:shd w:fill="CCEEFF" w:val="clear"/>
            <w:vAlign w:val="bottom"/>
          </w:tcPr>
          <w:p>
            <w:pPr>
              <w:pStyle w:val="TableContents"/>
              <w:spacing w:before="0" w:after="0"/>
              <w:ind w:left="450" w:right="0" w:hanging="225"/>
              <w:rPr/>
            </w:pPr>
            <w:r>
              <w:rPr/>
              <w:t>Jewelry scrapping sales</w:t>
            </w:r>
          </w:p>
        </w:tc>
        <w:tc>
          <w:tcPr>
            <w:tcW w:w="38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10,525</w:t>
            </w:r>
          </w:p>
        </w:tc>
        <w:tc>
          <w:tcPr>
            <w:tcW w:w="19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72" w:type="dxa"/>
            <w:tcBorders/>
            <w:shd w:fill="CCEEFF" w:val="clear"/>
            <w:vAlign w:val="bottom"/>
          </w:tcPr>
          <w:p>
            <w:pPr>
              <w:pStyle w:val="TableContents"/>
              <w:spacing w:before="0" w:after="283"/>
              <w:jc w:val="right"/>
              <w:rPr/>
            </w:pPr>
            <w:r>
              <w:rPr/>
              <w:t>8,569</w:t>
            </w:r>
          </w:p>
        </w:tc>
        <w:tc>
          <w:tcPr>
            <w:tcW w:w="143" w:type="dxa"/>
            <w:tcBorders/>
            <w:shd w:fill="CCEEFF" w:val="clear"/>
            <w:vAlign w:val="bottom"/>
          </w:tcPr>
          <w:p>
            <w:pPr>
              <w:pStyle w:val="TableContents"/>
              <w:spacing w:before="0" w:after="283"/>
              <w:rPr/>
            </w:pPr>
            <w:r>
              <w:rPr/>
              <w:t> </w:t>
            </w:r>
          </w:p>
        </w:tc>
      </w:tr>
      <w:tr>
        <w:trPr/>
        <w:tc>
          <w:tcPr>
            <w:tcW w:w="6012" w:type="dxa"/>
            <w:tcBorders/>
            <w:shd w:fill="auto" w:val="clear"/>
            <w:vAlign w:val="bottom"/>
          </w:tcPr>
          <w:p>
            <w:pPr>
              <w:pStyle w:val="TableContents"/>
              <w:spacing w:before="0" w:after="0"/>
              <w:ind w:left="450" w:right="0" w:hanging="225"/>
              <w:rPr/>
            </w:pPr>
            <w:r>
              <w:rPr/>
              <w:t>Pawn service charges</w:t>
            </w:r>
          </w:p>
        </w:tc>
        <w:tc>
          <w:tcPr>
            <w:tcW w:w="38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16,556</w:t>
            </w:r>
          </w:p>
        </w:tc>
        <w:tc>
          <w:tcPr>
            <w:tcW w:w="19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72" w:type="dxa"/>
            <w:tcBorders/>
            <w:shd w:fill="auto" w:val="clear"/>
            <w:vAlign w:val="bottom"/>
          </w:tcPr>
          <w:p>
            <w:pPr>
              <w:pStyle w:val="TableContents"/>
              <w:spacing w:before="0" w:after="283"/>
              <w:jc w:val="right"/>
              <w:rPr/>
            </w:pPr>
            <w:r>
              <w:rPr/>
              <w:t>15,453</w:t>
            </w:r>
          </w:p>
        </w:tc>
        <w:tc>
          <w:tcPr>
            <w:tcW w:w="143" w:type="dxa"/>
            <w:tcBorders/>
            <w:shd w:fill="auto" w:val="clear"/>
            <w:vAlign w:val="bottom"/>
          </w:tcPr>
          <w:p>
            <w:pPr>
              <w:pStyle w:val="TableContents"/>
              <w:spacing w:before="0" w:after="283"/>
              <w:rPr/>
            </w:pPr>
            <w:r>
              <w:rPr/>
              <w:t> </w:t>
            </w:r>
          </w:p>
        </w:tc>
      </w:tr>
      <w:tr>
        <w:trPr/>
        <w:tc>
          <w:tcPr>
            <w:tcW w:w="6012" w:type="dxa"/>
            <w:tcBorders/>
            <w:shd w:fill="CCEEFF" w:val="clear"/>
            <w:vAlign w:val="bottom"/>
          </w:tcPr>
          <w:p>
            <w:pPr>
              <w:pStyle w:val="TableContents"/>
              <w:spacing w:before="0" w:after="0"/>
              <w:ind w:left="450" w:right="0" w:hanging="225"/>
              <w:rPr/>
            </w:pPr>
            <w:r>
              <w:rPr/>
              <w:t>Credit service fees</w:t>
            </w:r>
          </w:p>
        </w:tc>
        <w:tc>
          <w:tcPr>
            <w:tcW w:w="38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20,041</w:t>
            </w:r>
          </w:p>
        </w:tc>
        <w:tc>
          <w:tcPr>
            <w:tcW w:w="19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72" w:type="dxa"/>
            <w:tcBorders/>
            <w:shd w:fill="CCEEFF" w:val="clear"/>
            <w:vAlign w:val="bottom"/>
          </w:tcPr>
          <w:p>
            <w:pPr>
              <w:pStyle w:val="TableContents"/>
              <w:spacing w:before="0" w:after="283"/>
              <w:jc w:val="right"/>
              <w:rPr/>
            </w:pPr>
            <w:r>
              <w:rPr/>
              <w:t>14,451</w:t>
            </w:r>
          </w:p>
        </w:tc>
        <w:tc>
          <w:tcPr>
            <w:tcW w:w="143" w:type="dxa"/>
            <w:tcBorders/>
            <w:shd w:fill="CCEEFF" w:val="clear"/>
            <w:vAlign w:val="bottom"/>
          </w:tcPr>
          <w:p>
            <w:pPr>
              <w:pStyle w:val="TableContents"/>
              <w:spacing w:before="0" w:after="283"/>
              <w:rPr/>
            </w:pPr>
            <w:r>
              <w:rPr/>
              <w:t> </w:t>
            </w:r>
          </w:p>
        </w:tc>
      </w:tr>
      <w:tr>
        <w:trPr/>
        <w:tc>
          <w:tcPr>
            <w:tcW w:w="6012" w:type="dxa"/>
            <w:tcBorders/>
            <w:shd w:fill="auto" w:val="clear"/>
            <w:vAlign w:val="bottom"/>
          </w:tcPr>
          <w:p>
            <w:pPr>
              <w:pStyle w:val="TableContents"/>
              <w:spacing w:before="0" w:after="0"/>
              <w:ind w:left="450" w:right="0" w:hanging="225"/>
              <w:rPr/>
            </w:pPr>
            <w:r>
              <w:rPr/>
              <w:t>Payday loan fees</w:t>
            </w:r>
          </w:p>
        </w:tc>
        <w:tc>
          <w:tcPr>
            <w:tcW w:w="38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2,672</w:t>
            </w:r>
          </w:p>
        </w:tc>
        <w:tc>
          <w:tcPr>
            <w:tcW w:w="19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72" w:type="dxa"/>
            <w:tcBorders/>
            <w:shd w:fill="auto" w:val="clear"/>
            <w:vAlign w:val="bottom"/>
          </w:tcPr>
          <w:p>
            <w:pPr>
              <w:pStyle w:val="TableContents"/>
              <w:spacing w:before="0" w:after="283"/>
              <w:jc w:val="right"/>
              <w:rPr/>
            </w:pPr>
            <w:r>
              <w:rPr/>
              <w:t>1,103</w:t>
            </w:r>
          </w:p>
        </w:tc>
        <w:tc>
          <w:tcPr>
            <w:tcW w:w="143" w:type="dxa"/>
            <w:tcBorders/>
            <w:shd w:fill="auto" w:val="clear"/>
            <w:vAlign w:val="bottom"/>
          </w:tcPr>
          <w:p>
            <w:pPr>
              <w:pStyle w:val="TableContents"/>
              <w:spacing w:before="0" w:after="283"/>
              <w:rPr/>
            </w:pPr>
            <w:r>
              <w:rPr/>
              <w:t> </w:t>
            </w:r>
          </w:p>
        </w:tc>
      </w:tr>
      <w:tr>
        <w:trPr/>
        <w:tc>
          <w:tcPr>
            <w:tcW w:w="6012" w:type="dxa"/>
            <w:tcBorders/>
            <w:shd w:fill="CCEEFF" w:val="clear"/>
            <w:vAlign w:val="bottom"/>
          </w:tcPr>
          <w:p>
            <w:pPr>
              <w:pStyle w:val="TableContents"/>
              <w:spacing w:before="0" w:after="0"/>
              <w:ind w:left="450" w:right="0" w:hanging="225"/>
              <w:rPr/>
            </w:pPr>
            <w:r>
              <w:rPr/>
              <w:t>Other</w:t>
            </w:r>
          </w:p>
        </w:tc>
        <w:tc>
          <w:tcPr>
            <w:tcW w:w="38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342</w:t>
            </w:r>
          </w:p>
        </w:tc>
        <w:tc>
          <w:tcPr>
            <w:tcW w:w="19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72" w:type="dxa"/>
            <w:tcBorders/>
            <w:shd w:fill="CCEEFF" w:val="clear"/>
            <w:vAlign w:val="bottom"/>
          </w:tcPr>
          <w:p>
            <w:pPr>
              <w:pStyle w:val="TableContents"/>
              <w:spacing w:before="0" w:after="283"/>
              <w:jc w:val="right"/>
              <w:rPr/>
            </w:pPr>
            <w:r>
              <w:rPr/>
              <w:t>329</w:t>
            </w:r>
          </w:p>
        </w:tc>
        <w:tc>
          <w:tcPr>
            <w:tcW w:w="143" w:type="dxa"/>
            <w:tcBorders/>
            <w:shd w:fill="CCEEFF" w:val="clear"/>
            <w:vAlign w:val="bottom"/>
          </w:tcPr>
          <w:p>
            <w:pPr>
              <w:pStyle w:val="TableContents"/>
              <w:spacing w:before="0" w:after="283"/>
              <w:rPr/>
            </w:pPr>
            <w:r>
              <w:rPr/>
              <w:t> </w:t>
            </w:r>
          </w:p>
        </w:tc>
      </w:tr>
      <w:tr>
        <w:trPr/>
        <w:tc>
          <w:tcPr>
            <w:tcW w:w="6012"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3813"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012" w:type="dxa"/>
            <w:tcBorders/>
            <w:shd w:fill="auto" w:val="clear"/>
            <w:vAlign w:val="bottom"/>
          </w:tcPr>
          <w:p>
            <w:pPr>
              <w:pStyle w:val="TableContents"/>
              <w:spacing w:before="0" w:after="0"/>
              <w:ind w:left="675" w:right="0" w:hanging="225"/>
              <w:rPr/>
            </w:pPr>
            <w:r>
              <w:rPr/>
              <w:t>Total revenues</w:t>
            </w:r>
          </w:p>
        </w:tc>
        <w:tc>
          <w:tcPr>
            <w:tcW w:w="38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89,643</w:t>
            </w:r>
          </w:p>
        </w:tc>
        <w:tc>
          <w:tcPr>
            <w:tcW w:w="19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72" w:type="dxa"/>
            <w:tcBorders/>
            <w:shd w:fill="auto" w:val="clear"/>
            <w:vAlign w:val="bottom"/>
          </w:tcPr>
          <w:p>
            <w:pPr>
              <w:pStyle w:val="TableContents"/>
              <w:spacing w:before="0" w:after="283"/>
              <w:jc w:val="right"/>
              <w:rPr/>
            </w:pPr>
            <w:r>
              <w:rPr/>
              <w:t>78,941</w:t>
            </w:r>
          </w:p>
        </w:tc>
        <w:tc>
          <w:tcPr>
            <w:tcW w:w="143" w:type="dxa"/>
            <w:tcBorders/>
            <w:shd w:fill="auto" w:val="clear"/>
            <w:vAlign w:val="bottom"/>
          </w:tcPr>
          <w:p>
            <w:pPr>
              <w:pStyle w:val="TableContents"/>
              <w:spacing w:before="0" w:after="283"/>
              <w:rPr/>
            </w:pPr>
            <w:r>
              <w:rPr/>
              <w:t> </w:t>
            </w:r>
          </w:p>
        </w:tc>
      </w:tr>
      <w:tr>
        <w:trPr/>
        <w:tc>
          <w:tcPr>
            <w:tcW w:w="6012" w:type="dxa"/>
            <w:tcBorders/>
            <w:shd w:fill="CCEEFF" w:val="clear"/>
            <w:vAlign w:val="bottom"/>
          </w:tcPr>
          <w:p>
            <w:pPr>
              <w:pStyle w:val="TableContents"/>
              <w:spacing w:before="0" w:after="0"/>
              <w:ind w:left="225" w:right="0" w:hanging="225"/>
              <w:rPr/>
            </w:pPr>
            <w:r>
              <w:rPr/>
              <w:t>Cost of goods sold:</w:t>
            </w:r>
          </w:p>
        </w:tc>
        <w:tc>
          <w:tcPr>
            <w:tcW w:w="38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7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r>
      <w:tr>
        <w:trPr/>
        <w:tc>
          <w:tcPr>
            <w:tcW w:w="6012" w:type="dxa"/>
            <w:tcBorders/>
            <w:shd w:fill="auto" w:val="clear"/>
            <w:vAlign w:val="bottom"/>
          </w:tcPr>
          <w:p>
            <w:pPr>
              <w:pStyle w:val="TableContents"/>
              <w:spacing w:before="0" w:after="0"/>
              <w:ind w:left="450" w:right="0" w:hanging="225"/>
              <w:rPr/>
            </w:pPr>
            <w:r>
              <w:rPr/>
              <w:t>Cost of merchandise sales</w:t>
            </w:r>
          </w:p>
        </w:tc>
        <w:tc>
          <w:tcPr>
            <w:tcW w:w="38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23,576</w:t>
            </w:r>
          </w:p>
        </w:tc>
        <w:tc>
          <w:tcPr>
            <w:tcW w:w="19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72" w:type="dxa"/>
            <w:tcBorders/>
            <w:shd w:fill="auto" w:val="clear"/>
            <w:vAlign w:val="bottom"/>
          </w:tcPr>
          <w:p>
            <w:pPr>
              <w:pStyle w:val="TableContents"/>
              <w:spacing w:before="0" w:after="283"/>
              <w:jc w:val="right"/>
              <w:rPr/>
            </w:pPr>
            <w:r>
              <w:rPr/>
              <w:t>22,775</w:t>
            </w:r>
          </w:p>
        </w:tc>
        <w:tc>
          <w:tcPr>
            <w:tcW w:w="143" w:type="dxa"/>
            <w:tcBorders/>
            <w:shd w:fill="auto" w:val="clear"/>
            <w:vAlign w:val="bottom"/>
          </w:tcPr>
          <w:p>
            <w:pPr>
              <w:pStyle w:val="TableContents"/>
              <w:spacing w:before="0" w:after="283"/>
              <w:rPr/>
            </w:pPr>
            <w:r>
              <w:rPr/>
              <w:t> </w:t>
            </w:r>
          </w:p>
        </w:tc>
      </w:tr>
      <w:tr>
        <w:trPr/>
        <w:tc>
          <w:tcPr>
            <w:tcW w:w="6012" w:type="dxa"/>
            <w:tcBorders/>
            <w:shd w:fill="CCEEFF" w:val="clear"/>
            <w:vAlign w:val="bottom"/>
          </w:tcPr>
          <w:p>
            <w:pPr>
              <w:pStyle w:val="TableContents"/>
              <w:spacing w:before="0" w:after="0"/>
              <w:ind w:left="450" w:right="0" w:hanging="225"/>
              <w:rPr/>
            </w:pPr>
            <w:r>
              <w:rPr/>
              <w:t>Cost of jewelry scrapping sales</w:t>
            </w:r>
          </w:p>
        </w:tc>
        <w:tc>
          <w:tcPr>
            <w:tcW w:w="38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6,798</w:t>
            </w:r>
          </w:p>
        </w:tc>
        <w:tc>
          <w:tcPr>
            <w:tcW w:w="19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72" w:type="dxa"/>
            <w:tcBorders/>
            <w:shd w:fill="CCEEFF" w:val="clear"/>
            <w:vAlign w:val="bottom"/>
          </w:tcPr>
          <w:p>
            <w:pPr>
              <w:pStyle w:val="TableContents"/>
              <w:spacing w:before="0" w:after="283"/>
              <w:jc w:val="right"/>
              <w:rPr/>
            </w:pPr>
            <w:r>
              <w:rPr/>
              <w:t>5,562</w:t>
            </w:r>
          </w:p>
        </w:tc>
        <w:tc>
          <w:tcPr>
            <w:tcW w:w="143" w:type="dxa"/>
            <w:tcBorders/>
            <w:shd w:fill="CCEEFF" w:val="clear"/>
            <w:vAlign w:val="bottom"/>
          </w:tcPr>
          <w:p>
            <w:pPr>
              <w:pStyle w:val="TableContents"/>
              <w:spacing w:before="0" w:after="283"/>
              <w:rPr/>
            </w:pPr>
            <w:r>
              <w:rPr/>
              <w:t> </w:t>
            </w:r>
          </w:p>
        </w:tc>
      </w:tr>
      <w:tr>
        <w:trPr/>
        <w:tc>
          <w:tcPr>
            <w:tcW w:w="6012"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3813"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012" w:type="dxa"/>
            <w:tcBorders/>
            <w:shd w:fill="auto" w:val="clear"/>
            <w:vAlign w:val="bottom"/>
          </w:tcPr>
          <w:p>
            <w:pPr>
              <w:pStyle w:val="TableContents"/>
              <w:spacing w:before="0" w:after="0"/>
              <w:ind w:left="675" w:right="0" w:hanging="225"/>
              <w:rPr/>
            </w:pPr>
            <w:r>
              <w:rPr/>
              <w:t>Total cost of goods sold</w:t>
            </w:r>
          </w:p>
        </w:tc>
        <w:tc>
          <w:tcPr>
            <w:tcW w:w="38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30,374</w:t>
            </w:r>
          </w:p>
        </w:tc>
        <w:tc>
          <w:tcPr>
            <w:tcW w:w="19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72" w:type="dxa"/>
            <w:tcBorders/>
            <w:shd w:fill="auto" w:val="clear"/>
            <w:vAlign w:val="bottom"/>
          </w:tcPr>
          <w:p>
            <w:pPr>
              <w:pStyle w:val="TableContents"/>
              <w:spacing w:before="0" w:after="283"/>
              <w:jc w:val="right"/>
              <w:rPr/>
            </w:pPr>
            <w:r>
              <w:rPr/>
              <w:t>28,337</w:t>
            </w:r>
          </w:p>
        </w:tc>
        <w:tc>
          <w:tcPr>
            <w:tcW w:w="143" w:type="dxa"/>
            <w:tcBorders/>
            <w:shd w:fill="auto" w:val="clear"/>
            <w:vAlign w:val="bottom"/>
          </w:tcPr>
          <w:p>
            <w:pPr>
              <w:pStyle w:val="TableContents"/>
              <w:spacing w:before="0" w:after="283"/>
              <w:rPr/>
            </w:pPr>
            <w:r>
              <w:rPr/>
              <w:t> </w:t>
            </w:r>
          </w:p>
        </w:tc>
      </w:tr>
      <w:tr>
        <w:trPr/>
        <w:tc>
          <w:tcPr>
            <w:tcW w:w="6012"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3813"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012" w:type="dxa"/>
            <w:tcBorders/>
            <w:shd w:fill="CCEEFF" w:val="clear"/>
            <w:vAlign w:val="bottom"/>
          </w:tcPr>
          <w:p>
            <w:pPr>
              <w:pStyle w:val="TableContents"/>
              <w:spacing w:before="0" w:after="0"/>
              <w:ind w:left="225" w:right="0" w:hanging="225"/>
              <w:rPr/>
            </w:pPr>
            <w:r>
              <w:rPr/>
              <w:t>Net revenues</w:t>
            </w:r>
          </w:p>
        </w:tc>
        <w:tc>
          <w:tcPr>
            <w:tcW w:w="38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59,269</w:t>
            </w:r>
          </w:p>
        </w:tc>
        <w:tc>
          <w:tcPr>
            <w:tcW w:w="19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72" w:type="dxa"/>
            <w:tcBorders/>
            <w:shd w:fill="CCEEFF" w:val="clear"/>
            <w:vAlign w:val="bottom"/>
          </w:tcPr>
          <w:p>
            <w:pPr>
              <w:pStyle w:val="TableContents"/>
              <w:spacing w:before="0" w:after="283"/>
              <w:jc w:val="right"/>
              <w:rPr/>
            </w:pPr>
            <w:r>
              <w:rPr/>
              <w:t>50,604</w:t>
            </w:r>
          </w:p>
        </w:tc>
        <w:tc>
          <w:tcPr>
            <w:tcW w:w="143" w:type="dxa"/>
            <w:tcBorders/>
            <w:shd w:fill="CCEEFF" w:val="clear"/>
            <w:vAlign w:val="bottom"/>
          </w:tcPr>
          <w:p>
            <w:pPr>
              <w:pStyle w:val="TableContents"/>
              <w:spacing w:before="0" w:after="283"/>
              <w:rPr/>
            </w:pPr>
            <w:r>
              <w:rPr/>
              <w:t> </w:t>
            </w:r>
          </w:p>
        </w:tc>
      </w:tr>
      <w:tr>
        <w:trPr/>
        <w:tc>
          <w:tcPr>
            <w:tcW w:w="6012" w:type="dxa"/>
            <w:tcBorders/>
            <w:shd w:fill="auto" w:val="clear"/>
            <w:vAlign w:val="bottom"/>
          </w:tcPr>
          <w:p>
            <w:pPr>
              <w:pStyle w:val="TableContents"/>
              <w:spacing w:before="0" w:after="0"/>
              <w:ind w:left="225" w:right="0" w:hanging="225"/>
              <w:rPr/>
            </w:pPr>
            <w:r>
              <w:rPr/>
              <w:t> </w:t>
            </w:r>
          </w:p>
        </w:tc>
        <w:tc>
          <w:tcPr>
            <w:tcW w:w="38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7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6012" w:type="dxa"/>
            <w:tcBorders/>
            <w:shd w:fill="auto" w:val="clear"/>
            <w:vAlign w:val="bottom"/>
          </w:tcPr>
          <w:p>
            <w:pPr>
              <w:pStyle w:val="TableContents"/>
              <w:spacing w:before="0" w:after="0"/>
              <w:ind w:left="225" w:right="0" w:hanging="225"/>
              <w:rPr/>
            </w:pPr>
            <w:r>
              <w:rPr/>
              <w:t>Operations expense</w:t>
            </w:r>
          </w:p>
        </w:tc>
        <w:tc>
          <w:tcPr>
            <w:tcW w:w="38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31,104</w:t>
            </w:r>
          </w:p>
        </w:tc>
        <w:tc>
          <w:tcPr>
            <w:tcW w:w="19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72" w:type="dxa"/>
            <w:tcBorders/>
            <w:shd w:fill="auto" w:val="clear"/>
            <w:vAlign w:val="bottom"/>
          </w:tcPr>
          <w:p>
            <w:pPr>
              <w:pStyle w:val="TableContents"/>
              <w:spacing w:before="0" w:after="283"/>
              <w:jc w:val="right"/>
              <w:rPr/>
            </w:pPr>
            <w:r>
              <w:rPr/>
              <w:t>28,076</w:t>
            </w:r>
          </w:p>
        </w:tc>
        <w:tc>
          <w:tcPr>
            <w:tcW w:w="143" w:type="dxa"/>
            <w:tcBorders/>
            <w:shd w:fill="auto" w:val="clear"/>
            <w:vAlign w:val="bottom"/>
          </w:tcPr>
          <w:p>
            <w:pPr>
              <w:pStyle w:val="TableContents"/>
              <w:spacing w:before="0" w:after="283"/>
              <w:rPr/>
            </w:pPr>
            <w:r>
              <w:rPr/>
              <w:t> </w:t>
            </w:r>
          </w:p>
        </w:tc>
      </w:tr>
      <w:tr>
        <w:trPr/>
        <w:tc>
          <w:tcPr>
            <w:tcW w:w="6012" w:type="dxa"/>
            <w:tcBorders/>
            <w:shd w:fill="CCEEFF" w:val="clear"/>
            <w:vAlign w:val="bottom"/>
          </w:tcPr>
          <w:p>
            <w:pPr>
              <w:pStyle w:val="TableContents"/>
              <w:spacing w:before="0" w:after="0"/>
              <w:ind w:left="225" w:right="0" w:hanging="225"/>
              <w:rPr/>
            </w:pPr>
            <w:r>
              <w:rPr/>
              <w:t>Credit service bad debt</w:t>
            </w:r>
          </w:p>
        </w:tc>
        <w:tc>
          <w:tcPr>
            <w:tcW w:w="38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2,402</w:t>
            </w:r>
          </w:p>
        </w:tc>
        <w:tc>
          <w:tcPr>
            <w:tcW w:w="19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72" w:type="dxa"/>
            <w:tcBorders/>
            <w:shd w:fill="CCEEFF" w:val="clear"/>
            <w:vAlign w:val="bottom"/>
          </w:tcPr>
          <w:p>
            <w:pPr>
              <w:pStyle w:val="TableContents"/>
              <w:spacing w:before="0" w:after="283"/>
              <w:jc w:val="right"/>
              <w:rPr/>
            </w:pPr>
            <w:r>
              <w:rPr/>
              <w:t>1,873</w:t>
            </w:r>
          </w:p>
        </w:tc>
        <w:tc>
          <w:tcPr>
            <w:tcW w:w="143" w:type="dxa"/>
            <w:tcBorders/>
            <w:shd w:fill="CCEEFF" w:val="clear"/>
            <w:vAlign w:val="bottom"/>
          </w:tcPr>
          <w:p>
            <w:pPr>
              <w:pStyle w:val="TableContents"/>
              <w:spacing w:before="0" w:after="283"/>
              <w:rPr/>
            </w:pPr>
            <w:r>
              <w:rPr/>
              <w:t> </w:t>
            </w:r>
          </w:p>
        </w:tc>
      </w:tr>
      <w:tr>
        <w:trPr/>
        <w:tc>
          <w:tcPr>
            <w:tcW w:w="6012" w:type="dxa"/>
            <w:tcBorders/>
            <w:shd w:fill="auto" w:val="clear"/>
            <w:vAlign w:val="bottom"/>
          </w:tcPr>
          <w:p>
            <w:pPr>
              <w:pStyle w:val="TableContents"/>
              <w:spacing w:before="0" w:after="0"/>
              <w:ind w:left="225" w:right="0" w:hanging="225"/>
              <w:rPr/>
            </w:pPr>
            <w:r>
              <w:rPr/>
              <w:t>Payday loan bad debt</w:t>
            </w:r>
          </w:p>
        </w:tc>
        <w:tc>
          <w:tcPr>
            <w:tcW w:w="38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514</w:t>
            </w:r>
          </w:p>
        </w:tc>
        <w:tc>
          <w:tcPr>
            <w:tcW w:w="19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72" w:type="dxa"/>
            <w:tcBorders/>
            <w:shd w:fill="auto" w:val="clear"/>
            <w:vAlign w:val="bottom"/>
          </w:tcPr>
          <w:p>
            <w:pPr>
              <w:pStyle w:val="TableContents"/>
              <w:spacing w:before="0" w:after="283"/>
              <w:jc w:val="right"/>
              <w:rPr/>
            </w:pPr>
            <w:r>
              <w:rPr/>
              <w:t>284</w:t>
            </w:r>
          </w:p>
        </w:tc>
        <w:tc>
          <w:tcPr>
            <w:tcW w:w="143" w:type="dxa"/>
            <w:tcBorders/>
            <w:shd w:fill="auto" w:val="clear"/>
            <w:vAlign w:val="bottom"/>
          </w:tcPr>
          <w:p>
            <w:pPr>
              <w:pStyle w:val="TableContents"/>
              <w:spacing w:before="0" w:after="283"/>
              <w:rPr/>
            </w:pPr>
            <w:r>
              <w:rPr/>
              <w:t> </w:t>
            </w:r>
          </w:p>
        </w:tc>
      </w:tr>
      <w:tr>
        <w:trPr/>
        <w:tc>
          <w:tcPr>
            <w:tcW w:w="6012" w:type="dxa"/>
            <w:tcBorders/>
            <w:shd w:fill="CCEEFF" w:val="clear"/>
            <w:vAlign w:val="bottom"/>
          </w:tcPr>
          <w:p>
            <w:pPr>
              <w:pStyle w:val="TableContents"/>
              <w:spacing w:before="0" w:after="0"/>
              <w:ind w:left="225" w:right="0" w:hanging="225"/>
              <w:rPr/>
            </w:pPr>
            <w:r>
              <w:rPr/>
              <w:t>Administrative expense</w:t>
            </w:r>
          </w:p>
        </w:tc>
        <w:tc>
          <w:tcPr>
            <w:tcW w:w="38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7,968</w:t>
            </w:r>
          </w:p>
        </w:tc>
        <w:tc>
          <w:tcPr>
            <w:tcW w:w="19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72" w:type="dxa"/>
            <w:tcBorders/>
            <w:shd w:fill="CCEEFF" w:val="clear"/>
            <w:vAlign w:val="bottom"/>
          </w:tcPr>
          <w:p>
            <w:pPr>
              <w:pStyle w:val="TableContents"/>
              <w:spacing w:before="0" w:after="283"/>
              <w:jc w:val="right"/>
              <w:rPr/>
            </w:pPr>
            <w:r>
              <w:rPr/>
              <w:t>6,695</w:t>
            </w:r>
          </w:p>
        </w:tc>
        <w:tc>
          <w:tcPr>
            <w:tcW w:w="143" w:type="dxa"/>
            <w:tcBorders/>
            <w:shd w:fill="CCEEFF" w:val="clear"/>
            <w:vAlign w:val="bottom"/>
          </w:tcPr>
          <w:p>
            <w:pPr>
              <w:pStyle w:val="TableContents"/>
              <w:spacing w:before="0" w:after="283"/>
              <w:rPr/>
            </w:pPr>
            <w:r>
              <w:rPr/>
              <w:t> </w:t>
            </w:r>
          </w:p>
        </w:tc>
      </w:tr>
      <w:tr>
        <w:trPr/>
        <w:tc>
          <w:tcPr>
            <w:tcW w:w="6012" w:type="dxa"/>
            <w:tcBorders/>
            <w:shd w:fill="auto" w:val="clear"/>
            <w:vAlign w:val="bottom"/>
          </w:tcPr>
          <w:p>
            <w:pPr>
              <w:pStyle w:val="TableContents"/>
              <w:spacing w:before="0" w:after="0"/>
              <w:ind w:left="225" w:right="0" w:hanging="225"/>
              <w:rPr/>
            </w:pPr>
            <w:r>
              <w:rPr/>
              <w:t>Depreciation and amortization</w:t>
            </w:r>
          </w:p>
        </w:tc>
        <w:tc>
          <w:tcPr>
            <w:tcW w:w="38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2,401</w:t>
            </w:r>
          </w:p>
        </w:tc>
        <w:tc>
          <w:tcPr>
            <w:tcW w:w="19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72" w:type="dxa"/>
            <w:tcBorders/>
            <w:shd w:fill="auto" w:val="clear"/>
            <w:vAlign w:val="bottom"/>
          </w:tcPr>
          <w:p>
            <w:pPr>
              <w:pStyle w:val="TableContents"/>
              <w:spacing w:before="0" w:after="283"/>
              <w:jc w:val="right"/>
              <w:rPr/>
            </w:pPr>
            <w:r>
              <w:rPr/>
              <w:t>2,136</w:t>
            </w:r>
          </w:p>
        </w:tc>
        <w:tc>
          <w:tcPr>
            <w:tcW w:w="143" w:type="dxa"/>
            <w:tcBorders/>
            <w:shd w:fill="auto" w:val="clear"/>
            <w:vAlign w:val="bottom"/>
          </w:tcPr>
          <w:p>
            <w:pPr>
              <w:pStyle w:val="TableContents"/>
              <w:spacing w:before="0" w:after="283"/>
              <w:rPr/>
            </w:pPr>
            <w:r>
              <w:rPr/>
              <w:t> </w:t>
            </w:r>
          </w:p>
        </w:tc>
      </w:tr>
      <w:tr>
        <w:trPr/>
        <w:tc>
          <w:tcPr>
            <w:tcW w:w="6012"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3813"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012" w:type="dxa"/>
            <w:tcBorders/>
            <w:shd w:fill="CCEEFF" w:val="clear"/>
            <w:vAlign w:val="bottom"/>
          </w:tcPr>
          <w:p>
            <w:pPr>
              <w:pStyle w:val="TableContents"/>
              <w:spacing w:before="0" w:after="0"/>
              <w:ind w:left="450" w:right="0" w:hanging="225"/>
              <w:rPr/>
            </w:pPr>
            <w:r>
              <w:rPr/>
              <w:t>Operating income</w:t>
            </w:r>
          </w:p>
        </w:tc>
        <w:tc>
          <w:tcPr>
            <w:tcW w:w="38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14,880</w:t>
            </w:r>
          </w:p>
        </w:tc>
        <w:tc>
          <w:tcPr>
            <w:tcW w:w="19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72" w:type="dxa"/>
            <w:tcBorders/>
            <w:shd w:fill="CCEEFF" w:val="clear"/>
            <w:vAlign w:val="bottom"/>
          </w:tcPr>
          <w:p>
            <w:pPr>
              <w:pStyle w:val="TableContents"/>
              <w:spacing w:before="0" w:after="283"/>
              <w:jc w:val="right"/>
              <w:rPr/>
            </w:pPr>
            <w:r>
              <w:rPr/>
              <w:t>11,540</w:t>
            </w:r>
          </w:p>
        </w:tc>
        <w:tc>
          <w:tcPr>
            <w:tcW w:w="143" w:type="dxa"/>
            <w:tcBorders/>
            <w:shd w:fill="CCEEFF" w:val="clear"/>
            <w:vAlign w:val="bottom"/>
          </w:tcPr>
          <w:p>
            <w:pPr>
              <w:pStyle w:val="TableContents"/>
              <w:spacing w:before="0" w:after="283"/>
              <w:rPr/>
            </w:pPr>
            <w:r>
              <w:rPr/>
              <w:t> </w:t>
            </w:r>
          </w:p>
        </w:tc>
      </w:tr>
      <w:tr>
        <w:trPr/>
        <w:tc>
          <w:tcPr>
            <w:tcW w:w="6012" w:type="dxa"/>
            <w:tcBorders/>
            <w:shd w:fill="auto" w:val="clear"/>
            <w:vAlign w:val="bottom"/>
          </w:tcPr>
          <w:p>
            <w:pPr>
              <w:pStyle w:val="TableContents"/>
              <w:spacing w:before="0" w:after="0"/>
              <w:ind w:left="225" w:right="0" w:hanging="225"/>
              <w:rPr/>
            </w:pPr>
            <w:r>
              <w:rPr/>
              <w:t>Interest income</w:t>
            </w:r>
          </w:p>
        </w:tc>
        <w:tc>
          <w:tcPr>
            <w:tcW w:w="38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jc w:val="left"/>
              <w:rPr/>
            </w:pPr>
            <w:r>
              <w:rPr/>
              <w:t> </w:t>
            </w:r>
          </w:p>
        </w:tc>
        <w:tc>
          <w:tcPr>
            <w:tcW w:w="1269" w:type="dxa"/>
            <w:tcBorders/>
            <w:shd w:fill="auto" w:val="clear"/>
            <w:vAlign w:val="bottom"/>
          </w:tcPr>
          <w:p>
            <w:pPr>
              <w:pStyle w:val="TableContents"/>
              <w:spacing w:before="0" w:after="283"/>
              <w:jc w:val="right"/>
              <w:rPr/>
            </w:pPr>
            <w:r>
              <w:rPr/>
              <w:t>(567</w:t>
            </w:r>
          </w:p>
        </w:tc>
        <w:tc>
          <w:tcPr>
            <w:tcW w:w="196" w:type="dxa"/>
            <w:tcBorders/>
            <w:shd w:fill="auto" w:val="clear"/>
            <w:vAlign w:val="bottom"/>
          </w:tcPr>
          <w:p>
            <w:pPr>
              <w:pStyle w:val="TableContents"/>
              <w:spacing w:before="0" w:after="283"/>
              <w:rPr/>
            </w:pPr>
            <w:r>
              <w:rPr/>
              <w:t>)</w:t>
            </w:r>
          </w:p>
        </w:tc>
        <w:tc>
          <w:tcPr>
            <w:tcW w:w="41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jc w:val="left"/>
              <w:rPr/>
            </w:pPr>
            <w:r>
              <w:rPr/>
              <w:t> </w:t>
            </w:r>
          </w:p>
        </w:tc>
        <w:tc>
          <w:tcPr>
            <w:tcW w:w="1272" w:type="dxa"/>
            <w:tcBorders/>
            <w:shd w:fill="auto" w:val="clear"/>
            <w:vAlign w:val="bottom"/>
          </w:tcPr>
          <w:p>
            <w:pPr>
              <w:pStyle w:val="TableContents"/>
              <w:spacing w:before="0" w:after="283"/>
              <w:jc w:val="right"/>
              <w:rPr/>
            </w:pPr>
            <w:r>
              <w:rPr/>
              <w:t>(90</w:t>
            </w:r>
          </w:p>
        </w:tc>
        <w:tc>
          <w:tcPr>
            <w:tcW w:w="143" w:type="dxa"/>
            <w:tcBorders/>
            <w:shd w:fill="auto" w:val="clear"/>
            <w:vAlign w:val="bottom"/>
          </w:tcPr>
          <w:p>
            <w:pPr>
              <w:pStyle w:val="TableContents"/>
              <w:spacing w:before="0" w:after="283"/>
              <w:rPr/>
            </w:pPr>
            <w:r>
              <w:rPr/>
              <w:t>)</w:t>
            </w:r>
          </w:p>
        </w:tc>
      </w:tr>
      <w:tr>
        <w:trPr/>
        <w:tc>
          <w:tcPr>
            <w:tcW w:w="6012" w:type="dxa"/>
            <w:tcBorders/>
            <w:shd w:fill="CCEEFF" w:val="clear"/>
            <w:vAlign w:val="bottom"/>
          </w:tcPr>
          <w:p>
            <w:pPr>
              <w:pStyle w:val="TableContents"/>
              <w:spacing w:before="0" w:after="0"/>
              <w:ind w:left="225" w:right="0" w:hanging="225"/>
              <w:rPr/>
            </w:pPr>
            <w:r>
              <w:rPr/>
              <w:t>Interest expense</w:t>
            </w:r>
          </w:p>
        </w:tc>
        <w:tc>
          <w:tcPr>
            <w:tcW w:w="38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83</w:t>
            </w:r>
          </w:p>
        </w:tc>
        <w:tc>
          <w:tcPr>
            <w:tcW w:w="19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72" w:type="dxa"/>
            <w:tcBorders/>
            <w:shd w:fill="CCEEFF" w:val="clear"/>
            <w:vAlign w:val="bottom"/>
          </w:tcPr>
          <w:p>
            <w:pPr>
              <w:pStyle w:val="TableContents"/>
              <w:spacing w:before="0" w:after="283"/>
              <w:jc w:val="right"/>
              <w:rPr/>
            </w:pPr>
            <w:r>
              <w:rPr/>
              <w:t>131</w:t>
            </w:r>
          </w:p>
        </w:tc>
        <w:tc>
          <w:tcPr>
            <w:tcW w:w="143" w:type="dxa"/>
            <w:tcBorders/>
            <w:shd w:fill="CCEEFF" w:val="clear"/>
            <w:vAlign w:val="bottom"/>
          </w:tcPr>
          <w:p>
            <w:pPr>
              <w:pStyle w:val="TableContents"/>
              <w:spacing w:before="0" w:after="283"/>
              <w:rPr/>
            </w:pPr>
            <w:r>
              <w:rPr/>
              <w:t> </w:t>
            </w:r>
          </w:p>
        </w:tc>
      </w:tr>
      <w:tr>
        <w:trPr/>
        <w:tc>
          <w:tcPr>
            <w:tcW w:w="6012" w:type="dxa"/>
            <w:tcBorders/>
            <w:shd w:fill="auto" w:val="clear"/>
            <w:vAlign w:val="bottom"/>
          </w:tcPr>
          <w:p>
            <w:pPr>
              <w:pStyle w:val="TableContents"/>
              <w:spacing w:before="0" w:after="0"/>
              <w:ind w:left="225" w:right="0" w:hanging="225"/>
              <w:rPr/>
            </w:pPr>
            <w:r>
              <w:rPr/>
              <w:t>Equity in net income of unconsolidated affiliate</w:t>
            </w:r>
          </w:p>
        </w:tc>
        <w:tc>
          <w:tcPr>
            <w:tcW w:w="38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(820)</w:t>
            </w:r>
          </w:p>
        </w:tc>
        <w:tc>
          <w:tcPr>
            <w:tcW w:w="19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jc w:val="left"/>
              <w:rPr/>
            </w:pPr>
            <w:r>
              <w:rPr/>
              <w:t> </w:t>
            </w:r>
          </w:p>
        </w:tc>
        <w:tc>
          <w:tcPr>
            <w:tcW w:w="1272" w:type="dxa"/>
            <w:tcBorders/>
            <w:shd w:fill="auto" w:val="clear"/>
            <w:vAlign w:val="bottom"/>
          </w:tcPr>
          <w:p>
            <w:pPr>
              <w:pStyle w:val="TableContents"/>
              <w:spacing w:before="0" w:after="283"/>
              <w:jc w:val="right"/>
              <w:rPr/>
            </w:pPr>
            <w:r>
              <w:rPr/>
              <w:t>(673</w:t>
            </w:r>
          </w:p>
        </w:tc>
        <w:tc>
          <w:tcPr>
            <w:tcW w:w="143" w:type="dxa"/>
            <w:tcBorders/>
            <w:shd w:fill="auto" w:val="clear"/>
            <w:vAlign w:val="bottom"/>
          </w:tcPr>
          <w:p>
            <w:pPr>
              <w:pStyle w:val="TableContents"/>
              <w:spacing w:before="0" w:after="283"/>
              <w:rPr/>
            </w:pPr>
            <w:r>
              <w:rPr/>
              <w:t>)</w:t>
            </w:r>
          </w:p>
        </w:tc>
      </w:tr>
      <w:tr>
        <w:trPr/>
        <w:tc>
          <w:tcPr>
            <w:tcW w:w="6012" w:type="dxa"/>
            <w:tcBorders/>
            <w:shd w:fill="CCEEFF" w:val="clear"/>
            <w:vAlign w:val="bottom"/>
          </w:tcPr>
          <w:p>
            <w:pPr>
              <w:pStyle w:val="TableContents"/>
              <w:spacing w:before="0" w:after="0"/>
              <w:ind w:left="225" w:right="0" w:hanging="225"/>
              <w:rPr/>
            </w:pPr>
            <w:r>
              <w:rPr/>
              <w:t>(Gain) loss on sale/disposal of assets</w:t>
            </w:r>
          </w:p>
        </w:tc>
        <w:tc>
          <w:tcPr>
            <w:tcW w:w="38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w:t>
            </w:r>
          </w:p>
        </w:tc>
        <w:tc>
          <w:tcPr>
            <w:tcW w:w="19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72" w:type="dxa"/>
            <w:tcBorders/>
            <w:shd w:fill="CCEEFF" w:val="clear"/>
            <w:vAlign w:val="bottom"/>
          </w:tcPr>
          <w:p>
            <w:pPr>
              <w:pStyle w:val="TableContents"/>
              <w:spacing w:before="0" w:after="283"/>
              <w:jc w:val="right"/>
              <w:rPr/>
            </w:pPr>
            <w:r>
              <w:rPr/>
              <w:t>23</w:t>
            </w:r>
          </w:p>
        </w:tc>
        <w:tc>
          <w:tcPr>
            <w:tcW w:w="143" w:type="dxa"/>
            <w:tcBorders/>
            <w:shd w:fill="CCEEFF" w:val="clear"/>
            <w:vAlign w:val="bottom"/>
          </w:tcPr>
          <w:p>
            <w:pPr>
              <w:pStyle w:val="TableContents"/>
              <w:spacing w:before="0" w:after="283"/>
              <w:rPr/>
            </w:pPr>
            <w:r>
              <w:rPr/>
              <w:t> </w:t>
            </w:r>
          </w:p>
        </w:tc>
      </w:tr>
      <w:tr>
        <w:trPr/>
        <w:tc>
          <w:tcPr>
            <w:tcW w:w="6012"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3813"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012" w:type="dxa"/>
            <w:tcBorders/>
            <w:shd w:fill="auto" w:val="clear"/>
            <w:vAlign w:val="bottom"/>
          </w:tcPr>
          <w:p>
            <w:pPr>
              <w:pStyle w:val="TableContents"/>
              <w:spacing w:before="0" w:after="0"/>
              <w:ind w:left="225" w:right="0" w:hanging="225"/>
              <w:rPr/>
            </w:pPr>
            <w:r>
              <w:rPr/>
              <w:t>Income before income taxes</w:t>
            </w:r>
          </w:p>
        </w:tc>
        <w:tc>
          <w:tcPr>
            <w:tcW w:w="38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16,184</w:t>
            </w:r>
          </w:p>
        </w:tc>
        <w:tc>
          <w:tcPr>
            <w:tcW w:w="19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72" w:type="dxa"/>
            <w:tcBorders/>
            <w:shd w:fill="auto" w:val="clear"/>
            <w:vAlign w:val="bottom"/>
          </w:tcPr>
          <w:p>
            <w:pPr>
              <w:pStyle w:val="TableContents"/>
              <w:spacing w:before="0" w:after="283"/>
              <w:jc w:val="right"/>
              <w:rPr/>
            </w:pPr>
            <w:r>
              <w:rPr/>
              <w:t>12,149</w:t>
            </w:r>
          </w:p>
        </w:tc>
        <w:tc>
          <w:tcPr>
            <w:tcW w:w="143" w:type="dxa"/>
            <w:tcBorders/>
            <w:shd w:fill="auto" w:val="clear"/>
            <w:vAlign w:val="bottom"/>
          </w:tcPr>
          <w:p>
            <w:pPr>
              <w:pStyle w:val="TableContents"/>
              <w:spacing w:before="0" w:after="283"/>
              <w:rPr/>
            </w:pPr>
            <w:r>
              <w:rPr/>
              <w:t> </w:t>
            </w:r>
          </w:p>
        </w:tc>
      </w:tr>
      <w:tr>
        <w:trPr/>
        <w:tc>
          <w:tcPr>
            <w:tcW w:w="6012" w:type="dxa"/>
            <w:tcBorders/>
            <w:shd w:fill="CCEEFF" w:val="clear"/>
            <w:vAlign w:val="bottom"/>
          </w:tcPr>
          <w:p>
            <w:pPr>
              <w:pStyle w:val="TableContents"/>
              <w:spacing w:before="0" w:after="0"/>
              <w:ind w:left="225" w:right="0" w:hanging="225"/>
              <w:rPr/>
            </w:pPr>
            <w:r>
              <w:rPr/>
              <w:t>Income tax expense</w:t>
            </w:r>
          </w:p>
        </w:tc>
        <w:tc>
          <w:tcPr>
            <w:tcW w:w="38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5,988</w:t>
            </w:r>
          </w:p>
        </w:tc>
        <w:tc>
          <w:tcPr>
            <w:tcW w:w="19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1272" w:type="dxa"/>
            <w:tcBorders/>
            <w:shd w:fill="CCEEFF" w:val="clear"/>
            <w:vAlign w:val="bottom"/>
          </w:tcPr>
          <w:p>
            <w:pPr>
              <w:pStyle w:val="TableContents"/>
              <w:spacing w:before="0" w:after="283"/>
              <w:jc w:val="right"/>
              <w:rPr/>
            </w:pPr>
            <w:r>
              <w:rPr/>
              <w:t>4,422</w:t>
            </w:r>
          </w:p>
        </w:tc>
        <w:tc>
          <w:tcPr>
            <w:tcW w:w="143" w:type="dxa"/>
            <w:tcBorders/>
            <w:shd w:fill="CCEEFF" w:val="clear"/>
            <w:vAlign w:val="bottom"/>
          </w:tcPr>
          <w:p>
            <w:pPr>
              <w:pStyle w:val="TableContents"/>
              <w:spacing w:before="0" w:after="283"/>
              <w:rPr/>
            </w:pPr>
            <w:r>
              <w:rPr/>
              <w:t> </w:t>
            </w:r>
          </w:p>
        </w:tc>
      </w:tr>
      <w:tr>
        <w:trPr/>
        <w:tc>
          <w:tcPr>
            <w:tcW w:w="6012"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3813"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012" w:type="dxa"/>
            <w:tcBorders/>
            <w:shd w:fill="auto" w:val="clear"/>
            <w:vAlign w:val="bottom"/>
          </w:tcPr>
          <w:p>
            <w:pPr>
              <w:pStyle w:val="TableContents"/>
              <w:spacing w:before="0" w:after="0"/>
              <w:ind w:left="225" w:right="0" w:hanging="225"/>
              <w:rPr/>
            </w:pPr>
            <w:r>
              <w:rPr/>
              <w:t>Net income</w:t>
            </w:r>
          </w:p>
        </w:tc>
        <w:tc>
          <w:tcPr>
            <w:tcW w:w="38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jc w:val="left"/>
              <w:rPr/>
            </w:pPr>
            <w:r>
              <w:rPr/>
              <w:t>$</w:t>
            </w:r>
          </w:p>
        </w:tc>
        <w:tc>
          <w:tcPr>
            <w:tcW w:w="1269" w:type="dxa"/>
            <w:tcBorders/>
            <w:shd w:fill="auto" w:val="clear"/>
            <w:vAlign w:val="bottom"/>
          </w:tcPr>
          <w:p>
            <w:pPr>
              <w:pStyle w:val="TableContents"/>
              <w:spacing w:before="0" w:after="283"/>
              <w:jc w:val="right"/>
              <w:rPr/>
            </w:pPr>
            <w:r>
              <w:rPr/>
              <w:t>10,196</w:t>
            </w:r>
          </w:p>
        </w:tc>
        <w:tc>
          <w:tcPr>
            <w:tcW w:w="19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jc w:val="left"/>
              <w:rPr/>
            </w:pPr>
            <w:r>
              <w:rPr/>
              <w:t>$</w:t>
            </w:r>
          </w:p>
        </w:tc>
        <w:tc>
          <w:tcPr>
            <w:tcW w:w="1272" w:type="dxa"/>
            <w:tcBorders/>
            <w:shd w:fill="auto" w:val="clear"/>
            <w:vAlign w:val="bottom"/>
          </w:tcPr>
          <w:p>
            <w:pPr>
              <w:pStyle w:val="TableContents"/>
              <w:spacing w:before="0" w:after="283"/>
              <w:jc w:val="right"/>
              <w:rPr/>
            </w:pPr>
            <w:r>
              <w:rPr/>
              <w:t>7,727</w:t>
            </w:r>
          </w:p>
        </w:tc>
        <w:tc>
          <w:tcPr>
            <w:tcW w:w="143" w:type="dxa"/>
            <w:tcBorders/>
            <w:shd w:fill="auto" w:val="clear"/>
            <w:vAlign w:val="bottom"/>
          </w:tcPr>
          <w:p>
            <w:pPr>
              <w:pStyle w:val="TableContents"/>
              <w:spacing w:before="0" w:after="283"/>
              <w:rPr/>
            </w:pPr>
            <w:r>
              <w:rPr/>
              <w:t> </w:t>
            </w:r>
          </w:p>
        </w:tc>
      </w:tr>
      <w:tr>
        <w:trPr/>
        <w:tc>
          <w:tcPr>
            <w:tcW w:w="6012"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3813"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6012" w:type="dxa"/>
            <w:tcBorders/>
            <w:shd w:fill="CCEEFF" w:val="clear"/>
            <w:vAlign w:val="bottom"/>
          </w:tcPr>
          <w:p>
            <w:pPr>
              <w:pStyle w:val="TableContents"/>
              <w:spacing w:before="0" w:after="0"/>
              <w:ind w:left="225" w:right="0" w:hanging="225"/>
              <w:rPr/>
            </w:pPr>
            <w:r>
              <w:rPr/>
              <w:t>Net income per share, diluted</w:t>
            </w:r>
          </w:p>
        </w:tc>
        <w:tc>
          <w:tcPr>
            <w:tcW w:w="38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jc w:val="left"/>
              <w:rPr/>
            </w:pPr>
            <w:r>
              <w:rPr/>
              <w:t>$</w:t>
            </w:r>
          </w:p>
        </w:tc>
        <w:tc>
          <w:tcPr>
            <w:tcW w:w="1269" w:type="dxa"/>
            <w:tcBorders/>
            <w:shd w:fill="CCEEFF" w:val="clear"/>
            <w:vAlign w:val="bottom"/>
          </w:tcPr>
          <w:p>
            <w:pPr>
              <w:pStyle w:val="TableContents"/>
              <w:spacing w:before="0" w:after="283"/>
              <w:jc w:val="right"/>
              <w:rPr/>
            </w:pPr>
            <w:r>
              <w:rPr/>
              <w:t>0.23</w:t>
            </w:r>
          </w:p>
        </w:tc>
        <w:tc>
          <w:tcPr>
            <w:tcW w:w="19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jc w:val="left"/>
              <w:rPr/>
            </w:pPr>
            <w:r>
              <w:rPr/>
              <w:t>$</w:t>
            </w:r>
          </w:p>
        </w:tc>
        <w:tc>
          <w:tcPr>
            <w:tcW w:w="1272" w:type="dxa"/>
            <w:tcBorders/>
            <w:shd w:fill="CCEEFF" w:val="clear"/>
            <w:vAlign w:val="bottom"/>
          </w:tcPr>
          <w:p>
            <w:pPr>
              <w:pStyle w:val="TableContents"/>
              <w:spacing w:before="0" w:after="283"/>
              <w:jc w:val="right"/>
              <w:rPr/>
            </w:pPr>
            <w:r>
              <w:rPr/>
              <w:t>0.19</w:t>
            </w:r>
          </w:p>
        </w:tc>
        <w:tc>
          <w:tcPr>
            <w:tcW w:w="143" w:type="dxa"/>
            <w:tcBorders/>
            <w:shd w:fill="CCEEFF" w:val="clear"/>
            <w:vAlign w:val="bottom"/>
          </w:tcPr>
          <w:p>
            <w:pPr>
              <w:pStyle w:val="TableContents"/>
              <w:spacing w:before="0" w:after="283"/>
              <w:rPr/>
            </w:pPr>
            <w:r>
              <w:rPr/>
              <w:t> </w:t>
            </w:r>
          </w:p>
        </w:tc>
      </w:tr>
      <w:tr>
        <w:trPr/>
        <w:tc>
          <w:tcPr>
            <w:tcW w:w="6012"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3813"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6012" w:type="dxa"/>
            <w:tcBorders/>
            <w:shd w:fill="auto" w:val="clear"/>
            <w:vAlign w:val="bottom"/>
          </w:tcPr>
          <w:p>
            <w:pPr>
              <w:pStyle w:val="TableContents"/>
              <w:spacing w:before="0" w:after="0"/>
              <w:ind w:left="225" w:right="0" w:hanging="225"/>
              <w:rPr/>
            </w:pPr>
            <w:r>
              <w:rPr/>
              <w:t>Weighted average shares, diluted</w:t>
            </w:r>
          </w:p>
        </w:tc>
        <w:tc>
          <w:tcPr>
            <w:tcW w:w="38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43,445</w:t>
            </w:r>
          </w:p>
        </w:tc>
        <w:tc>
          <w:tcPr>
            <w:tcW w:w="19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72" w:type="dxa"/>
            <w:tcBorders/>
            <w:shd w:fill="auto" w:val="clear"/>
            <w:vAlign w:val="bottom"/>
          </w:tcPr>
          <w:p>
            <w:pPr>
              <w:pStyle w:val="TableContents"/>
              <w:spacing w:before="0" w:after="283"/>
              <w:jc w:val="right"/>
              <w:rPr/>
            </w:pPr>
            <w:r>
              <w:rPr/>
              <w:t>41,514</w:t>
            </w:r>
          </w:p>
        </w:tc>
        <w:tc>
          <w:tcPr>
            <w:tcW w:w="143" w:type="dxa"/>
            <w:tcBorders/>
            <w:shd w:fill="auto" w:val="clear"/>
            <w:vAlign w:val="bottom"/>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 CORP, Inc.</w:t>
        <w:br/>
        <w:t>Highlights of Consolidated Statements of Operations (Unaudited)</w:t>
      </w:r>
      <w:r>
        <w:rPr>
          <w:rFonts w:ascii="Times New Roman;Times;serif" w:hAnsi="Times New Roman;Times;serif"/>
          <w:sz w:val="17"/>
        </w:rPr>
        <w:br/>
      </w:r>
      <w:r>
        <w:rPr>
          <w:rFonts w:ascii="Times New Roman;Times;serif" w:hAnsi="Times New Roman;Times;serif"/>
          <w:i/>
          <w:sz w:val="17"/>
        </w:rPr>
        <w:t>(in thousands, except per share data)</w:t>
      </w:r>
      <w:r>
        <w:rPr>
          <w:rFonts w:ascii="Times New Roman;Times;serif" w:hAnsi="Times New Roman;Times;serif"/>
          <w:sz w:val="17"/>
        </w:rPr>
        <w:t xml:space="preserve"> </w:t>
      </w:r>
    </w:p>
    <w:p>
      <w:pPr>
        <w:pStyle w:val="TextBody"/>
        <w:spacing w:before="12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6250"/>
        <w:gridCol w:w="396"/>
        <w:gridCol w:w="217"/>
        <w:gridCol w:w="1196"/>
        <w:gridCol w:w="170"/>
        <w:gridCol w:w="417"/>
        <w:gridCol w:w="217"/>
        <w:gridCol w:w="1198"/>
        <w:gridCol w:w="144"/>
      </w:tblGrid>
      <w:tr>
        <w:trPr/>
        <w:tc>
          <w:tcPr>
            <w:tcW w:w="6250"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250"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41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Six Months Ended March 31,</w:t>
            </w:r>
          </w:p>
        </w:tc>
        <w:tc>
          <w:tcPr>
            <w:tcW w:w="144" w:type="dxa"/>
            <w:tcBorders/>
            <w:shd w:fill="auto" w:val="clear"/>
            <w:vAlign w:val="bottom"/>
          </w:tcPr>
          <w:p>
            <w:pPr>
              <w:pStyle w:val="TableContents"/>
              <w:spacing w:before="0" w:after="283"/>
              <w:rPr/>
            </w:pPr>
            <w:r>
              <w:rPr/>
              <w:t> </w:t>
            </w:r>
          </w:p>
        </w:tc>
      </w:tr>
      <w:tr>
        <w:trPr/>
        <w:tc>
          <w:tcPr>
            <w:tcW w:w="6250"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413" w:type="dxa"/>
            <w:gridSpan w:val="2"/>
            <w:tcBorders/>
            <w:shd w:fill="auto" w:val="clear"/>
            <w:vAlign w:val="bottom"/>
          </w:tcPr>
          <w:p>
            <w:pPr>
              <w:pStyle w:val="TableContents"/>
              <w:spacing w:before="0" w:after="283"/>
              <w:jc w:val="center"/>
              <w:rPr>
                <w:b/>
              </w:rPr>
            </w:pPr>
            <w:r>
              <w:rPr>
                <w:b/>
              </w:rPr>
              <w:t>2007</w:t>
            </w:r>
          </w:p>
        </w:tc>
        <w:tc>
          <w:tcPr>
            <w:tcW w:w="17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415" w:type="dxa"/>
            <w:gridSpan w:val="2"/>
            <w:tcBorders/>
            <w:shd w:fill="auto" w:val="clear"/>
            <w:vAlign w:val="bottom"/>
          </w:tcPr>
          <w:p>
            <w:pPr>
              <w:pStyle w:val="TableContents"/>
              <w:spacing w:before="0" w:after="283"/>
              <w:jc w:val="center"/>
              <w:rPr>
                <w:b/>
              </w:rPr>
            </w:pPr>
            <w:r>
              <w:rPr>
                <w:b/>
              </w:rPr>
              <w:t>2006</w:t>
            </w:r>
          </w:p>
        </w:tc>
        <w:tc>
          <w:tcPr>
            <w:tcW w:w="144" w:type="dxa"/>
            <w:tcBorders/>
            <w:shd w:fill="auto" w:val="clear"/>
            <w:vAlign w:val="bottom"/>
          </w:tcPr>
          <w:p>
            <w:pPr>
              <w:pStyle w:val="TableContents"/>
              <w:spacing w:before="0" w:after="283"/>
              <w:rPr/>
            </w:pPr>
            <w:r>
              <w:rPr/>
              <w:t> </w:t>
            </w:r>
          </w:p>
        </w:tc>
      </w:tr>
      <w:tr>
        <w:trPr/>
        <w:tc>
          <w:tcPr>
            <w:tcW w:w="6250"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3559"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250" w:type="dxa"/>
            <w:tcBorders/>
            <w:shd w:fill="CCEEFF" w:val="clear"/>
            <w:vAlign w:val="bottom"/>
          </w:tcPr>
          <w:p>
            <w:pPr>
              <w:pStyle w:val="TableContents"/>
              <w:spacing w:before="0" w:after="0"/>
              <w:ind w:left="225" w:right="0" w:hanging="225"/>
              <w:rPr/>
            </w:pPr>
            <w:r>
              <w:rPr/>
              <w:t>Revenues:</w:t>
            </w:r>
          </w:p>
        </w:tc>
        <w:tc>
          <w:tcPr>
            <w:tcW w:w="39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6250" w:type="dxa"/>
            <w:tcBorders/>
            <w:shd w:fill="auto" w:val="clear"/>
            <w:vAlign w:val="bottom"/>
          </w:tcPr>
          <w:p>
            <w:pPr>
              <w:pStyle w:val="TableContents"/>
              <w:spacing w:before="0" w:after="0"/>
              <w:ind w:left="450" w:right="0" w:hanging="225"/>
              <w:rPr/>
            </w:pPr>
            <w:r>
              <w:rPr/>
              <w:t>Merchandise sales</w:t>
            </w:r>
          </w:p>
        </w:tc>
        <w:tc>
          <w:tcPr>
            <w:tcW w:w="39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1196" w:type="dxa"/>
            <w:tcBorders/>
            <w:shd w:fill="auto" w:val="clear"/>
            <w:vAlign w:val="bottom"/>
          </w:tcPr>
          <w:p>
            <w:pPr>
              <w:pStyle w:val="TableContents"/>
              <w:spacing w:before="0" w:after="283"/>
              <w:jc w:val="right"/>
              <w:rPr/>
            </w:pPr>
            <w:r>
              <w:rPr/>
              <w:t>77,386</w:t>
            </w:r>
          </w:p>
        </w:tc>
        <w:tc>
          <w:tcPr>
            <w:tcW w:w="17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1198" w:type="dxa"/>
            <w:tcBorders/>
            <w:shd w:fill="auto" w:val="clear"/>
            <w:vAlign w:val="bottom"/>
          </w:tcPr>
          <w:p>
            <w:pPr>
              <w:pStyle w:val="TableContents"/>
              <w:spacing w:before="0" w:after="283"/>
              <w:jc w:val="right"/>
              <w:rPr/>
            </w:pPr>
            <w:r>
              <w:rPr/>
              <w:t>74,692</w:t>
            </w:r>
          </w:p>
        </w:tc>
        <w:tc>
          <w:tcPr>
            <w:tcW w:w="144" w:type="dxa"/>
            <w:tcBorders/>
            <w:shd w:fill="auto" w:val="clear"/>
            <w:vAlign w:val="bottom"/>
          </w:tcPr>
          <w:p>
            <w:pPr>
              <w:pStyle w:val="TableContents"/>
              <w:spacing w:before="0" w:after="283"/>
              <w:rPr/>
            </w:pPr>
            <w:r>
              <w:rPr/>
              <w:t> </w:t>
            </w:r>
          </w:p>
        </w:tc>
      </w:tr>
      <w:tr>
        <w:trPr/>
        <w:tc>
          <w:tcPr>
            <w:tcW w:w="6250" w:type="dxa"/>
            <w:tcBorders/>
            <w:shd w:fill="CCEEFF" w:val="clear"/>
            <w:vAlign w:val="bottom"/>
          </w:tcPr>
          <w:p>
            <w:pPr>
              <w:pStyle w:val="TableContents"/>
              <w:spacing w:before="0" w:after="0"/>
              <w:ind w:left="450" w:right="0" w:hanging="225"/>
              <w:rPr/>
            </w:pPr>
            <w:r>
              <w:rPr/>
              <w:t>Jewelry scrapping sales</w:t>
            </w:r>
          </w:p>
        </w:tc>
        <w:tc>
          <w:tcPr>
            <w:tcW w:w="39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21,626</w:t>
            </w:r>
          </w:p>
        </w:tc>
        <w:tc>
          <w:tcPr>
            <w:tcW w:w="17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15,266</w:t>
            </w:r>
          </w:p>
        </w:tc>
        <w:tc>
          <w:tcPr>
            <w:tcW w:w="144" w:type="dxa"/>
            <w:tcBorders/>
            <w:shd w:fill="CCEEFF" w:val="clear"/>
            <w:vAlign w:val="bottom"/>
          </w:tcPr>
          <w:p>
            <w:pPr>
              <w:pStyle w:val="TableContents"/>
              <w:spacing w:before="0" w:after="283"/>
              <w:rPr/>
            </w:pPr>
            <w:r>
              <w:rPr/>
              <w:t> </w:t>
            </w:r>
          </w:p>
        </w:tc>
      </w:tr>
      <w:tr>
        <w:trPr/>
        <w:tc>
          <w:tcPr>
            <w:tcW w:w="6250" w:type="dxa"/>
            <w:tcBorders/>
            <w:shd w:fill="auto" w:val="clear"/>
            <w:vAlign w:val="bottom"/>
          </w:tcPr>
          <w:p>
            <w:pPr>
              <w:pStyle w:val="TableContents"/>
              <w:spacing w:before="0" w:after="0"/>
              <w:ind w:left="450" w:right="0" w:hanging="225"/>
              <w:rPr/>
            </w:pPr>
            <w:r>
              <w:rPr/>
              <w:t>Pawn service charges</w:t>
            </w:r>
          </w:p>
        </w:tc>
        <w:tc>
          <w:tcPr>
            <w:tcW w:w="39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34,518</w:t>
            </w:r>
          </w:p>
        </w:tc>
        <w:tc>
          <w:tcPr>
            <w:tcW w:w="17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31,967</w:t>
            </w:r>
          </w:p>
        </w:tc>
        <w:tc>
          <w:tcPr>
            <w:tcW w:w="144" w:type="dxa"/>
            <w:tcBorders/>
            <w:shd w:fill="auto" w:val="clear"/>
            <w:vAlign w:val="bottom"/>
          </w:tcPr>
          <w:p>
            <w:pPr>
              <w:pStyle w:val="TableContents"/>
              <w:spacing w:before="0" w:after="283"/>
              <w:rPr/>
            </w:pPr>
            <w:r>
              <w:rPr/>
              <w:t> </w:t>
            </w:r>
          </w:p>
        </w:tc>
      </w:tr>
      <w:tr>
        <w:trPr/>
        <w:tc>
          <w:tcPr>
            <w:tcW w:w="6250" w:type="dxa"/>
            <w:tcBorders/>
            <w:shd w:fill="CCEEFF" w:val="clear"/>
            <w:vAlign w:val="bottom"/>
          </w:tcPr>
          <w:p>
            <w:pPr>
              <w:pStyle w:val="TableContents"/>
              <w:spacing w:before="0" w:after="0"/>
              <w:ind w:left="450" w:right="0" w:hanging="225"/>
              <w:rPr/>
            </w:pPr>
            <w:r>
              <w:rPr/>
              <w:t>Credit service fees</w:t>
            </w:r>
          </w:p>
        </w:tc>
        <w:tc>
          <w:tcPr>
            <w:tcW w:w="39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42,068</w:t>
            </w:r>
          </w:p>
        </w:tc>
        <w:tc>
          <w:tcPr>
            <w:tcW w:w="17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29,873</w:t>
            </w:r>
          </w:p>
        </w:tc>
        <w:tc>
          <w:tcPr>
            <w:tcW w:w="144" w:type="dxa"/>
            <w:tcBorders/>
            <w:shd w:fill="CCEEFF" w:val="clear"/>
            <w:vAlign w:val="bottom"/>
          </w:tcPr>
          <w:p>
            <w:pPr>
              <w:pStyle w:val="TableContents"/>
              <w:spacing w:before="0" w:after="283"/>
              <w:rPr/>
            </w:pPr>
            <w:r>
              <w:rPr/>
              <w:t> </w:t>
            </w:r>
          </w:p>
        </w:tc>
      </w:tr>
      <w:tr>
        <w:trPr/>
        <w:tc>
          <w:tcPr>
            <w:tcW w:w="6250" w:type="dxa"/>
            <w:tcBorders/>
            <w:shd w:fill="auto" w:val="clear"/>
            <w:vAlign w:val="bottom"/>
          </w:tcPr>
          <w:p>
            <w:pPr>
              <w:pStyle w:val="TableContents"/>
              <w:spacing w:before="0" w:after="0"/>
              <w:ind w:left="450" w:right="0" w:hanging="225"/>
              <w:rPr/>
            </w:pPr>
            <w:r>
              <w:rPr/>
              <w:t>Payday loan fees</w:t>
            </w:r>
          </w:p>
        </w:tc>
        <w:tc>
          <w:tcPr>
            <w:tcW w:w="39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5,040</w:t>
            </w:r>
          </w:p>
        </w:tc>
        <w:tc>
          <w:tcPr>
            <w:tcW w:w="17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2,255</w:t>
            </w:r>
          </w:p>
        </w:tc>
        <w:tc>
          <w:tcPr>
            <w:tcW w:w="144" w:type="dxa"/>
            <w:tcBorders/>
            <w:shd w:fill="auto" w:val="clear"/>
            <w:vAlign w:val="bottom"/>
          </w:tcPr>
          <w:p>
            <w:pPr>
              <w:pStyle w:val="TableContents"/>
              <w:spacing w:before="0" w:after="283"/>
              <w:rPr/>
            </w:pPr>
            <w:r>
              <w:rPr/>
              <w:t> </w:t>
            </w:r>
          </w:p>
        </w:tc>
      </w:tr>
      <w:tr>
        <w:trPr/>
        <w:tc>
          <w:tcPr>
            <w:tcW w:w="6250" w:type="dxa"/>
            <w:tcBorders/>
            <w:shd w:fill="CCEEFF" w:val="clear"/>
            <w:vAlign w:val="bottom"/>
          </w:tcPr>
          <w:p>
            <w:pPr>
              <w:pStyle w:val="TableContents"/>
              <w:spacing w:before="0" w:after="0"/>
              <w:ind w:left="450" w:right="0" w:hanging="225"/>
              <w:rPr/>
            </w:pPr>
            <w:r>
              <w:rPr/>
              <w:t>Other</w:t>
            </w:r>
          </w:p>
        </w:tc>
        <w:tc>
          <w:tcPr>
            <w:tcW w:w="39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692</w:t>
            </w:r>
          </w:p>
        </w:tc>
        <w:tc>
          <w:tcPr>
            <w:tcW w:w="17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658</w:t>
            </w:r>
          </w:p>
        </w:tc>
        <w:tc>
          <w:tcPr>
            <w:tcW w:w="144" w:type="dxa"/>
            <w:tcBorders/>
            <w:shd w:fill="CCEEFF" w:val="clear"/>
            <w:vAlign w:val="bottom"/>
          </w:tcPr>
          <w:p>
            <w:pPr>
              <w:pStyle w:val="TableContents"/>
              <w:spacing w:before="0" w:after="283"/>
              <w:rPr/>
            </w:pPr>
            <w:r>
              <w:rPr/>
              <w:t> </w:t>
            </w:r>
          </w:p>
        </w:tc>
      </w:tr>
      <w:tr>
        <w:trPr/>
        <w:tc>
          <w:tcPr>
            <w:tcW w:w="6250"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3559"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250" w:type="dxa"/>
            <w:tcBorders/>
            <w:shd w:fill="auto" w:val="clear"/>
            <w:vAlign w:val="bottom"/>
          </w:tcPr>
          <w:p>
            <w:pPr>
              <w:pStyle w:val="TableContents"/>
              <w:spacing w:before="0" w:after="0"/>
              <w:ind w:left="675" w:right="0" w:hanging="225"/>
              <w:rPr/>
            </w:pPr>
            <w:r>
              <w:rPr/>
              <w:t>Total revenues</w:t>
            </w:r>
          </w:p>
        </w:tc>
        <w:tc>
          <w:tcPr>
            <w:tcW w:w="39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181,330</w:t>
            </w:r>
          </w:p>
        </w:tc>
        <w:tc>
          <w:tcPr>
            <w:tcW w:w="17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154,711</w:t>
            </w:r>
          </w:p>
        </w:tc>
        <w:tc>
          <w:tcPr>
            <w:tcW w:w="144" w:type="dxa"/>
            <w:tcBorders/>
            <w:shd w:fill="auto" w:val="clear"/>
            <w:vAlign w:val="bottom"/>
          </w:tcPr>
          <w:p>
            <w:pPr>
              <w:pStyle w:val="TableContents"/>
              <w:spacing w:before="0" w:after="283"/>
              <w:rPr/>
            </w:pPr>
            <w:r>
              <w:rPr/>
              <w:t> </w:t>
            </w:r>
          </w:p>
        </w:tc>
      </w:tr>
      <w:tr>
        <w:trPr/>
        <w:tc>
          <w:tcPr>
            <w:tcW w:w="6250" w:type="dxa"/>
            <w:tcBorders/>
            <w:shd w:fill="CCEEFF" w:val="clear"/>
            <w:vAlign w:val="bottom"/>
          </w:tcPr>
          <w:p>
            <w:pPr>
              <w:pStyle w:val="TableContents"/>
              <w:spacing w:before="0" w:after="0"/>
              <w:ind w:left="225" w:right="0" w:hanging="225"/>
              <w:rPr/>
            </w:pPr>
            <w:r>
              <w:rPr/>
              <w:t>Cost of goods sold:</w:t>
            </w:r>
          </w:p>
        </w:tc>
        <w:tc>
          <w:tcPr>
            <w:tcW w:w="39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6250" w:type="dxa"/>
            <w:tcBorders/>
            <w:shd w:fill="auto" w:val="clear"/>
            <w:vAlign w:val="bottom"/>
          </w:tcPr>
          <w:p>
            <w:pPr>
              <w:pStyle w:val="TableContents"/>
              <w:spacing w:before="0" w:after="0"/>
              <w:ind w:left="450" w:right="0" w:hanging="225"/>
              <w:rPr/>
            </w:pPr>
            <w:r>
              <w:rPr/>
              <w:t>Cost of merchandise sales</w:t>
            </w:r>
          </w:p>
        </w:tc>
        <w:tc>
          <w:tcPr>
            <w:tcW w:w="39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46,158</w:t>
            </w:r>
          </w:p>
        </w:tc>
        <w:tc>
          <w:tcPr>
            <w:tcW w:w="17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43,547</w:t>
            </w:r>
          </w:p>
        </w:tc>
        <w:tc>
          <w:tcPr>
            <w:tcW w:w="144" w:type="dxa"/>
            <w:tcBorders/>
            <w:shd w:fill="auto" w:val="clear"/>
            <w:vAlign w:val="bottom"/>
          </w:tcPr>
          <w:p>
            <w:pPr>
              <w:pStyle w:val="TableContents"/>
              <w:spacing w:before="0" w:after="283"/>
              <w:rPr/>
            </w:pPr>
            <w:r>
              <w:rPr/>
              <w:t> </w:t>
            </w:r>
          </w:p>
        </w:tc>
      </w:tr>
      <w:tr>
        <w:trPr/>
        <w:tc>
          <w:tcPr>
            <w:tcW w:w="6250" w:type="dxa"/>
            <w:tcBorders/>
            <w:shd w:fill="CCEEFF" w:val="clear"/>
            <w:vAlign w:val="bottom"/>
          </w:tcPr>
          <w:p>
            <w:pPr>
              <w:pStyle w:val="TableContents"/>
              <w:spacing w:before="0" w:after="0"/>
              <w:ind w:left="450" w:right="0" w:hanging="225"/>
              <w:rPr/>
            </w:pPr>
            <w:r>
              <w:rPr/>
              <w:t>Cost of jewelry scrapping sales</w:t>
            </w:r>
          </w:p>
        </w:tc>
        <w:tc>
          <w:tcPr>
            <w:tcW w:w="39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14,039</w:t>
            </w:r>
          </w:p>
        </w:tc>
        <w:tc>
          <w:tcPr>
            <w:tcW w:w="17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10,451</w:t>
            </w:r>
          </w:p>
        </w:tc>
        <w:tc>
          <w:tcPr>
            <w:tcW w:w="144" w:type="dxa"/>
            <w:tcBorders/>
            <w:shd w:fill="CCEEFF" w:val="clear"/>
            <w:vAlign w:val="bottom"/>
          </w:tcPr>
          <w:p>
            <w:pPr>
              <w:pStyle w:val="TableContents"/>
              <w:spacing w:before="0" w:after="283"/>
              <w:rPr/>
            </w:pPr>
            <w:r>
              <w:rPr/>
              <w:t> </w:t>
            </w:r>
          </w:p>
        </w:tc>
      </w:tr>
      <w:tr>
        <w:trPr/>
        <w:tc>
          <w:tcPr>
            <w:tcW w:w="6250"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3559"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250" w:type="dxa"/>
            <w:tcBorders/>
            <w:shd w:fill="auto" w:val="clear"/>
            <w:vAlign w:val="bottom"/>
          </w:tcPr>
          <w:p>
            <w:pPr>
              <w:pStyle w:val="TableContents"/>
              <w:spacing w:before="0" w:after="0"/>
              <w:ind w:left="675" w:right="0" w:hanging="225"/>
              <w:rPr/>
            </w:pPr>
            <w:r>
              <w:rPr/>
              <w:t>Total cost of goods sold</w:t>
            </w:r>
          </w:p>
        </w:tc>
        <w:tc>
          <w:tcPr>
            <w:tcW w:w="39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60,197</w:t>
            </w:r>
          </w:p>
        </w:tc>
        <w:tc>
          <w:tcPr>
            <w:tcW w:w="17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53,998</w:t>
            </w:r>
          </w:p>
        </w:tc>
        <w:tc>
          <w:tcPr>
            <w:tcW w:w="144" w:type="dxa"/>
            <w:tcBorders/>
            <w:shd w:fill="auto" w:val="clear"/>
            <w:vAlign w:val="bottom"/>
          </w:tcPr>
          <w:p>
            <w:pPr>
              <w:pStyle w:val="TableContents"/>
              <w:spacing w:before="0" w:after="283"/>
              <w:rPr/>
            </w:pPr>
            <w:r>
              <w:rPr/>
              <w:t> </w:t>
            </w:r>
          </w:p>
        </w:tc>
      </w:tr>
      <w:tr>
        <w:trPr/>
        <w:tc>
          <w:tcPr>
            <w:tcW w:w="6250"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3559"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250" w:type="dxa"/>
            <w:tcBorders/>
            <w:shd w:fill="CCEEFF" w:val="clear"/>
            <w:vAlign w:val="bottom"/>
          </w:tcPr>
          <w:p>
            <w:pPr>
              <w:pStyle w:val="TableContents"/>
              <w:spacing w:before="0" w:after="0"/>
              <w:ind w:left="225" w:right="0" w:hanging="225"/>
              <w:rPr/>
            </w:pPr>
            <w:r>
              <w:rPr/>
              <w:t>Net revenues</w:t>
            </w:r>
          </w:p>
        </w:tc>
        <w:tc>
          <w:tcPr>
            <w:tcW w:w="39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121,133</w:t>
            </w:r>
          </w:p>
        </w:tc>
        <w:tc>
          <w:tcPr>
            <w:tcW w:w="17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100,713</w:t>
            </w:r>
          </w:p>
        </w:tc>
        <w:tc>
          <w:tcPr>
            <w:tcW w:w="144" w:type="dxa"/>
            <w:tcBorders/>
            <w:shd w:fill="CCEEFF" w:val="clear"/>
            <w:vAlign w:val="bottom"/>
          </w:tcPr>
          <w:p>
            <w:pPr>
              <w:pStyle w:val="TableContents"/>
              <w:spacing w:before="0" w:after="283"/>
              <w:rPr/>
            </w:pPr>
            <w:r>
              <w:rPr/>
              <w:t> </w:t>
            </w:r>
          </w:p>
        </w:tc>
      </w:tr>
      <w:tr>
        <w:trPr/>
        <w:tc>
          <w:tcPr>
            <w:tcW w:w="6250" w:type="dxa"/>
            <w:tcBorders/>
            <w:shd w:fill="auto" w:val="clear"/>
            <w:vAlign w:val="bottom"/>
          </w:tcPr>
          <w:p>
            <w:pPr>
              <w:pStyle w:val="TableContents"/>
              <w:spacing w:before="0" w:after="0"/>
              <w:ind w:left="225" w:right="0" w:hanging="225"/>
              <w:rPr/>
            </w:pPr>
            <w:r>
              <w:rPr/>
              <w:t> </w:t>
            </w:r>
          </w:p>
        </w:tc>
        <w:tc>
          <w:tcPr>
            <w:tcW w:w="39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250" w:type="dxa"/>
            <w:tcBorders/>
            <w:shd w:fill="auto" w:val="clear"/>
            <w:vAlign w:val="bottom"/>
          </w:tcPr>
          <w:p>
            <w:pPr>
              <w:pStyle w:val="TableContents"/>
              <w:spacing w:before="0" w:after="0"/>
              <w:ind w:left="225" w:right="0" w:hanging="225"/>
              <w:rPr/>
            </w:pPr>
            <w:r>
              <w:rPr/>
              <w:t>Operations expense</w:t>
            </w:r>
          </w:p>
        </w:tc>
        <w:tc>
          <w:tcPr>
            <w:tcW w:w="39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62,492</w:t>
            </w:r>
          </w:p>
        </w:tc>
        <w:tc>
          <w:tcPr>
            <w:tcW w:w="17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54,551</w:t>
            </w:r>
          </w:p>
        </w:tc>
        <w:tc>
          <w:tcPr>
            <w:tcW w:w="144" w:type="dxa"/>
            <w:tcBorders/>
            <w:shd w:fill="auto" w:val="clear"/>
            <w:vAlign w:val="bottom"/>
          </w:tcPr>
          <w:p>
            <w:pPr>
              <w:pStyle w:val="TableContents"/>
              <w:spacing w:before="0" w:after="283"/>
              <w:rPr/>
            </w:pPr>
            <w:r>
              <w:rPr/>
              <w:t> </w:t>
            </w:r>
          </w:p>
        </w:tc>
      </w:tr>
      <w:tr>
        <w:trPr/>
        <w:tc>
          <w:tcPr>
            <w:tcW w:w="6250" w:type="dxa"/>
            <w:tcBorders/>
            <w:shd w:fill="CCEEFF" w:val="clear"/>
            <w:vAlign w:val="bottom"/>
          </w:tcPr>
          <w:p>
            <w:pPr>
              <w:pStyle w:val="TableContents"/>
              <w:spacing w:before="0" w:after="0"/>
              <w:ind w:left="225" w:right="0" w:hanging="225"/>
              <w:rPr/>
            </w:pPr>
            <w:r>
              <w:rPr/>
              <w:t>Credit service bad debt</w:t>
            </w:r>
          </w:p>
        </w:tc>
        <w:tc>
          <w:tcPr>
            <w:tcW w:w="39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7,606</w:t>
            </w:r>
          </w:p>
        </w:tc>
        <w:tc>
          <w:tcPr>
            <w:tcW w:w="17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5,643</w:t>
            </w:r>
          </w:p>
        </w:tc>
        <w:tc>
          <w:tcPr>
            <w:tcW w:w="144" w:type="dxa"/>
            <w:tcBorders/>
            <w:shd w:fill="CCEEFF" w:val="clear"/>
            <w:vAlign w:val="bottom"/>
          </w:tcPr>
          <w:p>
            <w:pPr>
              <w:pStyle w:val="TableContents"/>
              <w:spacing w:before="0" w:after="283"/>
              <w:rPr/>
            </w:pPr>
            <w:r>
              <w:rPr/>
              <w:t> </w:t>
            </w:r>
          </w:p>
        </w:tc>
      </w:tr>
      <w:tr>
        <w:trPr/>
        <w:tc>
          <w:tcPr>
            <w:tcW w:w="6250" w:type="dxa"/>
            <w:tcBorders/>
            <w:shd w:fill="auto" w:val="clear"/>
            <w:vAlign w:val="bottom"/>
          </w:tcPr>
          <w:p>
            <w:pPr>
              <w:pStyle w:val="TableContents"/>
              <w:spacing w:before="0" w:after="0"/>
              <w:ind w:left="225" w:right="0" w:hanging="225"/>
              <w:rPr/>
            </w:pPr>
            <w:r>
              <w:rPr/>
              <w:t>Payday loan bad debt</w:t>
            </w:r>
          </w:p>
        </w:tc>
        <w:tc>
          <w:tcPr>
            <w:tcW w:w="39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1,338</w:t>
            </w:r>
          </w:p>
        </w:tc>
        <w:tc>
          <w:tcPr>
            <w:tcW w:w="17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888</w:t>
            </w:r>
          </w:p>
        </w:tc>
        <w:tc>
          <w:tcPr>
            <w:tcW w:w="144" w:type="dxa"/>
            <w:tcBorders/>
            <w:shd w:fill="auto" w:val="clear"/>
            <w:vAlign w:val="bottom"/>
          </w:tcPr>
          <w:p>
            <w:pPr>
              <w:pStyle w:val="TableContents"/>
              <w:spacing w:before="0" w:after="283"/>
              <w:rPr/>
            </w:pPr>
            <w:r>
              <w:rPr/>
              <w:t> </w:t>
            </w:r>
          </w:p>
        </w:tc>
      </w:tr>
      <w:tr>
        <w:trPr/>
        <w:tc>
          <w:tcPr>
            <w:tcW w:w="6250" w:type="dxa"/>
            <w:tcBorders/>
            <w:shd w:fill="CCEEFF" w:val="clear"/>
            <w:vAlign w:val="bottom"/>
          </w:tcPr>
          <w:p>
            <w:pPr>
              <w:pStyle w:val="TableContents"/>
              <w:spacing w:before="0" w:after="0"/>
              <w:ind w:left="225" w:right="0" w:hanging="225"/>
              <w:rPr/>
            </w:pPr>
            <w:r>
              <w:rPr/>
              <w:t>Administrative expense</w:t>
            </w:r>
          </w:p>
        </w:tc>
        <w:tc>
          <w:tcPr>
            <w:tcW w:w="39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15,495</w:t>
            </w:r>
          </w:p>
        </w:tc>
        <w:tc>
          <w:tcPr>
            <w:tcW w:w="17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13,517</w:t>
            </w:r>
          </w:p>
        </w:tc>
        <w:tc>
          <w:tcPr>
            <w:tcW w:w="144" w:type="dxa"/>
            <w:tcBorders/>
            <w:shd w:fill="CCEEFF" w:val="clear"/>
            <w:vAlign w:val="bottom"/>
          </w:tcPr>
          <w:p>
            <w:pPr>
              <w:pStyle w:val="TableContents"/>
              <w:spacing w:before="0" w:after="283"/>
              <w:rPr/>
            </w:pPr>
            <w:r>
              <w:rPr/>
              <w:t> </w:t>
            </w:r>
          </w:p>
        </w:tc>
      </w:tr>
      <w:tr>
        <w:trPr/>
        <w:tc>
          <w:tcPr>
            <w:tcW w:w="6250" w:type="dxa"/>
            <w:tcBorders/>
            <w:shd w:fill="auto" w:val="clear"/>
            <w:vAlign w:val="bottom"/>
          </w:tcPr>
          <w:p>
            <w:pPr>
              <w:pStyle w:val="TableContents"/>
              <w:spacing w:before="0" w:after="0"/>
              <w:ind w:left="225" w:right="0" w:hanging="225"/>
              <w:rPr/>
            </w:pPr>
            <w:r>
              <w:rPr/>
              <w:t>Depreciation and amortization</w:t>
            </w:r>
          </w:p>
        </w:tc>
        <w:tc>
          <w:tcPr>
            <w:tcW w:w="39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4,699</w:t>
            </w:r>
          </w:p>
        </w:tc>
        <w:tc>
          <w:tcPr>
            <w:tcW w:w="17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4,259</w:t>
            </w:r>
          </w:p>
        </w:tc>
        <w:tc>
          <w:tcPr>
            <w:tcW w:w="144" w:type="dxa"/>
            <w:tcBorders/>
            <w:shd w:fill="auto" w:val="clear"/>
            <w:vAlign w:val="bottom"/>
          </w:tcPr>
          <w:p>
            <w:pPr>
              <w:pStyle w:val="TableContents"/>
              <w:spacing w:before="0" w:after="283"/>
              <w:rPr/>
            </w:pPr>
            <w:r>
              <w:rPr/>
              <w:t> </w:t>
            </w:r>
          </w:p>
        </w:tc>
      </w:tr>
      <w:tr>
        <w:trPr/>
        <w:tc>
          <w:tcPr>
            <w:tcW w:w="6250"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3559"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250" w:type="dxa"/>
            <w:tcBorders/>
            <w:shd w:fill="CCEEFF" w:val="clear"/>
            <w:vAlign w:val="bottom"/>
          </w:tcPr>
          <w:p>
            <w:pPr>
              <w:pStyle w:val="TableContents"/>
              <w:spacing w:before="0" w:after="0"/>
              <w:ind w:left="450" w:right="0" w:hanging="225"/>
              <w:rPr/>
            </w:pPr>
            <w:r>
              <w:rPr/>
              <w:t>Operating income</w:t>
            </w:r>
          </w:p>
        </w:tc>
        <w:tc>
          <w:tcPr>
            <w:tcW w:w="39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29,503</w:t>
            </w:r>
          </w:p>
        </w:tc>
        <w:tc>
          <w:tcPr>
            <w:tcW w:w="17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21,855</w:t>
            </w:r>
          </w:p>
        </w:tc>
        <w:tc>
          <w:tcPr>
            <w:tcW w:w="144" w:type="dxa"/>
            <w:tcBorders/>
            <w:shd w:fill="CCEEFF" w:val="clear"/>
            <w:vAlign w:val="bottom"/>
          </w:tcPr>
          <w:p>
            <w:pPr>
              <w:pStyle w:val="TableContents"/>
              <w:spacing w:before="0" w:after="283"/>
              <w:rPr/>
            </w:pPr>
            <w:r>
              <w:rPr/>
              <w:t> </w:t>
            </w:r>
          </w:p>
        </w:tc>
      </w:tr>
      <w:tr>
        <w:trPr/>
        <w:tc>
          <w:tcPr>
            <w:tcW w:w="6250" w:type="dxa"/>
            <w:tcBorders/>
            <w:shd w:fill="auto" w:val="clear"/>
            <w:vAlign w:val="bottom"/>
          </w:tcPr>
          <w:p>
            <w:pPr>
              <w:pStyle w:val="TableContents"/>
              <w:spacing w:before="0" w:after="0"/>
              <w:ind w:left="225" w:right="0" w:hanging="225"/>
              <w:rPr/>
            </w:pPr>
            <w:r>
              <w:rPr/>
              <w:t> </w:t>
            </w:r>
          </w:p>
        </w:tc>
        <w:tc>
          <w:tcPr>
            <w:tcW w:w="39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250" w:type="dxa"/>
            <w:tcBorders/>
            <w:shd w:fill="auto" w:val="clear"/>
            <w:vAlign w:val="bottom"/>
          </w:tcPr>
          <w:p>
            <w:pPr>
              <w:pStyle w:val="TableContents"/>
              <w:spacing w:before="0" w:after="0"/>
              <w:ind w:left="225" w:right="0" w:hanging="225"/>
              <w:rPr/>
            </w:pPr>
            <w:r>
              <w:rPr/>
              <w:t>Interest income</w:t>
            </w:r>
          </w:p>
        </w:tc>
        <w:tc>
          <w:tcPr>
            <w:tcW w:w="39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(881</w:t>
            </w:r>
          </w:p>
        </w:tc>
        <w:tc>
          <w:tcPr>
            <w:tcW w:w="170" w:type="dxa"/>
            <w:tcBorders/>
            <w:shd w:fill="auto" w:val="clear"/>
            <w:vAlign w:val="bottom"/>
          </w:tcPr>
          <w:p>
            <w:pPr>
              <w:pStyle w:val="TableContents"/>
              <w:spacing w:before="0" w:after="283"/>
              <w:rPr/>
            </w:pPr>
            <w:r>
              <w:rPr/>
              <w:t>)</w:t>
            </w:r>
          </w:p>
        </w:tc>
        <w:tc>
          <w:tcPr>
            <w:tcW w:w="417"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 </w:t>
            </w:r>
          </w:p>
        </w:tc>
        <w:tc>
          <w:tcPr>
            <w:tcW w:w="1198" w:type="dxa"/>
            <w:tcBorders/>
            <w:shd w:fill="auto" w:val="clear"/>
            <w:vAlign w:val="bottom"/>
          </w:tcPr>
          <w:p>
            <w:pPr>
              <w:pStyle w:val="TableContents"/>
              <w:spacing w:before="0" w:after="283"/>
              <w:jc w:val="right"/>
              <w:rPr/>
            </w:pPr>
            <w:r>
              <w:rPr/>
              <w:t>(90</w:t>
            </w:r>
          </w:p>
        </w:tc>
        <w:tc>
          <w:tcPr>
            <w:tcW w:w="144" w:type="dxa"/>
            <w:tcBorders/>
            <w:shd w:fill="auto" w:val="clear"/>
            <w:vAlign w:val="bottom"/>
          </w:tcPr>
          <w:p>
            <w:pPr>
              <w:pStyle w:val="TableContents"/>
              <w:spacing w:before="0" w:after="283"/>
              <w:rPr/>
            </w:pPr>
            <w:r>
              <w:rPr/>
              <w:t>)</w:t>
            </w:r>
          </w:p>
        </w:tc>
      </w:tr>
      <w:tr>
        <w:trPr/>
        <w:tc>
          <w:tcPr>
            <w:tcW w:w="6250" w:type="dxa"/>
            <w:tcBorders/>
            <w:shd w:fill="CCEEFF" w:val="clear"/>
            <w:vAlign w:val="bottom"/>
          </w:tcPr>
          <w:p>
            <w:pPr>
              <w:pStyle w:val="TableContents"/>
              <w:spacing w:before="0" w:after="0"/>
              <w:ind w:left="225" w:right="0" w:hanging="225"/>
              <w:rPr/>
            </w:pPr>
            <w:r>
              <w:rPr/>
              <w:t>Interest expense</w:t>
            </w:r>
          </w:p>
        </w:tc>
        <w:tc>
          <w:tcPr>
            <w:tcW w:w="39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147</w:t>
            </w:r>
          </w:p>
        </w:tc>
        <w:tc>
          <w:tcPr>
            <w:tcW w:w="17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353</w:t>
            </w:r>
          </w:p>
        </w:tc>
        <w:tc>
          <w:tcPr>
            <w:tcW w:w="144" w:type="dxa"/>
            <w:tcBorders/>
            <w:shd w:fill="CCEEFF" w:val="clear"/>
            <w:vAlign w:val="bottom"/>
          </w:tcPr>
          <w:p>
            <w:pPr>
              <w:pStyle w:val="TableContents"/>
              <w:spacing w:before="0" w:after="283"/>
              <w:rPr/>
            </w:pPr>
            <w:r>
              <w:rPr/>
              <w:t> </w:t>
            </w:r>
          </w:p>
        </w:tc>
      </w:tr>
      <w:tr>
        <w:trPr/>
        <w:tc>
          <w:tcPr>
            <w:tcW w:w="6250" w:type="dxa"/>
            <w:tcBorders/>
            <w:shd w:fill="auto" w:val="clear"/>
            <w:vAlign w:val="bottom"/>
          </w:tcPr>
          <w:p>
            <w:pPr>
              <w:pStyle w:val="TableContents"/>
              <w:spacing w:before="0" w:after="0"/>
              <w:ind w:left="225" w:right="0" w:hanging="225"/>
              <w:rPr/>
            </w:pPr>
            <w:r>
              <w:rPr/>
              <w:t>Equity in net income of unconsolidated affiliate</w:t>
            </w:r>
          </w:p>
        </w:tc>
        <w:tc>
          <w:tcPr>
            <w:tcW w:w="39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(1,465</w:t>
            </w:r>
          </w:p>
        </w:tc>
        <w:tc>
          <w:tcPr>
            <w:tcW w:w="170" w:type="dxa"/>
            <w:tcBorders/>
            <w:shd w:fill="auto" w:val="clear"/>
            <w:vAlign w:val="bottom"/>
          </w:tcPr>
          <w:p>
            <w:pPr>
              <w:pStyle w:val="TableContents"/>
              <w:spacing w:before="0" w:after="283"/>
              <w:rPr/>
            </w:pPr>
            <w:r>
              <w:rPr/>
              <w:t>)</w:t>
            </w:r>
          </w:p>
        </w:tc>
        <w:tc>
          <w:tcPr>
            <w:tcW w:w="417"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 </w:t>
            </w:r>
          </w:p>
        </w:tc>
        <w:tc>
          <w:tcPr>
            <w:tcW w:w="1198" w:type="dxa"/>
            <w:tcBorders/>
            <w:shd w:fill="auto" w:val="clear"/>
            <w:vAlign w:val="bottom"/>
          </w:tcPr>
          <w:p>
            <w:pPr>
              <w:pStyle w:val="TableContents"/>
              <w:spacing w:before="0" w:after="283"/>
              <w:jc w:val="right"/>
              <w:rPr/>
            </w:pPr>
            <w:r>
              <w:rPr/>
              <w:t>(1,188</w:t>
            </w:r>
          </w:p>
        </w:tc>
        <w:tc>
          <w:tcPr>
            <w:tcW w:w="144" w:type="dxa"/>
            <w:tcBorders/>
            <w:shd w:fill="auto" w:val="clear"/>
            <w:vAlign w:val="bottom"/>
          </w:tcPr>
          <w:p>
            <w:pPr>
              <w:pStyle w:val="TableContents"/>
              <w:spacing w:before="0" w:after="283"/>
              <w:rPr/>
            </w:pPr>
            <w:r>
              <w:rPr/>
              <w:t>)</w:t>
            </w:r>
          </w:p>
        </w:tc>
      </w:tr>
      <w:tr>
        <w:trPr/>
        <w:tc>
          <w:tcPr>
            <w:tcW w:w="6250" w:type="dxa"/>
            <w:tcBorders/>
            <w:shd w:fill="CCEEFF" w:val="clear"/>
            <w:vAlign w:val="bottom"/>
          </w:tcPr>
          <w:p>
            <w:pPr>
              <w:pStyle w:val="TableContents"/>
              <w:spacing w:before="0" w:after="0"/>
              <w:ind w:left="225" w:right="0" w:hanging="225"/>
              <w:rPr/>
            </w:pPr>
            <w:r>
              <w:rPr/>
              <w:t>(Gain) loss on sale/disposal of assets</w:t>
            </w:r>
          </w:p>
        </w:tc>
        <w:tc>
          <w:tcPr>
            <w:tcW w:w="39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24</w:t>
            </w:r>
          </w:p>
        </w:tc>
        <w:tc>
          <w:tcPr>
            <w:tcW w:w="17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8</w:t>
            </w:r>
          </w:p>
        </w:tc>
        <w:tc>
          <w:tcPr>
            <w:tcW w:w="144" w:type="dxa"/>
            <w:tcBorders/>
            <w:shd w:fill="CCEEFF" w:val="clear"/>
            <w:vAlign w:val="bottom"/>
          </w:tcPr>
          <w:p>
            <w:pPr>
              <w:pStyle w:val="TableContents"/>
              <w:spacing w:before="0" w:after="283"/>
              <w:rPr/>
            </w:pPr>
            <w:r>
              <w:rPr/>
              <w:t> </w:t>
            </w:r>
          </w:p>
        </w:tc>
      </w:tr>
      <w:tr>
        <w:trPr/>
        <w:tc>
          <w:tcPr>
            <w:tcW w:w="6250"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3559"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250" w:type="dxa"/>
            <w:tcBorders/>
            <w:shd w:fill="auto" w:val="clear"/>
            <w:vAlign w:val="bottom"/>
          </w:tcPr>
          <w:p>
            <w:pPr>
              <w:pStyle w:val="TableContents"/>
              <w:spacing w:before="0" w:after="0"/>
              <w:ind w:left="225" w:right="0" w:hanging="225"/>
              <w:rPr/>
            </w:pPr>
            <w:r>
              <w:rPr/>
              <w:t>Income before income taxes</w:t>
            </w:r>
          </w:p>
        </w:tc>
        <w:tc>
          <w:tcPr>
            <w:tcW w:w="39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31,678</w:t>
            </w:r>
          </w:p>
        </w:tc>
        <w:tc>
          <w:tcPr>
            <w:tcW w:w="17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22,772</w:t>
            </w:r>
          </w:p>
        </w:tc>
        <w:tc>
          <w:tcPr>
            <w:tcW w:w="144" w:type="dxa"/>
            <w:tcBorders/>
            <w:shd w:fill="auto" w:val="clear"/>
            <w:vAlign w:val="bottom"/>
          </w:tcPr>
          <w:p>
            <w:pPr>
              <w:pStyle w:val="TableContents"/>
              <w:spacing w:before="0" w:after="283"/>
              <w:rPr/>
            </w:pPr>
            <w:r>
              <w:rPr/>
              <w:t> </w:t>
            </w:r>
          </w:p>
        </w:tc>
      </w:tr>
      <w:tr>
        <w:trPr/>
        <w:tc>
          <w:tcPr>
            <w:tcW w:w="6250" w:type="dxa"/>
            <w:tcBorders/>
            <w:shd w:fill="CCEEFF" w:val="clear"/>
            <w:vAlign w:val="bottom"/>
          </w:tcPr>
          <w:p>
            <w:pPr>
              <w:pStyle w:val="TableContents"/>
              <w:spacing w:before="0" w:after="0"/>
              <w:ind w:left="225" w:right="0" w:hanging="225"/>
              <w:rPr/>
            </w:pPr>
            <w:r>
              <w:rPr/>
              <w:t>Income tax expense</w:t>
            </w:r>
          </w:p>
        </w:tc>
        <w:tc>
          <w:tcPr>
            <w:tcW w:w="39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11,721</w:t>
            </w:r>
          </w:p>
        </w:tc>
        <w:tc>
          <w:tcPr>
            <w:tcW w:w="17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8,289</w:t>
            </w:r>
          </w:p>
        </w:tc>
        <w:tc>
          <w:tcPr>
            <w:tcW w:w="144" w:type="dxa"/>
            <w:tcBorders/>
            <w:shd w:fill="CCEEFF" w:val="clear"/>
            <w:vAlign w:val="bottom"/>
          </w:tcPr>
          <w:p>
            <w:pPr>
              <w:pStyle w:val="TableContents"/>
              <w:spacing w:before="0" w:after="283"/>
              <w:rPr/>
            </w:pPr>
            <w:r>
              <w:rPr/>
              <w:t> </w:t>
            </w:r>
          </w:p>
        </w:tc>
      </w:tr>
      <w:tr>
        <w:trPr/>
        <w:tc>
          <w:tcPr>
            <w:tcW w:w="6250"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3559"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6250" w:type="dxa"/>
            <w:tcBorders/>
            <w:shd w:fill="auto" w:val="clear"/>
            <w:vAlign w:val="bottom"/>
          </w:tcPr>
          <w:p>
            <w:pPr>
              <w:pStyle w:val="TableContents"/>
              <w:spacing w:before="0" w:after="0"/>
              <w:ind w:left="225" w:right="0" w:hanging="225"/>
              <w:rPr/>
            </w:pPr>
            <w:r>
              <w:rPr/>
              <w:t>Net income</w:t>
            </w:r>
          </w:p>
        </w:tc>
        <w:tc>
          <w:tcPr>
            <w:tcW w:w="39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1196" w:type="dxa"/>
            <w:tcBorders/>
            <w:shd w:fill="auto" w:val="clear"/>
            <w:vAlign w:val="bottom"/>
          </w:tcPr>
          <w:p>
            <w:pPr>
              <w:pStyle w:val="TableContents"/>
              <w:spacing w:before="0" w:after="283"/>
              <w:jc w:val="right"/>
              <w:rPr/>
            </w:pPr>
            <w:r>
              <w:rPr/>
              <w:t>19,957</w:t>
            </w:r>
          </w:p>
        </w:tc>
        <w:tc>
          <w:tcPr>
            <w:tcW w:w="17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1198" w:type="dxa"/>
            <w:tcBorders/>
            <w:shd w:fill="auto" w:val="clear"/>
            <w:vAlign w:val="bottom"/>
          </w:tcPr>
          <w:p>
            <w:pPr>
              <w:pStyle w:val="TableContents"/>
              <w:spacing w:before="0" w:after="283"/>
              <w:jc w:val="right"/>
              <w:rPr/>
            </w:pPr>
            <w:r>
              <w:rPr/>
              <w:t>14,483</w:t>
            </w:r>
          </w:p>
        </w:tc>
        <w:tc>
          <w:tcPr>
            <w:tcW w:w="144" w:type="dxa"/>
            <w:tcBorders/>
            <w:shd w:fill="auto" w:val="clear"/>
            <w:vAlign w:val="bottom"/>
          </w:tcPr>
          <w:p>
            <w:pPr>
              <w:pStyle w:val="TableContents"/>
              <w:spacing w:before="0" w:after="283"/>
              <w:rPr/>
            </w:pPr>
            <w:r>
              <w:rPr/>
              <w:t> </w:t>
            </w:r>
          </w:p>
        </w:tc>
      </w:tr>
      <w:tr>
        <w:trPr/>
        <w:tc>
          <w:tcPr>
            <w:tcW w:w="6250"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3559"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6250" w:type="dxa"/>
            <w:tcBorders/>
            <w:shd w:fill="auto" w:val="clear"/>
            <w:vAlign w:val="bottom"/>
          </w:tcPr>
          <w:p>
            <w:pPr>
              <w:pStyle w:val="TableContents"/>
              <w:spacing w:before="0" w:after="0"/>
              <w:ind w:left="225" w:right="0" w:hanging="225"/>
              <w:rPr/>
            </w:pPr>
            <w:r>
              <w:rPr/>
              <w:t> </w:t>
            </w:r>
          </w:p>
        </w:tc>
        <w:tc>
          <w:tcPr>
            <w:tcW w:w="39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250" w:type="dxa"/>
            <w:tcBorders/>
            <w:shd w:fill="CCEEFF" w:val="clear"/>
            <w:vAlign w:val="bottom"/>
          </w:tcPr>
          <w:p>
            <w:pPr>
              <w:pStyle w:val="TableContents"/>
              <w:spacing w:before="0" w:after="0"/>
              <w:ind w:left="225" w:right="0" w:hanging="225"/>
              <w:rPr/>
            </w:pPr>
            <w:r>
              <w:rPr/>
              <w:t>Net income per share, diluted</w:t>
            </w:r>
          </w:p>
        </w:tc>
        <w:tc>
          <w:tcPr>
            <w:tcW w:w="39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w:t>
            </w:r>
          </w:p>
        </w:tc>
        <w:tc>
          <w:tcPr>
            <w:tcW w:w="1196" w:type="dxa"/>
            <w:tcBorders/>
            <w:shd w:fill="CCEEFF" w:val="clear"/>
            <w:vAlign w:val="bottom"/>
          </w:tcPr>
          <w:p>
            <w:pPr>
              <w:pStyle w:val="TableContents"/>
              <w:spacing w:before="0" w:after="283"/>
              <w:jc w:val="right"/>
              <w:rPr/>
            </w:pPr>
            <w:r>
              <w:rPr/>
              <w:t>0.46</w:t>
            </w:r>
          </w:p>
        </w:tc>
        <w:tc>
          <w:tcPr>
            <w:tcW w:w="17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w:t>
            </w:r>
          </w:p>
        </w:tc>
        <w:tc>
          <w:tcPr>
            <w:tcW w:w="1198" w:type="dxa"/>
            <w:tcBorders/>
            <w:shd w:fill="CCEEFF" w:val="clear"/>
            <w:vAlign w:val="bottom"/>
          </w:tcPr>
          <w:p>
            <w:pPr>
              <w:pStyle w:val="TableContents"/>
              <w:spacing w:before="0" w:after="283"/>
              <w:jc w:val="right"/>
              <w:rPr/>
            </w:pPr>
            <w:r>
              <w:rPr/>
              <w:t>0.35</w:t>
            </w:r>
          </w:p>
        </w:tc>
        <w:tc>
          <w:tcPr>
            <w:tcW w:w="144" w:type="dxa"/>
            <w:tcBorders/>
            <w:shd w:fill="CCEEFF" w:val="clear"/>
            <w:vAlign w:val="bottom"/>
          </w:tcPr>
          <w:p>
            <w:pPr>
              <w:pStyle w:val="TableContents"/>
              <w:spacing w:before="0" w:after="283"/>
              <w:rPr/>
            </w:pPr>
            <w:r>
              <w:rPr/>
              <w:t> </w:t>
            </w:r>
          </w:p>
        </w:tc>
      </w:tr>
      <w:tr>
        <w:trPr/>
        <w:tc>
          <w:tcPr>
            <w:tcW w:w="6250" w:type="dxa"/>
            <w:tcBorders/>
            <w:shd w:fill="auto" w:val="clear"/>
            <w:vAlign w:val="center"/>
          </w:tcPr>
          <w:p>
            <w:pPr>
              <w:pStyle w:val="TableContents"/>
              <w:spacing w:before="0" w:after="283"/>
              <w:rPr/>
            </w:pPr>
            <w:r>
              <w:rPr/>
              <w:t> </w:t>
            </w:r>
          </w:p>
        </w:tc>
        <w:tc>
          <w:tcPr>
            <w:tcW w:w="396" w:type="dxa"/>
            <w:tcBorders/>
            <w:shd w:fill="auto" w:val="clear"/>
            <w:vAlign w:val="center"/>
          </w:tcPr>
          <w:p>
            <w:pPr>
              <w:pStyle w:val="TableContents"/>
              <w:spacing w:before="0" w:after="283"/>
              <w:rPr/>
            </w:pPr>
            <w:r>
              <w:rPr/>
              <w:t> </w:t>
            </w:r>
          </w:p>
        </w:tc>
        <w:tc>
          <w:tcPr>
            <w:tcW w:w="3559"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6250" w:type="dxa"/>
            <w:tcBorders/>
            <w:shd w:fill="auto" w:val="clear"/>
            <w:vAlign w:val="bottom"/>
          </w:tcPr>
          <w:p>
            <w:pPr>
              <w:pStyle w:val="TableContents"/>
              <w:spacing w:before="0" w:after="0"/>
              <w:ind w:left="225" w:right="0" w:hanging="225"/>
              <w:rPr/>
            </w:pPr>
            <w:r>
              <w:rPr/>
              <w:t> </w:t>
            </w:r>
          </w:p>
        </w:tc>
        <w:tc>
          <w:tcPr>
            <w:tcW w:w="39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250" w:type="dxa"/>
            <w:tcBorders/>
            <w:shd w:fill="auto" w:val="clear"/>
            <w:vAlign w:val="bottom"/>
          </w:tcPr>
          <w:p>
            <w:pPr>
              <w:pStyle w:val="TableContents"/>
              <w:spacing w:before="0" w:after="0"/>
              <w:ind w:left="225" w:right="0" w:hanging="225"/>
              <w:rPr/>
            </w:pPr>
            <w:r>
              <w:rPr/>
              <w:t>Weighted average shares, diluted</w:t>
            </w:r>
          </w:p>
        </w:tc>
        <w:tc>
          <w:tcPr>
            <w:tcW w:w="39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43,347</w:t>
            </w:r>
          </w:p>
        </w:tc>
        <w:tc>
          <w:tcPr>
            <w:tcW w:w="17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40,937</w:t>
            </w:r>
          </w:p>
        </w:tc>
        <w:tc>
          <w:tcPr>
            <w:tcW w:w="144" w:type="dxa"/>
            <w:tcBorders/>
            <w:shd w:fill="auto" w:val="clear"/>
            <w:vAlign w:val="bottom"/>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 CORP, Inc.</w:t>
        <w:br/>
        <w:t>Highlights of Consolidated Balance Sheets (Unaudited)</w:t>
      </w:r>
      <w:r>
        <w:rPr>
          <w:rFonts w:ascii="Times New Roman;Times;serif" w:hAnsi="Times New Roman;Times;serif"/>
          <w:sz w:val="17"/>
        </w:rPr>
        <w:br/>
      </w:r>
      <w:r>
        <w:rPr>
          <w:rFonts w:ascii="Times New Roman;Times;serif" w:hAnsi="Times New Roman;Times;serif"/>
          <w:i/>
          <w:sz w:val="17"/>
        </w:rPr>
        <w:t>(in thousands, except per share data and store counts)</w:t>
      </w:r>
      <w:r>
        <w:rPr>
          <w:rFonts w:ascii="Times New Roman;Times;serif" w:hAnsi="Times New Roman;Times;serif"/>
          <w:sz w:val="17"/>
        </w:rPr>
        <w:t xml:space="preserve"> </w:t>
      </w:r>
    </w:p>
    <w:p>
      <w:pPr>
        <w:pStyle w:val="TextBody"/>
        <w:spacing w:before="12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7113"/>
        <w:gridCol w:w="458"/>
        <w:gridCol w:w="153"/>
        <w:gridCol w:w="817"/>
        <w:gridCol w:w="114"/>
        <w:gridCol w:w="458"/>
        <w:gridCol w:w="153"/>
        <w:gridCol w:w="817"/>
        <w:gridCol w:w="122"/>
      </w:tblGrid>
      <w:tr>
        <w:trPr/>
        <w:tc>
          <w:tcPr>
            <w:tcW w:w="7113"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512"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As of March 31,</w:t>
            </w:r>
          </w:p>
        </w:tc>
        <w:tc>
          <w:tcPr>
            <w:tcW w:w="122" w:type="dxa"/>
            <w:tcBorders/>
            <w:shd w:fill="auto"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jc w:val="center"/>
              <w:rPr>
                <w:b/>
              </w:rPr>
            </w:pPr>
            <w:r>
              <w:rPr>
                <w:b/>
              </w:rPr>
              <w:t>2007</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jc w:val="center"/>
              <w:rPr>
                <w:b/>
              </w:rPr>
            </w:pPr>
            <w:r>
              <w:rPr>
                <w:b/>
              </w:rPr>
              <w:t>2006</w:t>
            </w:r>
          </w:p>
        </w:tc>
        <w:tc>
          <w:tcPr>
            <w:tcW w:w="122" w:type="dxa"/>
            <w:tcBorders/>
            <w:shd w:fill="auto" w:val="clear"/>
            <w:vAlign w:val="bottom"/>
          </w:tcPr>
          <w:p>
            <w:pPr>
              <w:pStyle w:val="TableContents"/>
              <w:spacing w:before="0" w:after="283"/>
              <w:rPr/>
            </w:pPr>
            <w:r>
              <w:rPr/>
              <w:t> </w:t>
            </w:r>
          </w:p>
        </w:tc>
      </w:tr>
      <w:tr>
        <w:trPr/>
        <w:tc>
          <w:tcPr>
            <w:tcW w:w="7113"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2634"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7113" w:type="dxa"/>
            <w:tcBorders/>
            <w:shd w:fill="CCEEFF" w:val="clear"/>
            <w:vAlign w:val="bottom"/>
          </w:tcPr>
          <w:p>
            <w:pPr>
              <w:pStyle w:val="TableContents"/>
              <w:spacing w:before="0" w:after="0"/>
              <w:ind w:left="225" w:right="0" w:hanging="225"/>
              <w:rPr/>
            </w:pPr>
            <w:r>
              <w:rPr/>
              <w:t>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450" w:right="0" w:hanging="225"/>
              <w:rPr/>
            </w:pPr>
            <w:r>
              <w:rPr/>
              <w:t>Current assets: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675" w:right="0" w:hanging="225"/>
              <w:rPr/>
            </w:pPr>
            <w:r>
              <w:rPr/>
              <w:t>Cash and cash equivalents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61,605</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26,041</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675" w:right="0" w:hanging="225"/>
              <w:rPr/>
            </w:pPr>
            <w:r>
              <w:rPr/>
              <w:t>Pawn loans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43,109</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39,044</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675" w:right="0" w:hanging="225"/>
              <w:rPr/>
            </w:pPr>
            <w:r>
              <w:rPr/>
              <w:t>Payday loans, net</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3,314</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1,507</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675" w:right="0" w:hanging="225"/>
              <w:rPr/>
            </w:pPr>
            <w:r>
              <w:rPr/>
              <w:t>Pawn service charges receivable, net</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6,986</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6,598</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675" w:right="0" w:hanging="225"/>
              <w:rPr/>
            </w:pPr>
            <w:r>
              <w:rPr/>
              <w:t>Credit service fees receivable, net</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3,718</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2,663</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675" w:right="0" w:hanging="225"/>
              <w:rPr/>
            </w:pPr>
            <w:r>
              <w:rPr/>
              <w:t>Payday loan fees receivable, net</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616</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250</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675" w:right="0" w:hanging="225"/>
              <w:rPr/>
            </w:pPr>
            <w:r>
              <w:rPr/>
              <w:t>Inventory, net</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28,649</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30,764</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675" w:right="0" w:hanging="225"/>
              <w:rPr/>
            </w:pPr>
            <w:r>
              <w:rPr/>
              <w:t>Deferred tax asset</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7,150</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10,629</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675" w:right="0" w:hanging="225"/>
              <w:rPr/>
            </w:pPr>
            <w:r>
              <w:rPr/>
              <w:t>Prepaid expenses and other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5,373</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4,014</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2634"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7113" w:type="dxa"/>
            <w:tcBorders/>
            <w:shd w:fill="auto" w:val="clear"/>
            <w:vAlign w:val="bottom"/>
          </w:tcPr>
          <w:p>
            <w:pPr>
              <w:pStyle w:val="TableContents"/>
              <w:spacing w:before="0" w:after="0"/>
              <w:ind w:left="900" w:right="0" w:hanging="225"/>
              <w:rPr/>
            </w:pPr>
            <w:r>
              <w:rPr/>
              <w:t>Total current assets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160,520</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121,510</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450" w:right="0" w:hanging="225"/>
              <w:rPr/>
            </w:pPr>
            <w:r>
              <w:rPr/>
              <w:t>Investment in unconsolidated affiliate</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20,955</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17,614</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450" w:right="0" w:hanging="225"/>
              <w:rPr/>
            </w:pPr>
            <w:r>
              <w:rPr/>
              <w:t>Property and equipment, net</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30,967</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27,124</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450" w:right="0" w:hanging="225"/>
              <w:rPr/>
            </w:pPr>
            <w:r>
              <w:rPr/>
              <w:t>Deferred tax asset, non-current</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4,249</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4,012</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450" w:right="0" w:hanging="225"/>
              <w:rPr/>
            </w:pPr>
            <w:r>
              <w:rPr/>
              <w:t>Other assets, net</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3,720</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3,471</w:t>
            </w:r>
          </w:p>
        </w:tc>
        <w:tc>
          <w:tcPr>
            <w:tcW w:w="122" w:type="dxa"/>
            <w:tcBorders/>
            <w:shd w:fill="auto" w:val="clear"/>
            <w:vAlign w:val="bottom"/>
          </w:tcPr>
          <w:p>
            <w:pPr>
              <w:pStyle w:val="TableContents"/>
              <w:spacing w:before="0" w:after="283"/>
              <w:rPr/>
            </w:pPr>
            <w:r>
              <w:rPr/>
              <w:t> </w:t>
            </w:r>
          </w:p>
        </w:tc>
      </w:tr>
      <w:tr>
        <w:trPr/>
        <w:tc>
          <w:tcPr>
            <w:tcW w:w="7113"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2634"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7113" w:type="dxa"/>
            <w:tcBorders/>
            <w:shd w:fill="CCEEFF" w:val="clear"/>
            <w:vAlign w:val="bottom"/>
          </w:tcPr>
          <w:p>
            <w:pPr>
              <w:pStyle w:val="TableContents"/>
              <w:spacing w:before="0" w:after="0"/>
              <w:ind w:left="900" w:right="0" w:hanging="225"/>
              <w:rPr/>
            </w:pPr>
            <w:r>
              <w:rPr/>
              <w:t>Total assets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220,411</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173,731</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2634"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7113" w:type="dxa"/>
            <w:tcBorders/>
            <w:shd w:fill="auto" w:val="clear"/>
            <w:vAlign w:val="bottom"/>
          </w:tcPr>
          <w:p>
            <w:pPr>
              <w:pStyle w:val="TableContents"/>
              <w:spacing w:before="0" w:after="0"/>
              <w:ind w:left="225" w:right="0" w:hanging="225"/>
              <w:rPr/>
            </w:pPr>
            <w:r>
              <w:rPr/>
              <w:t>Liabilities and stockholders equity:</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450" w:right="0" w:hanging="225"/>
              <w:rPr/>
            </w:pPr>
            <w:r>
              <w:rPr/>
              <w:t>Current liabilities: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675" w:right="0" w:hanging="225"/>
              <w:rPr/>
            </w:pPr>
            <w:r>
              <w:rPr/>
              <w:t>Accounts payable and other accrued expenses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7" w:type="dxa"/>
            <w:tcBorders/>
            <w:shd w:fill="auto" w:val="clear"/>
            <w:vAlign w:val="bottom"/>
          </w:tcPr>
          <w:p>
            <w:pPr>
              <w:pStyle w:val="TableContents"/>
              <w:spacing w:before="0" w:after="283"/>
              <w:jc w:val="right"/>
              <w:rPr/>
            </w:pPr>
            <w:r>
              <w:rPr/>
              <w:t>18,594</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7" w:type="dxa"/>
            <w:tcBorders/>
            <w:shd w:fill="auto" w:val="clear"/>
            <w:vAlign w:val="bottom"/>
          </w:tcPr>
          <w:p>
            <w:pPr>
              <w:pStyle w:val="TableContents"/>
              <w:spacing w:before="0" w:after="283"/>
              <w:jc w:val="right"/>
              <w:rPr/>
            </w:pPr>
            <w:r>
              <w:rPr/>
              <w:t>16,576</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675" w:right="0" w:hanging="225"/>
              <w:rPr/>
            </w:pPr>
            <w:r>
              <w:rPr/>
              <w:t>Customer layaway deposits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2,168</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2,147</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675" w:right="0" w:hanging="225"/>
              <w:rPr/>
            </w:pPr>
            <w:r>
              <w:rPr/>
              <w:t>Federal income taxes payable</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1,104</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1,035</w:t>
            </w:r>
          </w:p>
        </w:tc>
        <w:tc>
          <w:tcPr>
            <w:tcW w:w="122" w:type="dxa"/>
            <w:tcBorders/>
            <w:shd w:fill="auto" w:val="clear"/>
            <w:vAlign w:val="bottom"/>
          </w:tcPr>
          <w:p>
            <w:pPr>
              <w:pStyle w:val="TableContents"/>
              <w:spacing w:before="0" w:after="283"/>
              <w:rPr/>
            </w:pPr>
            <w:r>
              <w:rPr/>
              <w:t> </w:t>
            </w:r>
          </w:p>
        </w:tc>
      </w:tr>
      <w:tr>
        <w:trPr/>
        <w:tc>
          <w:tcPr>
            <w:tcW w:w="7113"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2634"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7113" w:type="dxa"/>
            <w:tcBorders/>
            <w:shd w:fill="CCEEFF" w:val="clear"/>
            <w:vAlign w:val="bottom"/>
          </w:tcPr>
          <w:p>
            <w:pPr>
              <w:pStyle w:val="TableContents"/>
              <w:spacing w:before="0" w:after="0"/>
              <w:ind w:left="900" w:right="0" w:hanging="225"/>
              <w:rPr/>
            </w:pPr>
            <w:r>
              <w:rPr/>
              <w:t>Total current liabilities</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21,866</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19,758</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225" w:right="0" w:hanging="225"/>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450" w:right="0" w:hanging="225"/>
              <w:rPr/>
            </w:pPr>
            <w:r>
              <w:rPr/>
              <w:t>Deferred gains and other long-term liabilities</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3,067</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3,430</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450" w:right="0" w:hanging="225"/>
              <w:rPr/>
            </w:pPr>
            <w:r>
              <w:rPr/>
              <w:t>Total stockholders equity</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195,478</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150,543</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2634" w:type="dxa"/>
            <w:gridSpan w:val="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7113" w:type="dxa"/>
            <w:tcBorders/>
            <w:shd w:fill="auto" w:val="clear"/>
            <w:vAlign w:val="bottom"/>
          </w:tcPr>
          <w:p>
            <w:pPr>
              <w:pStyle w:val="TableContents"/>
              <w:spacing w:before="0" w:after="0"/>
              <w:ind w:left="900" w:right="0" w:hanging="225"/>
              <w:rPr/>
            </w:pPr>
            <w:r>
              <w:rPr/>
              <w:t>Total liabilities and stockholders equity</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7" w:type="dxa"/>
            <w:tcBorders/>
            <w:shd w:fill="auto" w:val="clear"/>
            <w:vAlign w:val="bottom"/>
          </w:tcPr>
          <w:p>
            <w:pPr>
              <w:pStyle w:val="TableContents"/>
              <w:spacing w:before="0" w:after="283"/>
              <w:jc w:val="right"/>
              <w:rPr/>
            </w:pPr>
            <w:r>
              <w:rPr/>
              <w:t>220,411</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7" w:type="dxa"/>
            <w:tcBorders/>
            <w:shd w:fill="auto" w:val="clear"/>
            <w:vAlign w:val="bottom"/>
          </w:tcPr>
          <w:p>
            <w:pPr>
              <w:pStyle w:val="TableContents"/>
              <w:spacing w:before="0" w:after="283"/>
              <w:jc w:val="right"/>
              <w:rPr/>
            </w:pPr>
            <w:r>
              <w:rPr/>
              <w:t>173,731</w:t>
            </w:r>
          </w:p>
        </w:tc>
        <w:tc>
          <w:tcPr>
            <w:tcW w:w="122" w:type="dxa"/>
            <w:tcBorders/>
            <w:shd w:fill="auto" w:val="clear"/>
            <w:vAlign w:val="bottom"/>
          </w:tcPr>
          <w:p>
            <w:pPr>
              <w:pStyle w:val="TableContents"/>
              <w:spacing w:before="0" w:after="283"/>
              <w:rPr/>
            </w:pPr>
            <w:r>
              <w:rPr/>
              <w:t> </w:t>
            </w:r>
          </w:p>
        </w:tc>
      </w:tr>
      <w:tr>
        <w:trPr/>
        <w:tc>
          <w:tcPr>
            <w:tcW w:w="7113"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2634" w:type="dxa"/>
            <w:gridSpan w:val="7"/>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7113" w:type="dxa"/>
            <w:tcBorders/>
            <w:shd w:fill="auto" w:val="clear"/>
            <w:vAlign w:val="bottom"/>
          </w:tcPr>
          <w:p>
            <w:pPr>
              <w:pStyle w:val="TableContents"/>
              <w:spacing w:before="0" w:after="0"/>
              <w:ind w:left="225" w:right="0" w:hanging="225"/>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225" w:right="0" w:hanging="225"/>
              <w:rPr/>
            </w:pPr>
            <w:r>
              <w:rPr/>
              <w:t>Pawn loan balance per ending pawn store</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153</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139</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225" w:right="0" w:hanging="225"/>
              <w:rPr/>
            </w:pPr>
            <w:r>
              <w:rPr/>
              <w:t>Inventory per ending pawn store</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7" w:type="dxa"/>
            <w:tcBorders/>
            <w:shd w:fill="auto" w:val="clear"/>
            <w:vAlign w:val="bottom"/>
          </w:tcPr>
          <w:p>
            <w:pPr>
              <w:pStyle w:val="TableContents"/>
              <w:spacing w:before="0" w:after="283"/>
              <w:jc w:val="right"/>
              <w:rPr/>
            </w:pPr>
            <w:r>
              <w:rPr/>
              <w:t>102</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7" w:type="dxa"/>
            <w:tcBorders/>
            <w:shd w:fill="auto" w:val="clear"/>
            <w:vAlign w:val="bottom"/>
          </w:tcPr>
          <w:p>
            <w:pPr>
              <w:pStyle w:val="TableContents"/>
              <w:spacing w:before="0" w:after="283"/>
              <w:jc w:val="right"/>
              <w:rPr/>
            </w:pPr>
            <w:r>
              <w:rPr/>
              <w:t>109</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225" w:right="0" w:hanging="225"/>
              <w:rPr/>
            </w:pPr>
            <w:r>
              <w:rPr/>
              <w:t>Book value per share</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4.74</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817" w:type="dxa"/>
            <w:tcBorders/>
            <w:shd w:fill="CCEEFF" w:val="clear"/>
            <w:vAlign w:val="bottom"/>
          </w:tcPr>
          <w:p>
            <w:pPr>
              <w:pStyle w:val="TableContents"/>
              <w:spacing w:before="0" w:after="283"/>
              <w:jc w:val="right"/>
              <w:rPr/>
            </w:pPr>
            <w:r>
              <w:rPr/>
              <w:t>3.80</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225" w:right="0" w:hanging="225"/>
              <w:rPr/>
            </w:pPr>
            <w:r>
              <w:rPr/>
              <w:t>Tangible book value per share</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7" w:type="dxa"/>
            <w:tcBorders/>
            <w:shd w:fill="auto" w:val="clear"/>
            <w:vAlign w:val="bottom"/>
          </w:tcPr>
          <w:p>
            <w:pPr>
              <w:pStyle w:val="TableContents"/>
              <w:spacing w:before="0" w:after="283"/>
              <w:jc w:val="right"/>
              <w:rPr/>
            </w:pPr>
            <w:r>
              <w:rPr/>
              <w:t>4.67</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817" w:type="dxa"/>
            <w:tcBorders/>
            <w:shd w:fill="auto" w:val="clear"/>
            <w:vAlign w:val="bottom"/>
          </w:tcPr>
          <w:p>
            <w:pPr>
              <w:pStyle w:val="TableContents"/>
              <w:spacing w:before="0" w:after="283"/>
              <w:jc w:val="right"/>
              <w:rPr/>
            </w:pPr>
            <w:r>
              <w:rPr/>
              <w:t>3.74</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225" w:right="0" w:hanging="225"/>
              <w:rPr/>
            </w:pPr>
            <w:r>
              <w:rPr/>
              <w:t>EZPAWN store count - end of period</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282</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281</w:t>
            </w:r>
          </w:p>
        </w:tc>
        <w:tc>
          <w:tcPr>
            <w:tcW w:w="122" w:type="dxa"/>
            <w:tcBorders/>
            <w:shd w:fill="CCEEFF" w:val="clear"/>
            <w:vAlign w:val="bottom"/>
          </w:tcPr>
          <w:p>
            <w:pPr>
              <w:pStyle w:val="TableContents"/>
              <w:spacing w:before="0" w:after="283"/>
              <w:rPr/>
            </w:pPr>
            <w:r>
              <w:rPr/>
              <w:t> </w:t>
            </w:r>
          </w:p>
        </w:tc>
      </w:tr>
      <w:tr>
        <w:trPr/>
        <w:tc>
          <w:tcPr>
            <w:tcW w:w="7113" w:type="dxa"/>
            <w:tcBorders/>
            <w:shd w:fill="auto" w:val="clear"/>
            <w:vAlign w:val="bottom"/>
          </w:tcPr>
          <w:p>
            <w:pPr>
              <w:pStyle w:val="TableContents"/>
              <w:spacing w:before="0" w:after="0"/>
              <w:ind w:left="225" w:right="0" w:hanging="225"/>
              <w:rPr/>
            </w:pPr>
            <w:r>
              <w:rPr/>
              <w:t>EZMoney signature loan store count - end of period</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369</w:t>
            </w:r>
          </w:p>
        </w:tc>
        <w:tc>
          <w:tcPr>
            <w:tcW w:w="114"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263</w:t>
            </w:r>
          </w:p>
        </w:tc>
        <w:tc>
          <w:tcPr>
            <w:tcW w:w="122" w:type="dxa"/>
            <w:tcBorders/>
            <w:shd w:fill="auto" w:val="clear"/>
            <w:vAlign w:val="bottom"/>
          </w:tcPr>
          <w:p>
            <w:pPr>
              <w:pStyle w:val="TableContents"/>
              <w:spacing w:before="0" w:after="283"/>
              <w:rPr/>
            </w:pPr>
            <w:r>
              <w:rPr/>
              <w:t> </w:t>
            </w:r>
          </w:p>
        </w:tc>
      </w:tr>
      <w:tr>
        <w:trPr/>
        <w:tc>
          <w:tcPr>
            <w:tcW w:w="7113" w:type="dxa"/>
            <w:tcBorders/>
            <w:shd w:fill="CCEEFF" w:val="clear"/>
            <w:vAlign w:val="bottom"/>
          </w:tcPr>
          <w:p>
            <w:pPr>
              <w:pStyle w:val="TableContents"/>
              <w:spacing w:before="0" w:after="0"/>
              <w:ind w:left="225" w:right="0" w:hanging="225"/>
              <w:rPr/>
            </w:pPr>
            <w:r>
              <w:rPr/>
              <w:t>Shares outstanding - end of period</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41,248</w:t>
            </w:r>
          </w:p>
        </w:tc>
        <w:tc>
          <w:tcPr>
            <w:tcW w:w="114"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39,569</w:t>
            </w:r>
          </w:p>
        </w:tc>
        <w:tc>
          <w:tcPr>
            <w:tcW w:w="122" w:type="dxa"/>
            <w:tcBorders/>
            <w:shd w:fill="CCEEFF" w:val="clear"/>
            <w:vAlign w:val="bottom"/>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 CORP, Inc.</w:t>
        <w:br/>
        <w:t>Operating Segment Results (Unaudited)</w:t>
      </w:r>
      <w:r>
        <w:rPr>
          <w:rFonts w:ascii="Times New Roman;Times;serif" w:hAnsi="Times New Roman;Times;serif"/>
          <w:sz w:val="17"/>
        </w:rPr>
        <w:br/>
      </w:r>
      <w:r>
        <w:rPr>
          <w:rFonts w:ascii="Times New Roman;Times;serif" w:hAnsi="Times New Roman;Times;serif"/>
          <w:i/>
          <w:sz w:val="17"/>
        </w:rPr>
        <w:t>(in thousands, except store counts)</w:t>
      </w:r>
      <w:r>
        <w:rPr>
          <w:rFonts w:ascii="Times New Roman;Times;serif" w:hAnsi="Times New Roman;Times;serif"/>
          <w:sz w:val="17"/>
        </w:rPr>
        <w:t xml:space="preserve"> </w:t>
      </w:r>
    </w:p>
    <w:p>
      <w:pPr>
        <w:pStyle w:val="TextBody"/>
        <w:spacing w:before="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4839"/>
        <w:gridCol w:w="373"/>
        <w:gridCol w:w="205"/>
        <w:gridCol w:w="1016"/>
        <w:gridCol w:w="109"/>
        <w:gridCol w:w="373"/>
        <w:gridCol w:w="223"/>
        <w:gridCol w:w="1096"/>
        <w:gridCol w:w="109"/>
        <w:gridCol w:w="373"/>
        <w:gridCol w:w="232"/>
        <w:gridCol w:w="1140"/>
        <w:gridCol w:w="117"/>
      </w:tblGrid>
      <w:tr>
        <w:trPr/>
        <w:tc>
          <w:tcPr>
            <w:tcW w:w="483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jc w:val="center"/>
              <w:rPr>
                <w:b/>
              </w:rPr>
            </w:pPr>
            <w:r>
              <w:rPr>
                <w:b/>
              </w:rPr>
              <w:t>EZPAWN</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319" w:type="dxa"/>
            <w:gridSpan w:val="2"/>
            <w:tcBorders/>
            <w:shd w:fill="auto" w:val="clear"/>
            <w:vAlign w:val="bottom"/>
          </w:tcPr>
          <w:p>
            <w:pPr>
              <w:pStyle w:val="TableContents"/>
              <w:spacing w:before="0" w:after="283"/>
              <w:jc w:val="center"/>
              <w:rPr>
                <w:b/>
              </w:rPr>
            </w:pPr>
            <w:r>
              <w:rPr>
                <w:b/>
              </w:rPr>
              <w:t>EZMONEY</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372"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jc w:val="center"/>
              <w:rPr>
                <w:b/>
              </w:rPr>
            </w:pPr>
            <w:r>
              <w:rPr>
                <w:b/>
              </w:rPr>
              <w:t>Operations</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319" w:type="dxa"/>
            <w:gridSpan w:val="2"/>
            <w:tcBorders/>
            <w:shd w:fill="auto" w:val="clear"/>
            <w:vAlign w:val="bottom"/>
          </w:tcPr>
          <w:p>
            <w:pPr>
              <w:pStyle w:val="TableContents"/>
              <w:spacing w:before="0" w:after="283"/>
              <w:jc w:val="center"/>
              <w:rPr>
                <w:b/>
              </w:rPr>
            </w:pPr>
            <w:r>
              <w:rPr>
                <w:b/>
              </w:rPr>
              <w:t>Operations</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372" w:type="dxa"/>
            <w:gridSpan w:val="2"/>
            <w:tcBorders/>
            <w:shd w:fill="auto" w:val="clear"/>
            <w:vAlign w:val="bottom"/>
          </w:tcPr>
          <w:p>
            <w:pPr>
              <w:pStyle w:val="TableContents"/>
              <w:spacing w:before="0" w:after="283"/>
              <w:jc w:val="center"/>
              <w:rPr>
                <w:b/>
              </w:rPr>
            </w:pPr>
            <w:r>
              <w:rPr>
                <w:b/>
              </w:rPr>
              <w:t>Consolidated</w:t>
            </w:r>
          </w:p>
        </w:tc>
        <w:tc>
          <w:tcPr>
            <w:tcW w:w="117" w:type="dxa"/>
            <w:tcBorders/>
            <w:shd w:fill="auto" w:val="clear"/>
            <w:vAlign w:val="bottom"/>
          </w:tcPr>
          <w:p>
            <w:pPr>
              <w:pStyle w:val="TableContents"/>
              <w:spacing w:before="0" w:after="283"/>
              <w:rPr/>
            </w:pPr>
            <w:r>
              <w:rPr/>
              <w:t> </w:t>
            </w:r>
          </w:p>
        </w:tc>
      </w:tr>
      <w:tr>
        <w:trPr/>
        <w:tc>
          <w:tcPr>
            <w:tcW w:w="48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993"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839" w:type="dxa"/>
            <w:tcBorders/>
            <w:shd w:fill="CCEEFF" w:val="clear"/>
            <w:vAlign w:val="bottom"/>
          </w:tcPr>
          <w:p>
            <w:pPr>
              <w:pStyle w:val="TableContents"/>
              <w:spacing w:before="0" w:after="0"/>
              <w:ind w:left="225" w:right="0" w:hanging="225"/>
              <w:rPr>
                <w:b/>
              </w:rPr>
            </w:pPr>
            <w:r>
              <w:rPr>
                <w:b/>
              </w:rPr>
              <w:t>Three months ended March 31, 2007:</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450" w:right="0" w:hanging="225"/>
              <w:rPr/>
            </w:pPr>
            <w:r>
              <w:rPr/>
              <w:t>Revenues:</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675" w:right="0" w:hanging="225"/>
              <w:rPr/>
            </w:pPr>
            <w:r>
              <w:rPr/>
              <w:t>Sales</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w:t>
            </w:r>
          </w:p>
        </w:tc>
        <w:tc>
          <w:tcPr>
            <w:tcW w:w="1016" w:type="dxa"/>
            <w:tcBorders/>
            <w:shd w:fill="CCEEFF" w:val="clear"/>
            <w:vAlign w:val="bottom"/>
          </w:tcPr>
          <w:p>
            <w:pPr>
              <w:pStyle w:val="TableContents"/>
              <w:spacing w:before="0" w:after="283"/>
              <w:jc w:val="right"/>
              <w:rPr/>
            </w:pPr>
            <w:r>
              <w:rPr/>
              <w:t>50,032</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096"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w:t>
            </w:r>
          </w:p>
        </w:tc>
        <w:tc>
          <w:tcPr>
            <w:tcW w:w="1140" w:type="dxa"/>
            <w:tcBorders/>
            <w:shd w:fill="CCEEFF" w:val="clear"/>
            <w:vAlign w:val="bottom"/>
          </w:tcPr>
          <w:p>
            <w:pPr>
              <w:pStyle w:val="TableContents"/>
              <w:spacing w:before="0" w:after="283"/>
              <w:jc w:val="right"/>
              <w:rPr/>
            </w:pPr>
            <w:r>
              <w:rPr/>
              <w:t>50,032</w:t>
            </w:r>
          </w:p>
        </w:tc>
        <w:tc>
          <w:tcPr>
            <w:tcW w:w="117"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675" w:right="0" w:hanging="225"/>
              <w:rPr/>
            </w:pPr>
            <w:r>
              <w:rPr/>
              <w:t>Pawn service charges</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jc w:val="right"/>
              <w:rPr/>
            </w:pPr>
            <w:r>
              <w:rPr/>
              <w:t>16,556</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16,556</w:t>
            </w:r>
          </w:p>
        </w:tc>
        <w:tc>
          <w:tcPr>
            <w:tcW w:w="117"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675" w:right="0" w:hanging="225"/>
              <w:rPr/>
            </w:pPr>
            <w:r>
              <w:rPr/>
              <w:t>Credit service fees</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jc w:val="right"/>
              <w:rPr/>
            </w:pPr>
            <w:r>
              <w:rPr/>
              <w:t>501</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19,540</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20,041</w:t>
            </w:r>
          </w:p>
        </w:tc>
        <w:tc>
          <w:tcPr>
            <w:tcW w:w="117"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675" w:right="0" w:hanging="225"/>
              <w:rPr/>
            </w:pPr>
            <w:r>
              <w:rPr/>
              <w:t>Payday loan fees</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jc w:val="right"/>
              <w:rPr/>
            </w:pPr>
            <w:r>
              <w:rPr/>
              <w:t>313</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2,359</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2,672</w:t>
            </w:r>
          </w:p>
        </w:tc>
        <w:tc>
          <w:tcPr>
            <w:tcW w:w="117"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675" w:right="0" w:hanging="225"/>
              <w:rPr/>
            </w:pPr>
            <w:r>
              <w:rPr/>
              <w:t>Other</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jc w:val="right"/>
              <w:rPr/>
            </w:pPr>
            <w:r>
              <w:rPr/>
              <w:t>342</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342</w:t>
            </w:r>
          </w:p>
        </w:tc>
        <w:tc>
          <w:tcPr>
            <w:tcW w:w="117" w:type="dxa"/>
            <w:tcBorders/>
            <w:shd w:fill="CCEEFF" w:val="clear"/>
            <w:vAlign w:val="bottom"/>
          </w:tcPr>
          <w:p>
            <w:pPr>
              <w:pStyle w:val="TableContents"/>
              <w:spacing w:before="0" w:after="283"/>
              <w:rPr/>
            </w:pPr>
            <w:r>
              <w:rPr/>
              <w:t> </w:t>
            </w:r>
          </w:p>
        </w:tc>
      </w:tr>
      <w:tr>
        <w:trPr/>
        <w:tc>
          <w:tcPr>
            <w:tcW w:w="48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993"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839" w:type="dxa"/>
            <w:tcBorders/>
            <w:shd w:fill="auto" w:val="clear"/>
            <w:vAlign w:val="bottom"/>
          </w:tcPr>
          <w:p>
            <w:pPr>
              <w:pStyle w:val="TableContents"/>
              <w:spacing w:before="0" w:after="0"/>
              <w:ind w:left="900" w:right="0" w:hanging="225"/>
              <w:rPr/>
            </w:pPr>
            <w:r>
              <w:rPr/>
              <w:t>Total revenues</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jc w:val="right"/>
              <w:rPr/>
            </w:pPr>
            <w:r>
              <w:rPr/>
              <w:t>67,744</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21,899</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89,643</w:t>
            </w:r>
          </w:p>
        </w:tc>
        <w:tc>
          <w:tcPr>
            <w:tcW w:w="117" w:type="dxa"/>
            <w:tcBorders/>
            <w:shd w:fill="auto"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225" w:right="0" w:hanging="225"/>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450" w:right="0" w:hanging="225"/>
              <w:rPr/>
            </w:pPr>
            <w:r>
              <w:rPr/>
              <w:t>Cost of goods sold</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jc w:val="right"/>
              <w:rPr/>
            </w:pPr>
            <w:r>
              <w:rPr/>
              <w:t>30,374</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30,374</w:t>
            </w:r>
          </w:p>
        </w:tc>
        <w:tc>
          <w:tcPr>
            <w:tcW w:w="117" w:type="dxa"/>
            <w:tcBorders/>
            <w:shd w:fill="CCEEFF" w:val="clear"/>
            <w:vAlign w:val="bottom"/>
          </w:tcPr>
          <w:p>
            <w:pPr>
              <w:pStyle w:val="TableContents"/>
              <w:spacing w:before="0" w:after="283"/>
              <w:rPr/>
            </w:pPr>
            <w:r>
              <w:rPr/>
              <w:t> </w:t>
            </w:r>
          </w:p>
        </w:tc>
      </w:tr>
      <w:tr>
        <w:trPr/>
        <w:tc>
          <w:tcPr>
            <w:tcW w:w="48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993"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839" w:type="dxa"/>
            <w:tcBorders/>
            <w:shd w:fill="auto" w:val="clear"/>
            <w:vAlign w:val="bottom"/>
          </w:tcPr>
          <w:p>
            <w:pPr>
              <w:pStyle w:val="TableContents"/>
              <w:spacing w:before="0" w:after="0"/>
              <w:ind w:left="900" w:right="0" w:hanging="225"/>
              <w:rPr/>
            </w:pPr>
            <w:r>
              <w:rPr/>
              <w:t>Net revenues</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jc w:val="right"/>
              <w:rPr/>
            </w:pPr>
            <w:r>
              <w:rPr/>
              <w:t>37,370</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21,899</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59,269</w:t>
            </w:r>
          </w:p>
        </w:tc>
        <w:tc>
          <w:tcPr>
            <w:tcW w:w="117" w:type="dxa"/>
            <w:tcBorders/>
            <w:shd w:fill="auto"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225" w:right="0" w:hanging="225"/>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450" w:right="0" w:hanging="225"/>
              <w:rPr/>
            </w:pPr>
            <w:r>
              <w:rPr/>
              <w:t>Operating expenses:</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675" w:right="0" w:hanging="225"/>
              <w:rPr/>
            </w:pPr>
            <w:r>
              <w:rPr/>
              <w:t>Operations expense</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jc w:val="right"/>
              <w:rPr/>
            </w:pPr>
            <w:r>
              <w:rPr/>
              <w:t>21,569</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9,535</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31,104</w:t>
            </w:r>
          </w:p>
        </w:tc>
        <w:tc>
          <w:tcPr>
            <w:tcW w:w="117"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675" w:right="0" w:hanging="225"/>
              <w:rPr/>
            </w:pPr>
            <w:r>
              <w:rPr/>
              <w:t>Credit service bad debt</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jc w:val="right"/>
              <w:rPr/>
            </w:pPr>
            <w:r>
              <w:rPr/>
              <w:t>91</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2,311</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2,402</w:t>
            </w:r>
          </w:p>
        </w:tc>
        <w:tc>
          <w:tcPr>
            <w:tcW w:w="117"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675" w:right="0" w:hanging="225"/>
              <w:rPr/>
            </w:pPr>
            <w:r>
              <w:rPr/>
              <w:t>Payday loan bad debt</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jc w:val="right"/>
              <w:rPr/>
            </w:pPr>
            <w:r>
              <w:rPr/>
              <w:t>62</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452</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514</w:t>
            </w:r>
          </w:p>
        </w:tc>
        <w:tc>
          <w:tcPr>
            <w:tcW w:w="117" w:type="dxa"/>
            <w:tcBorders/>
            <w:shd w:fill="auto" w:val="clear"/>
            <w:vAlign w:val="bottom"/>
          </w:tcPr>
          <w:p>
            <w:pPr>
              <w:pStyle w:val="TableContents"/>
              <w:spacing w:before="0" w:after="283"/>
              <w:rPr/>
            </w:pPr>
            <w:r>
              <w:rPr/>
              <w:t> </w:t>
            </w:r>
          </w:p>
        </w:tc>
      </w:tr>
      <w:tr>
        <w:trPr/>
        <w:tc>
          <w:tcPr>
            <w:tcW w:w="48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993"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839" w:type="dxa"/>
            <w:tcBorders/>
            <w:shd w:fill="CCEEFF" w:val="clear"/>
            <w:vAlign w:val="bottom"/>
          </w:tcPr>
          <w:p>
            <w:pPr>
              <w:pStyle w:val="TableContents"/>
              <w:spacing w:before="0" w:after="0"/>
              <w:ind w:left="900" w:right="0" w:hanging="225"/>
              <w:rPr/>
            </w:pPr>
            <w:r>
              <w:rPr/>
              <w:t>Total direct expenses</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jc w:val="right"/>
              <w:rPr/>
            </w:pPr>
            <w:r>
              <w:rPr/>
              <w:t>21,722</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12,298</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34,020</w:t>
            </w:r>
          </w:p>
        </w:tc>
        <w:tc>
          <w:tcPr>
            <w:tcW w:w="117" w:type="dxa"/>
            <w:tcBorders/>
            <w:shd w:fill="CCEEFF" w:val="clear"/>
            <w:vAlign w:val="bottom"/>
          </w:tcPr>
          <w:p>
            <w:pPr>
              <w:pStyle w:val="TableContents"/>
              <w:spacing w:before="0" w:after="283"/>
              <w:rPr/>
            </w:pPr>
            <w:r>
              <w:rPr/>
              <w:t> </w:t>
            </w:r>
          </w:p>
        </w:tc>
      </w:tr>
      <w:tr>
        <w:trPr/>
        <w:tc>
          <w:tcPr>
            <w:tcW w:w="48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993"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839" w:type="dxa"/>
            <w:tcBorders/>
            <w:shd w:fill="auto" w:val="clear"/>
            <w:vAlign w:val="bottom"/>
          </w:tcPr>
          <w:p>
            <w:pPr>
              <w:pStyle w:val="TableContents"/>
              <w:spacing w:before="0" w:after="0"/>
              <w:ind w:left="900" w:right="0" w:hanging="225"/>
              <w:rPr/>
            </w:pPr>
            <w:r>
              <w:rPr/>
              <w:t>Store operating income</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1016" w:type="dxa"/>
            <w:tcBorders/>
            <w:shd w:fill="auto" w:val="clear"/>
            <w:vAlign w:val="bottom"/>
          </w:tcPr>
          <w:p>
            <w:pPr>
              <w:pStyle w:val="TableContents"/>
              <w:spacing w:before="0" w:after="283"/>
              <w:jc w:val="right"/>
              <w:rPr/>
            </w:pPr>
            <w:r>
              <w:rPr/>
              <w:t>15,648</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096" w:type="dxa"/>
            <w:tcBorders/>
            <w:shd w:fill="auto" w:val="clear"/>
            <w:vAlign w:val="bottom"/>
          </w:tcPr>
          <w:p>
            <w:pPr>
              <w:pStyle w:val="TableContents"/>
              <w:spacing w:before="0" w:after="283"/>
              <w:jc w:val="right"/>
              <w:rPr/>
            </w:pPr>
            <w:r>
              <w:rPr/>
              <w:t>9,601</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left"/>
              <w:rPr/>
            </w:pPr>
            <w:r>
              <w:rPr/>
              <w:t>$</w:t>
            </w:r>
          </w:p>
        </w:tc>
        <w:tc>
          <w:tcPr>
            <w:tcW w:w="1140" w:type="dxa"/>
            <w:tcBorders/>
            <w:shd w:fill="auto" w:val="clear"/>
            <w:vAlign w:val="bottom"/>
          </w:tcPr>
          <w:p>
            <w:pPr>
              <w:pStyle w:val="TableContents"/>
              <w:spacing w:before="0" w:after="283"/>
              <w:jc w:val="right"/>
              <w:rPr/>
            </w:pPr>
            <w:r>
              <w:rPr/>
              <w:t>25,249</w:t>
            </w:r>
          </w:p>
        </w:tc>
        <w:tc>
          <w:tcPr>
            <w:tcW w:w="117" w:type="dxa"/>
            <w:tcBorders/>
            <w:shd w:fill="auto" w:val="clear"/>
            <w:vAlign w:val="bottom"/>
          </w:tcPr>
          <w:p>
            <w:pPr>
              <w:pStyle w:val="TableContents"/>
              <w:spacing w:before="0" w:after="283"/>
              <w:rPr/>
            </w:pPr>
            <w:r>
              <w:rPr/>
              <w:t> </w:t>
            </w:r>
          </w:p>
        </w:tc>
      </w:tr>
      <w:tr>
        <w:trPr/>
        <w:tc>
          <w:tcPr>
            <w:tcW w:w="48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993"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4839" w:type="dxa"/>
            <w:tcBorders/>
            <w:shd w:fill="auto" w:val="clear"/>
            <w:vAlign w:val="bottom"/>
          </w:tcPr>
          <w:p>
            <w:pPr>
              <w:pStyle w:val="TableContents"/>
              <w:spacing w:before="0" w:after="0"/>
              <w:ind w:left="225" w:right="0" w:hanging="225"/>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450" w:right="0" w:hanging="225"/>
              <w:rPr/>
            </w:pPr>
            <w:r>
              <w:rPr/>
              <w:t>EZPAWN store count  end of period</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jc w:val="right"/>
              <w:rPr/>
            </w:pPr>
            <w:r>
              <w:rPr/>
              <w:t>282</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282</w:t>
            </w:r>
          </w:p>
        </w:tc>
        <w:tc>
          <w:tcPr>
            <w:tcW w:w="117"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450" w:right="0" w:hanging="225"/>
              <w:rPr/>
            </w:pPr>
            <w:r>
              <w:rPr/>
              <w:t>EZMoney signature loan store count  end of period</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jc w:val="right"/>
              <w:rPr/>
            </w:pPr>
            <w:r>
              <w:rPr/>
              <w:t>7</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362</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369</w:t>
            </w:r>
          </w:p>
        </w:tc>
        <w:tc>
          <w:tcPr>
            <w:tcW w:w="117" w:type="dxa"/>
            <w:tcBorders/>
            <w:shd w:fill="auto"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225" w:right="0" w:hanging="225"/>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225" w:right="0" w:hanging="225"/>
              <w:rPr>
                <w:b/>
              </w:rPr>
            </w:pPr>
            <w:r>
              <w:rPr>
                <w:b/>
              </w:rPr>
              <w:t>Three months ended March 31, 2006:</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450" w:right="0" w:hanging="225"/>
              <w:rPr/>
            </w:pPr>
            <w:r>
              <w:rPr/>
              <w:t>Revenues:</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675" w:right="0" w:hanging="225"/>
              <w:rPr/>
            </w:pPr>
            <w:r>
              <w:rPr/>
              <w:t>Sales</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w:t>
            </w:r>
          </w:p>
        </w:tc>
        <w:tc>
          <w:tcPr>
            <w:tcW w:w="1016" w:type="dxa"/>
            <w:tcBorders/>
            <w:shd w:fill="CCEEFF" w:val="clear"/>
            <w:vAlign w:val="bottom"/>
          </w:tcPr>
          <w:p>
            <w:pPr>
              <w:pStyle w:val="TableContents"/>
              <w:spacing w:before="0" w:after="283"/>
              <w:jc w:val="right"/>
              <w:rPr/>
            </w:pPr>
            <w:r>
              <w:rPr/>
              <w:t>47,605</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096"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w:t>
            </w:r>
          </w:p>
        </w:tc>
        <w:tc>
          <w:tcPr>
            <w:tcW w:w="1140" w:type="dxa"/>
            <w:tcBorders/>
            <w:shd w:fill="CCEEFF" w:val="clear"/>
            <w:vAlign w:val="bottom"/>
          </w:tcPr>
          <w:p>
            <w:pPr>
              <w:pStyle w:val="TableContents"/>
              <w:spacing w:before="0" w:after="283"/>
              <w:jc w:val="right"/>
              <w:rPr/>
            </w:pPr>
            <w:r>
              <w:rPr/>
              <w:t>47,605</w:t>
            </w:r>
          </w:p>
        </w:tc>
        <w:tc>
          <w:tcPr>
            <w:tcW w:w="117"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675" w:right="0" w:hanging="225"/>
              <w:rPr/>
            </w:pPr>
            <w:r>
              <w:rPr/>
              <w:t>Pawn service charges</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jc w:val="right"/>
              <w:rPr/>
            </w:pPr>
            <w:r>
              <w:rPr/>
              <w:t>15,453</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15,453</w:t>
            </w:r>
          </w:p>
        </w:tc>
        <w:tc>
          <w:tcPr>
            <w:tcW w:w="117"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675" w:right="0" w:hanging="225"/>
              <w:rPr/>
            </w:pPr>
            <w:r>
              <w:rPr/>
              <w:t>Credit service fees</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jc w:val="right"/>
              <w:rPr/>
            </w:pPr>
            <w:r>
              <w:rPr/>
              <w:t>430</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14,021</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14,451</w:t>
            </w:r>
          </w:p>
        </w:tc>
        <w:tc>
          <w:tcPr>
            <w:tcW w:w="117"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675" w:right="0" w:hanging="225"/>
              <w:rPr/>
            </w:pPr>
            <w:r>
              <w:rPr/>
              <w:t>Payday loan fees</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jc w:val="right"/>
              <w:rPr/>
            </w:pPr>
            <w:r>
              <w:rPr/>
              <w:t>308</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795</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1,103</w:t>
            </w:r>
          </w:p>
        </w:tc>
        <w:tc>
          <w:tcPr>
            <w:tcW w:w="117"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675" w:right="0" w:hanging="225"/>
              <w:rPr/>
            </w:pPr>
            <w:r>
              <w:rPr/>
              <w:t>Other</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jc w:val="right"/>
              <w:rPr/>
            </w:pPr>
            <w:r>
              <w:rPr/>
              <w:t>329</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329</w:t>
            </w:r>
          </w:p>
        </w:tc>
        <w:tc>
          <w:tcPr>
            <w:tcW w:w="117" w:type="dxa"/>
            <w:tcBorders/>
            <w:shd w:fill="CCEEFF" w:val="clear"/>
            <w:vAlign w:val="bottom"/>
          </w:tcPr>
          <w:p>
            <w:pPr>
              <w:pStyle w:val="TableContents"/>
              <w:spacing w:before="0" w:after="283"/>
              <w:rPr/>
            </w:pPr>
            <w:r>
              <w:rPr/>
              <w:t> </w:t>
            </w:r>
          </w:p>
        </w:tc>
      </w:tr>
      <w:tr>
        <w:trPr/>
        <w:tc>
          <w:tcPr>
            <w:tcW w:w="48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993"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839" w:type="dxa"/>
            <w:tcBorders/>
            <w:shd w:fill="auto" w:val="clear"/>
            <w:vAlign w:val="bottom"/>
          </w:tcPr>
          <w:p>
            <w:pPr>
              <w:pStyle w:val="TableContents"/>
              <w:spacing w:before="0" w:after="0"/>
              <w:ind w:left="900" w:right="0" w:hanging="225"/>
              <w:rPr/>
            </w:pPr>
            <w:r>
              <w:rPr/>
              <w:t>Total revenues</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jc w:val="right"/>
              <w:rPr/>
            </w:pPr>
            <w:r>
              <w:rPr/>
              <w:t>64,125</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14,816</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78,941</w:t>
            </w:r>
          </w:p>
        </w:tc>
        <w:tc>
          <w:tcPr>
            <w:tcW w:w="117" w:type="dxa"/>
            <w:tcBorders/>
            <w:shd w:fill="auto"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225" w:right="0" w:hanging="225"/>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450" w:right="0" w:hanging="225"/>
              <w:rPr/>
            </w:pPr>
            <w:r>
              <w:rPr/>
              <w:t>Cost of goods sold</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jc w:val="right"/>
              <w:rPr/>
            </w:pPr>
            <w:r>
              <w:rPr/>
              <w:t>28,337</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28,337</w:t>
            </w:r>
          </w:p>
        </w:tc>
        <w:tc>
          <w:tcPr>
            <w:tcW w:w="117" w:type="dxa"/>
            <w:tcBorders/>
            <w:shd w:fill="CCEEFF" w:val="clear"/>
            <w:vAlign w:val="bottom"/>
          </w:tcPr>
          <w:p>
            <w:pPr>
              <w:pStyle w:val="TableContents"/>
              <w:spacing w:before="0" w:after="283"/>
              <w:rPr/>
            </w:pPr>
            <w:r>
              <w:rPr/>
              <w:t> </w:t>
            </w:r>
          </w:p>
        </w:tc>
      </w:tr>
      <w:tr>
        <w:trPr/>
        <w:tc>
          <w:tcPr>
            <w:tcW w:w="48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993"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839" w:type="dxa"/>
            <w:tcBorders/>
            <w:shd w:fill="auto" w:val="clear"/>
            <w:vAlign w:val="bottom"/>
          </w:tcPr>
          <w:p>
            <w:pPr>
              <w:pStyle w:val="TableContents"/>
              <w:spacing w:before="0" w:after="0"/>
              <w:ind w:left="900" w:right="0" w:hanging="225"/>
              <w:rPr/>
            </w:pPr>
            <w:r>
              <w:rPr/>
              <w:t>Net revenues</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jc w:val="right"/>
              <w:rPr/>
            </w:pPr>
            <w:r>
              <w:rPr/>
              <w:t>35,788</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14,816</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50,604</w:t>
            </w:r>
          </w:p>
        </w:tc>
        <w:tc>
          <w:tcPr>
            <w:tcW w:w="117" w:type="dxa"/>
            <w:tcBorders/>
            <w:shd w:fill="auto"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225" w:right="0" w:hanging="225"/>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450" w:right="0" w:hanging="225"/>
              <w:rPr/>
            </w:pPr>
            <w:r>
              <w:rPr/>
              <w:t>Operating expenses:</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675" w:right="0" w:hanging="225"/>
              <w:rPr/>
            </w:pPr>
            <w:r>
              <w:rPr/>
              <w:t>Operations expense</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jc w:val="right"/>
              <w:rPr/>
            </w:pPr>
            <w:r>
              <w:rPr/>
              <w:t>21,938</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6,138</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28,076</w:t>
            </w:r>
          </w:p>
        </w:tc>
        <w:tc>
          <w:tcPr>
            <w:tcW w:w="117"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675" w:right="0" w:hanging="225"/>
              <w:rPr/>
            </w:pPr>
            <w:r>
              <w:rPr/>
              <w:t>Credit service bad debt</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jc w:val="right"/>
              <w:rPr/>
            </w:pPr>
            <w:r>
              <w:rPr/>
              <w:t>123</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1,750</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1,873</w:t>
            </w:r>
          </w:p>
        </w:tc>
        <w:tc>
          <w:tcPr>
            <w:tcW w:w="117"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675" w:right="0" w:hanging="225"/>
              <w:rPr/>
            </w:pPr>
            <w:r>
              <w:rPr/>
              <w:t>Payday loan bad debt</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jc w:val="right"/>
              <w:rPr/>
            </w:pPr>
            <w:r>
              <w:rPr/>
              <w:t>57</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227</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284</w:t>
            </w:r>
          </w:p>
        </w:tc>
        <w:tc>
          <w:tcPr>
            <w:tcW w:w="117" w:type="dxa"/>
            <w:tcBorders/>
            <w:shd w:fill="auto" w:val="clear"/>
            <w:vAlign w:val="bottom"/>
          </w:tcPr>
          <w:p>
            <w:pPr>
              <w:pStyle w:val="TableContents"/>
              <w:spacing w:before="0" w:after="283"/>
              <w:rPr/>
            </w:pPr>
            <w:r>
              <w:rPr/>
              <w:t> </w:t>
            </w:r>
          </w:p>
        </w:tc>
      </w:tr>
      <w:tr>
        <w:trPr/>
        <w:tc>
          <w:tcPr>
            <w:tcW w:w="48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993"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839" w:type="dxa"/>
            <w:tcBorders/>
            <w:shd w:fill="CCEEFF" w:val="clear"/>
            <w:vAlign w:val="bottom"/>
          </w:tcPr>
          <w:p>
            <w:pPr>
              <w:pStyle w:val="TableContents"/>
              <w:spacing w:before="0" w:after="0"/>
              <w:ind w:left="900" w:right="0" w:hanging="225"/>
              <w:rPr/>
            </w:pPr>
            <w:r>
              <w:rPr/>
              <w:t>Total direct expenses</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jc w:val="right"/>
              <w:rPr/>
            </w:pPr>
            <w:r>
              <w:rPr/>
              <w:t>22,118</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8,115</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30,233</w:t>
            </w:r>
          </w:p>
        </w:tc>
        <w:tc>
          <w:tcPr>
            <w:tcW w:w="117" w:type="dxa"/>
            <w:tcBorders/>
            <w:shd w:fill="CCEEFF" w:val="clear"/>
            <w:vAlign w:val="bottom"/>
          </w:tcPr>
          <w:p>
            <w:pPr>
              <w:pStyle w:val="TableContents"/>
              <w:spacing w:before="0" w:after="283"/>
              <w:rPr/>
            </w:pPr>
            <w:r>
              <w:rPr/>
              <w:t> </w:t>
            </w:r>
          </w:p>
        </w:tc>
      </w:tr>
      <w:tr>
        <w:trPr/>
        <w:tc>
          <w:tcPr>
            <w:tcW w:w="48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993"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839" w:type="dxa"/>
            <w:tcBorders/>
            <w:shd w:fill="auto" w:val="clear"/>
            <w:vAlign w:val="bottom"/>
          </w:tcPr>
          <w:p>
            <w:pPr>
              <w:pStyle w:val="TableContents"/>
              <w:spacing w:before="0" w:after="0"/>
              <w:ind w:left="900" w:right="0" w:hanging="225"/>
              <w:rPr/>
            </w:pPr>
            <w:r>
              <w:rPr/>
              <w:t>Store operating income</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1016" w:type="dxa"/>
            <w:tcBorders/>
            <w:shd w:fill="auto" w:val="clear"/>
            <w:vAlign w:val="bottom"/>
          </w:tcPr>
          <w:p>
            <w:pPr>
              <w:pStyle w:val="TableContents"/>
              <w:spacing w:before="0" w:after="283"/>
              <w:jc w:val="right"/>
              <w:rPr/>
            </w:pPr>
            <w:r>
              <w:rPr/>
              <w:t>13,670</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096" w:type="dxa"/>
            <w:tcBorders/>
            <w:shd w:fill="auto" w:val="clear"/>
            <w:vAlign w:val="bottom"/>
          </w:tcPr>
          <w:p>
            <w:pPr>
              <w:pStyle w:val="TableContents"/>
              <w:spacing w:before="0" w:after="283"/>
              <w:jc w:val="right"/>
              <w:rPr/>
            </w:pPr>
            <w:r>
              <w:rPr/>
              <w:t>6,701</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left"/>
              <w:rPr/>
            </w:pPr>
            <w:r>
              <w:rPr/>
              <w:t>$</w:t>
            </w:r>
          </w:p>
        </w:tc>
        <w:tc>
          <w:tcPr>
            <w:tcW w:w="1140" w:type="dxa"/>
            <w:tcBorders/>
            <w:shd w:fill="auto" w:val="clear"/>
            <w:vAlign w:val="bottom"/>
          </w:tcPr>
          <w:p>
            <w:pPr>
              <w:pStyle w:val="TableContents"/>
              <w:spacing w:before="0" w:after="283"/>
              <w:jc w:val="right"/>
              <w:rPr/>
            </w:pPr>
            <w:r>
              <w:rPr/>
              <w:t>20,371</w:t>
            </w:r>
          </w:p>
        </w:tc>
        <w:tc>
          <w:tcPr>
            <w:tcW w:w="117" w:type="dxa"/>
            <w:tcBorders/>
            <w:shd w:fill="auto" w:val="clear"/>
            <w:vAlign w:val="bottom"/>
          </w:tcPr>
          <w:p>
            <w:pPr>
              <w:pStyle w:val="TableContents"/>
              <w:spacing w:before="0" w:after="283"/>
              <w:rPr/>
            </w:pPr>
            <w:r>
              <w:rPr/>
              <w:t> </w:t>
            </w:r>
          </w:p>
        </w:tc>
      </w:tr>
      <w:tr>
        <w:trPr/>
        <w:tc>
          <w:tcPr>
            <w:tcW w:w="48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993"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4839" w:type="dxa"/>
            <w:tcBorders/>
            <w:shd w:fill="auto" w:val="clear"/>
            <w:vAlign w:val="bottom"/>
          </w:tcPr>
          <w:p>
            <w:pPr>
              <w:pStyle w:val="TableContents"/>
              <w:spacing w:before="0" w:after="0"/>
              <w:ind w:left="225" w:right="0" w:hanging="225"/>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450" w:right="0" w:hanging="225"/>
              <w:rPr/>
            </w:pPr>
            <w:r>
              <w:rPr/>
              <w:t>EZPAWN store count  end of period</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jc w:val="right"/>
              <w:rPr/>
            </w:pPr>
            <w:r>
              <w:rPr/>
              <w:t>281</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281</w:t>
            </w:r>
          </w:p>
        </w:tc>
        <w:tc>
          <w:tcPr>
            <w:tcW w:w="117"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450" w:right="0" w:hanging="225"/>
              <w:rPr/>
            </w:pPr>
            <w:r>
              <w:rPr/>
              <w:t>EZMoney signature loan store count  end of period</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jc w:val="right"/>
              <w:rPr/>
            </w:pPr>
            <w:r>
              <w:rPr/>
              <w:t>7</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256</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263</w:t>
            </w:r>
          </w:p>
        </w:tc>
        <w:tc>
          <w:tcPr>
            <w:tcW w:w="117" w:type="dxa"/>
            <w:tcBorders/>
            <w:shd w:fill="auto" w:val="clear"/>
            <w:vAlign w:val="bottom"/>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 CORP, Inc.</w:t>
        <w:br/>
        <w:t>Operating Segment Results (Unaudited)</w:t>
      </w:r>
      <w:r>
        <w:rPr>
          <w:rFonts w:ascii="Times New Roman;Times;serif" w:hAnsi="Times New Roman;Times;serif"/>
          <w:sz w:val="17"/>
        </w:rPr>
        <w:br/>
      </w:r>
      <w:r>
        <w:rPr>
          <w:rFonts w:ascii="Times New Roman;Times;serif" w:hAnsi="Times New Roman;Times;serif"/>
          <w:i/>
          <w:sz w:val="17"/>
        </w:rPr>
        <w:t>(in thousands, except store counts)</w:t>
      </w:r>
      <w:r>
        <w:rPr>
          <w:rFonts w:ascii="Times New Roman;Times;serif" w:hAnsi="Times New Roman;Times;serif"/>
          <w:sz w:val="17"/>
        </w:rPr>
        <w:t xml:space="preserve"> </w:t>
      </w:r>
    </w:p>
    <w:p>
      <w:pPr>
        <w:pStyle w:val="TextBody"/>
        <w:spacing w:before="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4839"/>
        <w:gridCol w:w="373"/>
        <w:gridCol w:w="187"/>
        <w:gridCol w:w="1034"/>
        <w:gridCol w:w="109"/>
        <w:gridCol w:w="373"/>
        <w:gridCol w:w="223"/>
        <w:gridCol w:w="1096"/>
        <w:gridCol w:w="109"/>
        <w:gridCol w:w="373"/>
        <w:gridCol w:w="211"/>
        <w:gridCol w:w="1162"/>
        <w:gridCol w:w="116"/>
      </w:tblGrid>
      <w:tr>
        <w:trPr/>
        <w:tc>
          <w:tcPr>
            <w:tcW w:w="483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jc w:val="center"/>
              <w:rPr>
                <w:b/>
              </w:rPr>
            </w:pPr>
            <w:r>
              <w:rPr>
                <w:b/>
              </w:rPr>
              <w:t>EZPAWN</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319" w:type="dxa"/>
            <w:gridSpan w:val="2"/>
            <w:tcBorders/>
            <w:shd w:fill="auto" w:val="clear"/>
            <w:vAlign w:val="bottom"/>
          </w:tcPr>
          <w:p>
            <w:pPr>
              <w:pStyle w:val="TableContents"/>
              <w:spacing w:before="0" w:after="283"/>
              <w:jc w:val="center"/>
              <w:rPr>
                <w:b/>
              </w:rPr>
            </w:pPr>
            <w:r>
              <w:rPr>
                <w:b/>
              </w:rPr>
              <w:t>EZMONEY</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373"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jc w:val="center"/>
              <w:rPr>
                <w:b/>
              </w:rPr>
            </w:pPr>
            <w:r>
              <w:rPr>
                <w:b/>
              </w:rPr>
              <w:t>Operations</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319" w:type="dxa"/>
            <w:gridSpan w:val="2"/>
            <w:tcBorders/>
            <w:shd w:fill="auto" w:val="clear"/>
            <w:vAlign w:val="bottom"/>
          </w:tcPr>
          <w:p>
            <w:pPr>
              <w:pStyle w:val="TableContents"/>
              <w:spacing w:before="0" w:after="283"/>
              <w:jc w:val="center"/>
              <w:rPr>
                <w:b/>
              </w:rPr>
            </w:pPr>
            <w:r>
              <w:rPr>
                <w:b/>
              </w:rPr>
              <w:t>Operations</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373" w:type="dxa"/>
            <w:gridSpan w:val="2"/>
            <w:tcBorders/>
            <w:shd w:fill="auto" w:val="clear"/>
            <w:vAlign w:val="bottom"/>
          </w:tcPr>
          <w:p>
            <w:pPr>
              <w:pStyle w:val="TableContents"/>
              <w:spacing w:before="0" w:after="283"/>
              <w:jc w:val="center"/>
              <w:rPr>
                <w:b/>
              </w:rPr>
            </w:pPr>
            <w:r>
              <w:rPr>
                <w:b/>
              </w:rPr>
              <w:t>Consolidated</w:t>
            </w:r>
          </w:p>
        </w:tc>
        <w:tc>
          <w:tcPr>
            <w:tcW w:w="116" w:type="dxa"/>
            <w:tcBorders/>
            <w:shd w:fill="auto" w:val="clear"/>
            <w:vAlign w:val="bottom"/>
          </w:tcPr>
          <w:p>
            <w:pPr>
              <w:pStyle w:val="TableContents"/>
              <w:spacing w:before="0" w:after="283"/>
              <w:rPr/>
            </w:pPr>
            <w:r>
              <w:rPr/>
              <w:t> </w:t>
            </w:r>
          </w:p>
        </w:tc>
      </w:tr>
      <w:tr>
        <w:trPr/>
        <w:tc>
          <w:tcPr>
            <w:tcW w:w="48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993"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839" w:type="dxa"/>
            <w:tcBorders/>
            <w:shd w:fill="CCEEFF" w:val="clear"/>
            <w:vAlign w:val="bottom"/>
          </w:tcPr>
          <w:p>
            <w:pPr>
              <w:pStyle w:val="TableContents"/>
              <w:spacing w:before="0" w:after="0"/>
              <w:ind w:left="225" w:right="0" w:hanging="225"/>
              <w:rPr>
                <w:b/>
              </w:rPr>
            </w:pPr>
            <w:r>
              <w:rPr>
                <w:b/>
              </w:rPr>
              <w:t>Six months ended March 31, 2007:</w:t>
            </w:r>
          </w:p>
        </w:tc>
        <w:tc>
          <w:tcPr>
            <w:tcW w:w="37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225" w:right="0" w:hanging="225"/>
              <w:rPr/>
            </w:pPr>
            <w:r>
              <w:rPr/>
              <w:t> </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450" w:right="0" w:hanging="225"/>
              <w:rPr/>
            </w:pPr>
            <w:r>
              <w:rPr/>
              <w:t>Revenues:</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675" w:right="0" w:hanging="225"/>
              <w:rPr/>
            </w:pPr>
            <w:r>
              <w:rPr/>
              <w:t>Sales</w:t>
            </w:r>
          </w:p>
        </w:tc>
        <w:tc>
          <w:tcPr>
            <w:tcW w:w="37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1034" w:type="dxa"/>
            <w:tcBorders/>
            <w:shd w:fill="CCEEFF" w:val="clear"/>
            <w:vAlign w:val="bottom"/>
          </w:tcPr>
          <w:p>
            <w:pPr>
              <w:pStyle w:val="TableContents"/>
              <w:spacing w:before="0" w:after="283"/>
              <w:jc w:val="right"/>
              <w:rPr/>
            </w:pPr>
            <w:r>
              <w:rPr/>
              <w:t>99,012</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096"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1162" w:type="dxa"/>
            <w:tcBorders/>
            <w:shd w:fill="CCEEFF" w:val="clear"/>
            <w:vAlign w:val="bottom"/>
          </w:tcPr>
          <w:p>
            <w:pPr>
              <w:pStyle w:val="TableContents"/>
              <w:spacing w:before="0" w:after="283"/>
              <w:jc w:val="right"/>
              <w:rPr/>
            </w:pPr>
            <w:r>
              <w:rPr/>
              <w:t>99,012</w:t>
            </w:r>
          </w:p>
        </w:tc>
        <w:tc>
          <w:tcPr>
            <w:tcW w:w="116"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675" w:right="0" w:hanging="225"/>
              <w:rPr/>
            </w:pPr>
            <w:r>
              <w:rPr/>
              <w:t>Pawn service charges</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34,518</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34,518</w:t>
            </w:r>
          </w:p>
        </w:tc>
        <w:tc>
          <w:tcPr>
            <w:tcW w:w="116"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675" w:right="0" w:hanging="225"/>
              <w:rPr/>
            </w:pPr>
            <w:r>
              <w:rPr/>
              <w:t>Credit service fees</w:t>
            </w:r>
          </w:p>
        </w:tc>
        <w:tc>
          <w:tcPr>
            <w:tcW w:w="37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1,078</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40,990</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42,068</w:t>
            </w:r>
          </w:p>
        </w:tc>
        <w:tc>
          <w:tcPr>
            <w:tcW w:w="116"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675" w:right="0" w:hanging="225"/>
              <w:rPr/>
            </w:pPr>
            <w:r>
              <w:rPr/>
              <w:t>Payday loan fees</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668</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4,372</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5,040</w:t>
            </w:r>
          </w:p>
        </w:tc>
        <w:tc>
          <w:tcPr>
            <w:tcW w:w="116" w:type="dxa"/>
            <w:tcBorders/>
            <w:shd w:fill="auto" w:val="clear"/>
            <w:vAlign w:val="bottom"/>
          </w:tcPr>
          <w:p>
            <w:pPr>
              <w:pStyle w:val="TableContents"/>
              <w:spacing w:before="0" w:after="283"/>
              <w:rPr/>
            </w:pPr>
            <w:r>
              <w:rPr/>
              <w:t> </w:t>
            </w:r>
          </w:p>
        </w:tc>
      </w:tr>
      <w:tr>
        <w:trPr/>
        <w:tc>
          <w:tcPr>
            <w:tcW w:w="48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993"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839" w:type="dxa"/>
            <w:tcBorders/>
            <w:shd w:fill="CCEEFF" w:val="clear"/>
            <w:vAlign w:val="bottom"/>
          </w:tcPr>
          <w:p>
            <w:pPr>
              <w:pStyle w:val="TableContents"/>
              <w:spacing w:before="0" w:after="0"/>
              <w:ind w:left="675" w:right="0" w:hanging="225"/>
              <w:rPr/>
            </w:pPr>
            <w:r>
              <w:rPr/>
              <w:t>Other</w:t>
            </w:r>
          </w:p>
        </w:tc>
        <w:tc>
          <w:tcPr>
            <w:tcW w:w="37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692</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692</w:t>
            </w:r>
          </w:p>
        </w:tc>
        <w:tc>
          <w:tcPr>
            <w:tcW w:w="116"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900" w:right="0" w:hanging="225"/>
              <w:rPr/>
            </w:pPr>
            <w:r>
              <w:rPr/>
              <w:t>Total revenues</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135,968</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45,362</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181,330</w:t>
            </w:r>
          </w:p>
        </w:tc>
        <w:tc>
          <w:tcPr>
            <w:tcW w:w="116" w:type="dxa"/>
            <w:tcBorders/>
            <w:shd w:fill="auto"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225" w:right="0" w:hanging="225"/>
              <w:rPr/>
            </w:pPr>
            <w:r>
              <w:rPr/>
              <w:t> </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450" w:right="0" w:hanging="225"/>
              <w:rPr/>
            </w:pPr>
            <w:r>
              <w:rPr/>
              <w:t>Cost of goods sold</w:t>
            </w:r>
          </w:p>
        </w:tc>
        <w:tc>
          <w:tcPr>
            <w:tcW w:w="37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60,197</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60,197</w:t>
            </w:r>
          </w:p>
        </w:tc>
        <w:tc>
          <w:tcPr>
            <w:tcW w:w="116" w:type="dxa"/>
            <w:tcBorders/>
            <w:shd w:fill="CCEEFF" w:val="clear"/>
            <w:vAlign w:val="bottom"/>
          </w:tcPr>
          <w:p>
            <w:pPr>
              <w:pStyle w:val="TableContents"/>
              <w:spacing w:before="0" w:after="283"/>
              <w:rPr/>
            </w:pPr>
            <w:r>
              <w:rPr/>
              <w:t> </w:t>
            </w:r>
          </w:p>
        </w:tc>
      </w:tr>
      <w:tr>
        <w:trPr/>
        <w:tc>
          <w:tcPr>
            <w:tcW w:w="48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993"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839" w:type="dxa"/>
            <w:tcBorders/>
            <w:shd w:fill="auto" w:val="clear"/>
            <w:vAlign w:val="bottom"/>
          </w:tcPr>
          <w:p>
            <w:pPr>
              <w:pStyle w:val="TableContents"/>
              <w:spacing w:before="0" w:after="0"/>
              <w:ind w:left="900" w:right="0" w:hanging="225"/>
              <w:rPr/>
            </w:pPr>
            <w:r>
              <w:rPr/>
              <w:t>Net revenues</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75,771</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45,362</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121,133</w:t>
            </w:r>
          </w:p>
        </w:tc>
        <w:tc>
          <w:tcPr>
            <w:tcW w:w="116" w:type="dxa"/>
            <w:tcBorders/>
            <w:shd w:fill="auto"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225" w:right="0" w:hanging="225"/>
              <w:rPr/>
            </w:pPr>
            <w:r>
              <w:rPr/>
              <w:t> </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450" w:right="0" w:hanging="225"/>
              <w:rPr/>
            </w:pPr>
            <w:r>
              <w:rPr/>
              <w:t>Operating expenses:</w:t>
            </w:r>
          </w:p>
        </w:tc>
        <w:tc>
          <w:tcPr>
            <w:tcW w:w="37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675" w:right="0" w:hanging="225"/>
              <w:rPr/>
            </w:pPr>
            <w:r>
              <w:rPr/>
              <w:t>Operations expense</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43,311</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19,181</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62,492</w:t>
            </w:r>
          </w:p>
        </w:tc>
        <w:tc>
          <w:tcPr>
            <w:tcW w:w="116"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675" w:right="0" w:hanging="225"/>
              <w:rPr/>
            </w:pPr>
            <w:r>
              <w:rPr/>
              <w:t>Credit service bad debt</w:t>
            </w:r>
          </w:p>
        </w:tc>
        <w:tc>
          <w:tcPr>
            <w:tcW w:w="37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294</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7,312</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7,606</w:t>
            </w:r>
          </w:p>
        </w:tc>
        <w:tc>
          <w:tcPr>
            <w:tcW w:w="116"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675" w:right="0" w:hanging="225"/>
              <w:rPr/>
            </w:pPr>
            <w:r>
              <w:rPr/>
              <w:t>Payday loan bad debt</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206</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1,132</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1,338</w:t>
            </w:r>
          </w:p>
        </w:tc>
        <w:tc>
          <w:tcPr>
            <w:tcW w:w="116" w:type="dxa"/>
            <w:tcBorders/>
            <w:shd w:fill="auto" w:val="clear"/>
            <w:vAlign w:val="bottom"/>
          </w:tcPr>
          <w:p>
            <w:pPr>
              <w:pStyle w:val="TableContents"/>
              <w:spacing w:before="0" w:after="283"/>
              <w:rPr/>
            </w:pPr>
            <w:r>
              <w:rPr/>
              <w:t> </w:t>
            </w:r>
          </w:p>
        </w:tc>
      </w:tr>
      <w:tr>
        <w:trPr/>
        <w:tc>
          <w:tcPr>
            <w:tcW w:w="48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993"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839" w:type="dxa"/>
            <w:tcBorders/>
            <w:shd w:fill="CCEEFF" w:val="clear"/>
            <w:vAlign w:val="bottom"/>
          </w:tcPr>
          <w:p>
            <w:pPr>
              <w:pStyle w:val="TableContents"/>
              <w:spacing w:before="0" w:after="0"/>
              <w:ind w:left="900" w:right="0" w:hanging="225"/>
              <w:rPr/>
            </w:pPr>
            <w:r>
              <w:rPr/>
              <w:t>Total direct expenses</w:t>
            </w:r>
          </w:p>
        </w:tc>
        <w:tc>
          <w:tcPr>
            <w:tcW w:w="37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43,811</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27,625</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71,436</w:t>
            </w:r>
          </w:p>
        </w:tc>
        <w:tc>
          <w:tcPr>
            <w:tcW w:w="116" w:type="dxa"/>
            <w:tcBorders/>
            <w:shd w:fill="CCEEFF" w:val="clear"/>
            <w:vAlign w:val="bottom"/>
          </w:tcPr>
          <w:p>
            <w:pPr>
              <w:pStyle w:val="TableContents"/>
              <w:spacing w:before="0" w:after="283"/>
              <w:rPr/>
            </w:pPr>
            <w:r>
              <w:rPr/>
              <w:t> </w:t>
            </w:r>
          </w:p>
        </w:tc>
      </w:tr>
      <w:tr>
        <w:trPr/>
        <w:tc>
          <w:tcPr>
            <w:tcW w:w="48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993"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839" w:type="dxa"/>
            <w:tcBorders/>
            <w:shd w:fill="auto" w:val="clear"/>
            <w:vAlign w:val="bottom"/>
          </w:tcPr>
          <w:p>
            <w:pPr>
              <w:pStyle w:val="TableContents"/>
              <w:spacing w:before="0" w:after="0"/>
              <w:ind w:left="900" w:right="0" w:hanging="225"/>
              <w:rPr/>
            </w:pPr>
            <w:r>
              <w:rPr/>
              <w:t>Store operating income</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1034" w:type="dxa"/>
            <w:tcBorders/>
            <w:shd w:fill="auto" w:val="clear"/>
            <w:vAlign w:val="bottom"/>
          </w:tcPr>
          <w:p>
            <w:pPr>
              <w:pStyle w:val="TableContents"/>
              <w:spacing w:before="0" w:after="283"/>
              <w:jc w:val="right"/>
              <w:rPr/>
            </w:pPr>
            <w:r>
              <w:rPr/>
              <w:t>31,960</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096" w:type="dxa"/>
            <w:tcBorders/>
            <w:shd w:fill="auto" w:val="clear"/>
            <w:vAlign w:val="bottom"/>
          </w:tcPr>
          <w:p>
            <w:pPr>
              <w:pStyle w:val="TableContents"/>
              <w:spacing w:before="0" w:after="283"/>
              <w:jc w:val="right"/>
              <w:rPr/>
            </w:pPr>
            <w:r>
              <w:rPr/>
              <w:t>17,737</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1162" w:type="dxa"/>
            <w:tcBorders/>
            <w:shd w:fill="auto" w:val="clear"/>
            <w:vAlign w:val="bottom"/>
          </w:tcPr>
          <w:p>
            <w:pPr>
              <w:pStyle w:val="TableContents"/>
              <w:spacing w:before="0" w:after="283"/>
              <w:jc w:val="right"/>
              <w:rPr/>
            </w:pPr>
            <w:r>
              <w:rPr/>
              <w:t>49,697</w:t>
            </w:r>
          </w:p>
        </w:tc>
        <w:tc>
          <w:tcPr>
            <w:tcW w:w="116" w:type="dxa"/>
            <w:tcBorders/>
            <w:shd w:fill="auto" w:val="clear"/>
            <w:vAlign w:val="bottom"/>
          </w:tcPr>
          <w:p>
            <w:pPr>
              <w:pStyle w:val="TableContents"/>
              <w:spacing w:before="0" w:after="283"/>
              <w:rPr/>
            </w:pPr>
            <w:r>
              <w:rPr/>
              <w:t> </w:t>
            </w:r>
          </w:p>
        </w:tc>
      </w:tr>
      <w:tr>
        <w:trPr/>
        <w:tc>
          <w:tcPr>
            <w:tcW w:w="48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993"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4839" w:type="dxa"/>
            <w:tcBorders/>
            <w:shd w:fill="auto" w:val="clear"/>
            <w:vAlign w:val="bottom"/>
          </w:tcPr>
          <w:p>
            <w:pPr>
              <w:pStyle w:val="TableContents"/>
              <w:spacing w:before="0" w:after="0"/>
              <w:ind w:left="225" w:right="0" w:hanging="225"/>
              <w:rPr/>
            </w:pPr>
            <w:r>
              <w:rPr/>
              <w:t> </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450" w:right="0" w:hanging="225"/>
              <w:rPr/>
            </w:pPr>
            <w:r>
              <w:rPr/>
              <w:t>EZPAWN store count  end of period</w:t>
            </w:r>
          </w:p>
        </w:tc>
        <w:tc>
          <w:tcPr>
            <w:tcW w:w="37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282</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282</w:t>
            </w:r>
          </w:p>
        </w:tc>
        <w:tc>
          <w:tcPr>
            <w:tcW w:w="116"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450" w:right="0" w:hanging="225"/>
              <w:rPr/>
            </w:pPr>
            <w:r>
              <w:rPr/>
              <w:t>EZMoney signature loan store count  end of period</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7</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362</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369</w:t>
            </w:r>
          </w:p>
        </w:tc>
        <w:tc>
          <w:tcPr>
            <w:tcW w:w="116" w:type="dxa"/>
            <w:tcBorders/>
            <w:shd w:fill="auto"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225" w:right="0" w:hanging="225"/>
              <w:rPr/>
            </w:pPr>
            <w:r>
              <w:rPr/>
              <w:t> </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225" w:right="0" w:hanging="225"/>
              <w:rPr>
                <w:b/>
              </w:rPr>
            </w:pPr>
            <w:r>
              <w:rPr>
                <w:b/>
              </w:rPr>
              <w:t>Six months ended March 31, 2006:</w:t>
            </w:r>
          </w:p>
        </w:tc>
        <w:tc>
          <w:tcPr>
            <w:tcW w:w="37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450" w:right="0" w:hanging="225"/>
              <w:rPr/>
            </w:pPr>
            <w:r>
              <w:rPr/>
              <w:t>Revenues:</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675" w:right="0" w:hanging="225"/>
              <w:rPr/>
            </w:pPr>
            <w:r>
              <w:rPr/>
              <w:t>Sales</w:t>
            </w:r>
          </w:p>
        </w:tc>
        <w:tc>
          <w:tcPr>
            <w:tcW w:w="37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1034" w:type="dxa"/>
            <w:tcBorders/>
            <w:shd w:fill="CCEEFF" w:val="clear"/>
            <w:vAlign w:val="bottom"/>
          </w:tcPr>
          <w:p>
            <w:pPr>
              <w:pStyle w:val="TableContents"/>
              <w:spacing w:before="0" w:after="283"/>
              <w:jc w:val="right"/>
              <w:rPr/>
            </w:pPr>
            <w:r>
              <w:rPr/>
              <w:t>89,958</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096"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jc w:val="left"/>
              <w:rPr/>
            </w:pPr>
            <w:r>
              <w:rPr/>
              <w:t>$</w:t>
            </w:r>
          </w:p>
        </w:tc>
        <w:tc>
          <w:tcPr>
            <w:tcW w:w="1162" w:type="dxa"/>
            <w:tcBorders/>
            <w:shd w:fill="CCEEFF" w:val="clear"/>
            <w:vAlign w:val="bottom"/>
          </w:tcPr>
          <w:p>
            <w:pPr>
              <w:pStyle w:val="TableContents"/>
              <w:spacing w:before="0" w:after="283"/>
              <w:jc w:val="right"/>
              <w:rPr/>
            </w:pPr>
            <w:r>
              <w:rPr/>
              <w:t>89,958</w:t>
            </w:r>
          </w:p>
        </w:tc>
        <w:tc>
          <w:tcPr>
            <w:tcW w:w="116"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675" w:right="0" w:hanging="225"/>
              <w:rPr/>
            </w:pPr>
            <w:r>
              <w:rPr/>
              <w:t>Pawn service charges</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31,967</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31,967</w:t>
            </w:r>
          </w:p>
        </w:tc>
        <w:tc>
          <w:tcPr>
            <w:tcW w:w="116"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675" w:right="0" w:hanging="225"/>
              <w:rPr/>
            </w:pPr>
            <w:r>
              <w:rPr/>
              <w:t>Credit service fees</w:t>
            </w:r>
          </w:p>
        </w:tc>
        <w:tc>
          <w:tcPr>
            <w:tcW w:w="37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652</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29,221</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29,873</w:t>
            </w:r>
          </w:p>
        </w:tc>
        <w:tc>
          <w:tcPr>
            <w:tcW w:w="116"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675" w:right="0" w:hanging="225"/>
              <w:rPr/>
            </w:pPr>
            <w:r>
              <w:rPr/>
              <w:t>Payday loan fees</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749</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1,506</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2,255</w:t>
            </w:r>
          </w:p>
        </w:tc>
        <w:tc>
          <w:tcPr>
            <w:tcW w:w="116" w:type="dxa"/>
            <w:tcBorders/>
            <w:shd w:fill="auto" w:val="clear"/>
            <w:vAlign w:val="bottom"/>
          </w:tcPr>
          <w:p>
            <w:pPr>
              <w:pStyle w:val="TableContents"/>
              <w:spacing w:before="0" w:after="283"/>
              <w:rPr/>
            </w:pPr>
            <w:r>
              <w:rPr/>
              <w:t> </w:t>
            </w:r>
          </w:p>
        </w:tc>
      </w:tr>
      <w:tr>
        <w:trPr/>
        <w:tc>
          <w:tcPr>
            <w:tcW w:w="48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993"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839" w:type="dxa"/>
            <w:tcBorders/>
            <w:shd w:fill="CCEEFF" w:val="clear"/>
            <w:vAlign w:val="bottom"/>
          </w:tcPr>
          <w:p>
            <w:pPr>
              <w:pStyle w:val="TableContents"/>
              <w:spacing w:before="0" w:after="0"/>
              <w:ind w:left="675" w:right="0" w:hanging="225"/>
              <w:rPr/>
            </w:pPr>
            <w:r>
              <w:rPr/>
              <w:t>Other</w:t>
            </w:r>
          </w:p>
        </w:tc>
        <w:tc>
          <w:tcPr>
            <w:tcW w:w="37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658</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658</w:t>
            </w:r>
          </w:p>
        </w:tc>
        <w:tc>
          <w:tcPr>
            <w:tcW w:w="116"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900" w:right="0" w:hanging="225"/>
              <w:rPr/>
            </w:pPr>
            <w:r>
              <w:rPr/>
              <w:t>Total revenues</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123,984</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30,727</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154,711</w:t>
            </w:r>
          </w:p>
        </w:tc>
        <w:tc>
          <w:tcPr>
            <w:tcW w:w="116" w:type="dxa"/>
            <w:tcBorders/>
            <w:shd w:fill="auto" w:val="clear"/>
            <w:vAlign w:val="bottom"/>
          </w:tcPr>
          <w:p>
            <w:pPr>
              <w:pStyle w:val="TableContents"/>
              <w:spacing w:before="0" w:after="283"/>
              <w:rPr/>
            </w:pPr>
            <w:r>
              <w:rPr/>
              <w:t> </w:t>
            </w:r>
          </w:p>
        </w:tc>
      </w:tr>
      <w:tr>
        <w:trPr/>
        <w:tc>
          <w:tcPr>
            <w:tcW w:w="48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993"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839" w:type="dxa"/>
            <w:tcBorders/>
            <w:shd w:fill="auto" w:val="clear"/>
            <w:vAlign w:val="bottom"/>
          </w:tcPr>
          <w:p>
            <w:pPr>
              <w:pStyle w:val="TableContents"/>
              <w:spacing w:before="0" w:after="0"/>
              <w:ind w:left="225" w:right="0" w:hanging="225"/>
              <w:rPr/>
            </w:pPr>
            <w:r>
              <w:rPr/>
              <w:t> </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450" w:right="0" w:hanging="225"/>
              <w:rPr/>
            </w:pPr>
            <w:r>
              <w:rPr/>
              <w:t>Cost of goods sold</w:t>
            </w:r>
          </w:p>
        </w:tc>
        <w:tc>
          <w:tcPr>
            <w:tcW w:w="37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53,998</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53,998</w:t>
            </w:r>
          </w:p>
        </w:tc>
        <w:tc>
          <w:tcPr>
            <w:tcW w:w="116" w:type="dxa"/>
            <w:tcBorders/>
            <w:shd w:fill="CCEEFF" w:val="clear"/>
            <w:vAlign w:val="bottom"/>
          </w:tcPr>
          <w:p>
            <w:pPr>
              <w:pStyle w:val="TableContents"/>
              <w:spacing w:before="0" w:after="283"/>
              <w:rPr/>
            </w:pPr>
            <w:r>
              <w:rPr/>
              <w:t> </w:t>
            </w:r>
          </w:p>
        </w:tc>
      </w:tr>
      <w:tr>
        <w:trPr/>
        <w:tc>
          <w:tcPr>
            <w:tcW w:w="48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993"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839" w:type="dxa"/>
            <w:tcBorders/>
            <w:shd w:fill="auto" w:val="clear"/>
            <w:vAlign w:val="bottom"/>
          </w:tcPr>
          <w:p>
            <w:pPr>
              <w:pStyle w:val="TableContents"/>
              <w:spacing w:before="0" w:after="0"/>
              <w:ind w:left="900" w:right="0" w:hanging="225"/>
              <w:rPr/>
            </w:pPr>
            <w:r>
              <w:rPr/>
              <w:t>Net revenues</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69,986</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30,727</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100,713</w:t>
            </w:r>
          </w:p>
        </w:tc>
        <w:tc>
          <w:tcPr>
            <w:tcW w:w="116" w:type="dxa"/>
            <w:tcBorders/>
            <w:shd w:fill="auto"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225" w:right="0" w:hanging="225"/>
              <w:rPr/>
            </w:pPr>
            <w:r>
              <w:rPr/>
              <w:t> </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450" w:right="0" w:hanging="225"/>
              <w:rPr/>
            </w:pPr>
            <w:r>
              <w:rPr/>
              <w:t>Operating expenses:</w:t>
            </w:r>
          </w:p>
        </w:tc>
        <w:tc>
          <w:tcPr>
            <w:tcW w:w="37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675" w:right="0" w:hanging="225"/>
              <w:rPr/>
            </w:pPr>
            <w:r>
              <w:rPr/>
              <w:t>Operations expense</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42,656</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11,895</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54,551</w:t>
            </w:r>
          </w:p>
        </w:tc>
        <w:tc>
          <w:tcPr>
            <w:tcW w:w="116"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675" w:right="0" w:hanging="225"/>
              <w:rPr/>
            </w:pPr>
            <w:r>
              <w:rPr/>
              <w:t>Credit service bad debt</w:t>
            </w:r>
          </w:p>
        </w:tc>
        <w:tc>
          <w:tcPr>
            <w:tcW w:w="37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225</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5,418</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5,643</w:t>
            </w:r>
          </w:p>
        </w:tc>
        <w:tc>
          <w:tcPr>
            <w:tcW w:w="116"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675" w:right="0" w:hanging="225"/>
              <w:rPr/>
            </w:pPr>
            <w:r>
              <w:rPr/>
              <w:t>Payday loan bad debt</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297</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591</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888</w:t>
            </w:r>
          </w:p>
        </w:tc>
        <w:tc>
          <w:tcPr>
            <w:tcW w:w="116" w:type="dxa"/>
            <w:tcBorders/>
            <w:shd w:fill="auto" w:val="clear"/>
            <w:vAlign w:val="bottom"/>
          </w:tcPr>
          <w:p>
            <w:pPr>
              <w:pStyle w:val="TableContents"/>
              <w:spacing w:before="0" w:after="283"/>
              <w:rPr/>
            </w:pPr>
            <w:r>
              <w:rPr/>
              <w:t> </w:t>
            </w:r>
          </w:p>
        </w:tc>
      </w:tr>
      <w:tr>
        <w:trPr/>
        <w:tc>
          <w:tcPr>
            <w:tcW w:w="48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993"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839" w:type="dxa"/>
            <w:tcBorders/>
            <w:shd w:fill="CCEEFF" w:val="clear"/>
            <w:vAlign w:val="bottom"/>
          </w:tcPr>
          <w:p>
            <w:pPr>
              <w:pStyle w:val="TableContents"/>
              <w:spacing w:before="0" w:after="0"/>
              <w:ind w:left="900" w:right="0" w:hanging="225"/>
              <w:rPr/>
            </w:pPr>
            <w:r>
              <w:rPr/>
              <w:t>Total direct expenses</w:t>
            </w:r>
          </w:p>
        </w:tc>
        <w:tc>
          <w:tcPr>
            <w:tcW w:w="37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43,178</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17,904</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61,082</w:t>
            </w:r>
          </w:p>
        </w:tc>
        <w:tc>
          <w:tcPr>
            <w:tcW w:w="116" w:type="dxa"/>
            <w:tcBorders/>
            <w:shd w:fill="CCEEFF" w:val="clear"/>
            <w:vAlign w:val="bottom"/>
          </w:tcPr>
          <w:p>
            <w:pPr>
              <w:pStyle w:val="TableContents"/>
              <w:spacing w:before="0" w:after="283"/>
              <w:rPr/>
            </w:pPr>
            <w:r>
              <w:rPr/>
              <w:t> </w:t>
            </w:r>
          </w:p>
        </w:tc>
      </w:tr>
      <w:tr>
        <w:trPr/>
        <w:tc>
          <w:tcPr>
            <w:tcW w:w="48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993"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4839" w:type="dxa"/>
            <w:tcBorders/>
            <w:shd w:fill="auto" w:val="clear"/>
            <w:vAlign w:val="bottom"/>
          </w:tcPr>
          <w:p>
            <w:pPr>
              <w:pStyle w:val="TableContents"/>
              <w:spacing w:before="0" w:after="0"/>
              <w:ind w:left="900" w:right="0" w:hanging="225"/>
              <w:rPr/>
            </w:pPr>
            <w:r>
              <w:rPr/>
              <w:t>Store operating income</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1034" w:type="dxa"/>
            <w:tcBorders/>
            <w:shd w:fill="auto" w:val="clear"/>
            <w:vAlign w:val="bottom"/>
          </w:tcPr>
          <w:p>
            <w:pPr>
              <w:pStyle w:val="TableContents"/>
              <w:spacing w:before="0" w:after="283"/>
              <w:jc w:val="right"/>
              <w:rPr/>
            </w:pPr>
            <w:r>
              <w:rPr/>
              <w:t>26,808</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096" w:type="dxa"/>
            <w:tcBorders/>
            <w:shd w:fill="auto" w:val="clear"/>
            <w:vAlign w:val="bottom"/>
          </w:tcPr>
          <w:p>
            <w:pPr>
              <w:pStyle w:val="TableContents"/>
              <w:spacing w:before="0" w:after="283"/>
              <w:jc w:val="right"/>
              <w:rPr/>
            </w:pPr>
            <w:r>
              <w:rPr/>
              <w:t>12,823</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w:t>
            </w:r>
          </w:p>
        </w:tc>
        <w:tc>
          <w:tcPr>
            <w:tcW w:w="1162" w:type="dxa"/>
            <w:tcBorders/>
            <w:shd w:fill="auto" w:val="clear"/>
            <w:vAlign w:val="bottom"/>
          </w:tcPr>
          <w:p>
            <w:pPr>
              <w:pStyle w:val="TableContents"/>
              <w:spacing w:before="0" w:after="283"/>
              <w:jc w:val="right"/>
              <w:rPr/>
            </w:pPr>
            <w:r>
              <w:rPr/>
              <w:t>39,631</w:t>
            </w:r>
          </w:p>
        </w:tc>
        <w:tc>
          <w:tcPr>
            <w:tcW w:w="116" w:type="dxa"/>
            <w:tcBorders/>
            <w:shd w:fill="auto" w:val="clear"/>
            <w:vAlign w:val="bottom"/>
          </w:tcPr>
          <w:p>
            <w:pPr>
              <w:pStyle w:val="TableContents"/>
              <w:spacing w:before="0" w:after="283"/>
              <w:rPr/>
            </w:pPr>
            <w:r>
              <w:rPr/>
              <w:t> </w:t>
            </w:r>
          </w:p>
        </w:tc>
      </w:tr>
      <w:tr>
        <w:trPr/>
        <w:tc>
          <w:tcPr>
            <w:tcW w:w="48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4993"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r>
        <w:trPr/>
        <w:tc>
          <w:tcPr>
            <w:tcW w:w="4839" w:type="dxa"/>
            <w:tcBorders/>
            <w:shd w:fill="auto" w:val="clear"/>
            <w:vAlign w:val="bottom"/>
          </w:tcPr>
          <w:p>
            <w:pPr>
              <w:pStyle w:val="TableContents"/>
              <w:spacing w:before="0" w:after="0"/>
              <w:ind w:left="225" w:right="0" w:hanging="225"/>
              <w:rPr/>
            </w:pPr>
            <w:r>
              <w:rPr/>
              <w:t> </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4839" w:type="dxa"/>
            <w:tcBorders/>
            <w:shd w:fill="CCEEFF" w:val="clear"/>
            <w:vAlign w:val="bottom"/>
          </w:tcPr>
          <w:p>
            <w:pPr>
              <w:pStyle w:val="TableContents"/>
              <w:spacing w:before="0" w:after="0"/>
              <w:ind w:left="450" w:right="0" w:hanging="225"/>
              <w:rPr/>
            </w:pPr>
            <w:r>
              <w:rPr/>
              <w:t>EZPAWN store count  end of period</w:t>
            </w:r>
          </w:p>
        </w:tc>
        <w:tc>
          <w:tcPr>
            <w:tcW w:w="37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281</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281</w:t>
            </w:r>
          </w:p>
        </w:tc>
        <w:tc>
          <w:tcPr>
            <w:tcW w:w="116" w:type="dxa"/>
            <w:tcBorders/>
            <w:shd w:fill="CCEEFF" w:val="clear"/>
            <w:vAlign w:val="bottom"/>
          </w:tcPr>
          <w:p>
            <w:pPr>
              <w:pStyle w:val="TableContents"/>
              <w:spacing w:before="0" w:after="283"/>
              <w:rPr/>
            </w:pPr>
            <w:r>
              <w:rPr/>
              <w:t> </w:t>
            </w:r>
          </w:p>
        </w:tc>
      </w:tr>
      <w:tr>
        <w:trPr/>
        <w:tc>
          <w:tcPr>
            <w:tcW w:w="4839" w:type="dxa"/>
            <w:tcBorders/>
            <w:shd w:fill="auto" w:val="clear"/>
            <w:vAlign w:val="bottom"/>
          </w:tcPr>
          <w:p>
            <w:pPr>
              <w:pStyle w:val="TableContents"/>
              <w:spacing w:before="0" w:after="0"/>
              <w:ind w:left="450" w:right="0" w:hanging="225"/>
              <w:rPr/>
            </w:pPr>
            <w:r>
              <w:rPr/>
              <w:t>EZMoney signature loan store count  end of period</w:t>
            </w:r>
          </w:p>
        </w:tc>
        <w:tc>
          <w:tcPr>
            <w:tcW w:w="37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7</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256</w:t>
            </w:r>
          </w:p>
        </w:tc>
        <w:tc>
          <w:tcPr>
            <w:tcW w:w="10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263</w:t>
            </w:r>
          </w:p>
        </w:tc>
        <w:tc>
          <w:tcPr>
            <w:tcW w:w="116" w:type="dxa"/>
            <w:tcBorders/>
            <w:shd w:fill="auto" w:val="clear"/>
            <w:vAlign w:val="bottom"/>
          </w:tcPr>
          <w:p>
            <w:pPr>
              <w:pStyle w:val="TableContents"/>
              <w:spacing w:before="0" w:after="283"/>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2129</Words>
  <CharactersWithSpaces>14482</CharactersWithSpaces>
  <Paragraphs>2408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