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28, 2025</w:t>
      </w:r>
    </w:p>
    <w:p>
      <w:pPr>
        <w:spacing w:after="0" w:line="17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6"/>
        </w:trPr>
        <w:tc>
          <w:tcPr>
            <w:tcW w:w="18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88"/>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ind w:right="68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51"/>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00" w:type="dxa"/>
            <w:vAlign w:val="bottom"/>
          </w:tcPr>
          <w:p>
            <w:pPr>
              <w:spacing w:after="0"/>
              <w:rPr>
                <w:sz w:val="24"/>
                <w:szCs w:val="24"/>
                <w:color w:val="auto"/>
              </w:rPr>
            </w:pPr>
          </w:p>
        </w:tc>
        <w:tc>
          <w:tcPr>
            <w:tcW w:w="4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28, 2025, EZCORP, Inc. (the “Company”) issued $300,000,000 aggregate principal amount of the Company’s 7.375% senior notes due 2032 (the “Notes”), pursuant to an indenture, dated March 28, 2025 (the “Indenture”), by and among the Company, certain of the Company’s wholly owned domestic subsidiaries and Truist Bank, as trustee (the “Trustee”) in a private placement, solely to persons reasonably believed to be qualified institutional buyers pursuant to Rule 144A under the Securities Act of 1933 (the “Securities Act”), or outside the United States to certain non-U.S. persons in reliance on Regulation S under the Securities Act.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Maturity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bear interest at a rate of 7.375% per year, payable semiannually in arrears on April 1 and October 1 of each year, beginning on October 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mature on April 1, 2032.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Redemption</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prior to April 1, 2028, the Company may redeem all or a part of the Notes, at a redemption price equal to 100% of the aggregate principal amount of the Notes redeemed, plus a “make-whole” premium and accrued and unpaid interest, if any, to, but not including, the redemption date. At any time prior to April 1, 2028, the Company may also redeem up to 40% of the aggregate principal amount of the Notes (including any additional Notes) in an amount not greater than the net cash proceeds of certain equity offerings at a redemption price equal to 107.375% of the principal amount of the Notes being redeemed, plus accrued and unpaid interest, if any, to, but not including, the redemption date, as long as at least 60% of the aggregate principal amount of the Notes (including any additional Notes, but excluding Notes held by the Company and its subsidiaries) remains outstanding immediately after the occurrence of such redemption and the redemption occurs within 180 days after the date of the closing of such equity offering.</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or after April 1, 2028, the Company may on any one or more occasions redeem all or a part of the Notes at the redemption prices set forth below, plus accrued and unpaid interest, if any, to, but not including, the applicable date of redemption, beginning on April 1 of the years indicated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YEAR</w:t>
            </w:r>
          </w:p>
        </w:tc>
        <w:tc>
          <w:tcPr>
            <w:tcW w:w="2040" w:type="dxa"/>
            <w:vAlign w:val="bottom"/>
          </w:tcPr>
          <w:p>
            <w:pPr>
              <w:jc w:val="right"/>
              <w:ind w:right="186"/>
              <w:spacing w:after="0"/>
              <w:rPr>
                <w:sz w:val="20"/>
                <w:szCs w:val="20"/>
                <w:color w:val="auto"/>
              </w:rPr>
            </w:pPr>
            <w:r>
              <w:rPr>
                <w:rFonts w:ascii="Times New Roman" w:cs="Times New Roman" w:eastAsia="Times New Roman" w:hAnsi="Times New Roman"/>
                <w:sz w:val="22"/>
                <w:szCs w:val="22"/>
                <w:b w:val="1"/>
                <w:bCs w:val="1"/>
                <w:color w:val="auto"/>
              </w:rPr>
              <w:t>PERCENTAGE</w:t>
            </w:r>
          </w:p>
        </w:tc>
      </w:tr>
      <w:tr>
        <w:trPr>
          <w:trHeight w:val="229"/>
        </w:trPr>
        <w:tc>
          <w:tcPr>
            <w:tcW w:w="8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103.688%</w:t>
            </w:r>
          </w:p>
        </w:tc>
      </w:tr>
      <w:tr>
        <w:trPr>
          <w:trHeight w:val="252"/>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101.844%</w:t>
            </w:r>
          </w:p>
        </w:tc>
      </w:tr>
      <w:tr>
        <w:trPr>
          <w:trHeight w:val="257"/>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 contains covenants that limit the ability of the Company and certain of its subsidiaries to, among other things, (i) incur or guarantee additional indebtedness or issue certain types of preferred stock or similar equity securities; (ii) pay dividends or make other distributions; (iii) create or incur certain liens; (iv) make certain loans or investments; (v) create encumbrances or restrictions on the ability of the Company’s restricted subsidiaries to pay dividends or make other payments to the Company; (vi) enter into certain transactions with affiliates; (vii) lease, transfer or sell certain assets, including capital stock of our subsidiaries; (viii) merge or consolidate with another person, or sell or otherwise dispose of all or substantially all of the Company’s assets; and (ix) designate the Company’s subsidiaries as unrestricted subsidiaries. These covenants are subject to important exceptions and qualifications. If the Notes achieve an investment grade rating from any two of Moody’s Investors Service, Inc. (“Moody’s”), S&amp;P Global Ratings (“S&amp;P”) and Fitch Ratings, Inc. (“Fitch”) and no default under the Indenture has occurred and is continuing, many of the foregoing covenants will be suspended.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Events of Default</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Indenture also contains customary events of default, including, among other things, (i) default for 30 days in the payment when due of interest on the Notes; (ii) default in payment when due (at maturity, upon redemption or otherwise) of the principal of, or premium, if any, on the Notes; (iii) certain covenant defaults; (iv) cross-defaults to certain indebtedness; and (v) certain events of bankruptcy or insolvency with respect to the Company or certain of the Company’s subsidiaries. If an event of default arises from certain events of bankruptcy, insolvency or reorganization with respect to the Company, all outstanding Notes will become due and payable immediately without further action or notice. If any other event of default occurs and is continuing, the Trustee or the holders of at least 25% in aggregate principal amount of the then outstanding Notes may declare the principal of, and accrued and unpaid interest, if any, on, all outstanding Notes to be due and payable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experiences certain kinds of changes of control and two of Moody’s, S&amp;P or Fitch decreases their rating of the Notes as a result thereof within 60 days, holders of the Notes will be entitled to require the Company to repurchase all or any part (equal to $2,000 or an integral multiple of $1,000 in excess thereof) of that holder’s Notes pursuant to an offer on the terms set forth in the Indenture. The Company will offer to repurchase Notes at a purchase price payable in cash equal to 101% of the aggregate principal amount of the Notes repurchased, plus accrued and unpaid interest, if any, on the Notes repurchased to, but not including, the date of purchase.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Indenture does not purport to be complete and is qualified in its entirety by reference to the full text of the Indenture, a copy of which is filed as Exhibit 4.1 hereto and incorporated into this Item 1.01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 or an Obligation under an Off-Balance Sheet Arrangement of a Registrant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2.03 relating to the Notes and the Indenture is included in Item 1.01 above and is incorporated into this Item 2.03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28, 2025, the Company issued a press release announcing that it has closed the private offering of the Notes. A copy of the press release is attached as Exhibit 99.1 to this Report and incorporated by reference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240"/>
        <w:spacing w:after="0"/>
        <w:tabs>
          <w:tab w:leader="none" w:pos="7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FF"/>
        </w:rPr>
        <w:t>Indenture, dated March 28, 2025, between EZCORP, Inc., the guarantors party thereto and Truist Bank, as trustee</w:t>
      </w:r>
    </w:p>
    <w:p>
      <w:pPr>
        <w:spacing w:after="0" w:line="27"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March 28, 2025, announcing the closing of private offering of senior notes due 2032</w:t>
      </w:r>
    </w:p>
    <w:p>
      <w:pPr>
        <w:spacing w:after="0" w:line="23"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2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28, 2025</w:t>
            </w:r>
          </w:p>
        </w:tc>
        <w:tc>
          <w:tcPr>
            <w:tcW w:w="29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Ellen Bryant</w:t>
            </w:r>
          </w:p>
        </w:tc>
      </w:tr>
      <w:tr>
        <w:trPr>
          <w:trHeight w:val="218"/>
        </w:trPr>
        <w:tc>
          <w:tcPr>
            <w:tcW w:w="3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Bryant</w:t>
            </w:r>
          </w:p>
        </w:tc>
      </w:tr>
      <w:tr>
        <w:trPr>
          <w:trHeight w:val="234"/>
        </w:trPr>
        <w:tc>
          <w:tcPr>
            <w:tcW w:w="3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ectPr>
          <w:pgSz w:w="11900" w:h="16838" w:orient="portrait"/>
          <w:cols w:equalWidth="0" w:num="1">
            <w:col w:w="11240"/>
          </w:cols>
          <w:pgMar w:left="320" w:top="105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Dated March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36"/>
          <w:szCs w:val="36"/>
          <w:b w:val="1"/>
          <w:bCs w:val="1"/>
          <w:color w:val="auto"/>
        </w:rPr>
        <w:t>Indenture</w:t>
      </w:r>
    </w:p>
    <w:p>
      <w:pPr>
        <w:spacing w:after="0" w:line="1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color w:val="auto"/>
        </w:rPr>
        <w:t>7.375% Senior Notes due 2032</w:t>
      </w:r>
    </w:p>
    <w:p>
      <w:pPr>
        <w:spacing w:after="0" w:line="2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among</w:t>
      </w:r>
    </w:p>
    <w:p>
      <w:pPr>
        <w:spacing w:after="0" w:line="200" w:lineRule="exact"/>
        <w:rPr>
          <w:sz w:val="20"/>
          <w:szCs w:val="20"/>
          <w:color w:val="auto"/>
        </w:rPr>
      </w:pPr>
    </w:p>
    <w:p>
      <w:pPr>
        <w:spacing w:after="0" w:line="2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EZCORP, Inc.</w:t>
      </w:r>
    </w:p>
    <w:p>
      <w:pPr>
        <w:spacing w:after="0" w:line="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And Each of the Guarantors Party hereto</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and</w:t>
      </w:r>
    </w:p>
    <w:p>
      <w:pPr>
        <w:spacing w:after="0" w:line="200" w:lineRule="exact"/>
        <w:rPr>
          <w:sz w:val="20"/>
          <w:szCs w:val="20"/>
          <w:color w:val="auto"/>
        </w:rPr>
      </w:pPr>
    </w:p>
    <w:p>
      <w:pPr>
        <w:spacing w:after="0" w:line="2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Truist Bank</w:t>
      </w:r>
    </w:p>
    <w:p>
      <w:pPr>
        <w:spacing w:after="0" w:line="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129712752</w:t>
      </w:r>
    </w:p>
    <w:p>
      <w:pPr>
        <w:sectPr>
          <w:pgSz w:w="11900" w:h="16838" w:orient="portrait"/>
          <w:cols w:equalWidth="0" w:num="1">
            <w:col w:w="11160"/>
          </w:cols>
          <w:pgMar w:left="400" w:top="114"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Table of Contents</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ARTICLE I</w:t>
            </w:r>
          </w:p>
        </w:tc>
        <w:tc>
          <w:tcPr>
            <w:tcW w:w="7200" w:type="dxa"/>
            <w:vAlign w:val="bottom"/>
          </w:tcPr>
          <w:p>
            <w:pPr>
              <w:spacing w:after="0"/>
              <w:rPr>
                <w:sz w:val="22"/>
                <w:szCs w:val="22"/>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76"/>
        </w:trPr>
        <w:tc>
          <w:tcPr>
            <w:tcW w:w="83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DEFINITIONS AND INCORPORATION BY REFERENCE</w:t>
            </w:r>
          </w:p>
        </w:tc>
        <w:tc>
          <w:tcPr>
            <w:tcW w:w="2860" w:type="dxa"/>
            <w:vAlign w:val="bottom"/>
          </w:tcPr>
          <w:p>
            <w:pPr>
              <w:spacing w:after="0"/>
              <w:rPr>
                <w:sz w:val="24"/>
                <w:szCs w:val="24"/>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Definitions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Definitions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7"/>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1.03  Trust Indenture Act</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7"/>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1.04  Rules of Construction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6"/>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1.05  Limited Condition Transactions; Measuring Compliance</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ARTICLE II</w:t>
            </w:r>
          </w:p>
        </w:tc>
        <w:tc>
          <w:tcPr>
            <w:tcW w:w="7200" w:type="dxa"/>
            <w:vAlign w:val="bottom"/>
          </w:tcPr>
          <w:p>
            <w:pPr>
              <w:spacing w:after="0"/>
              <w:rPr>
                <w:sz w:val="22"/>
                <w:szCs w:val="22"/>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76"/>
        </w:trPr>
        <w:tc>
          <w:tcPr>
            <w:tcW w:w="83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THE NOTES</w:t>
            </w:r>
          </w:p>
        </w:tc>
        <w:tc>
          <w:tcPr>
            <w:tcW w:w="2860" w:type="dxa"/>
            <w:vAlign w:val="bottom"/>
          </w:tcPr>
          <w:p>
            <w:pPr>
              <w:spacing w:after="0"/>
              <w:rPr>
                <w:sz w:val="24"/>
                <w:szCs w:val="24"/>
                <w:color w:val="auto"/>
              </w:rPr>
            </w:pPr>
          </w:p>
        </w:tc>
      </w:tr>
      <w:tr>
        <w:trPr>
          <w:trHeight w:val="256"/>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2.01  Form and Dating</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7"/>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2.02  Execution and Authentication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2.03  Registrar and Paying Agent</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2.04  Paying Agent to Hold Money in Trust</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2.05</w:t>
            </w:r>
          </w:p>
        </w:tc>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Holder Lists</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56"/>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2.06  Transfer and Exchange</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2.07</w:t>
            </w:r>
          </w:p>
        </w:tc>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Replacement Notes</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2.08</w:t>
            </w:r>
          </w:p>
        </w:tc>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Outstanding Notes</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2.09</w:t>
            </w:r>
          </w:p>
        </w:tc>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Treasury Notes</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2.10</w:t>
            </w:r>
          </w:p>
        </w:tc>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Temporary Notes</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2.11</w:t>
            </w:r>
          </w:p>
        </w:tc>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Cancellation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2.12</w:t>
            </w:r>
          </w:p>
        </w:tc>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Defaulted Interest</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6"/>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2.13  Issuance of Additional Notes</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2.14</w:t>
            </w:r>
          </w:p>
        </w:tc>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CUSIP/ISIN Numbers</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ARTICLE III</w:t>
            </w:r>
          </w:p>
        </w:tc>
        <w:tc>
          <w:tcPr>
            <w:tcW w:w="7200" w:type="dxa"/>
            <w:vAlign w:val="bottom"/>
          </w:tcPr>
          <w:p>
            <w:pPr>
              <w:spacing w:after="0"/>
              <w:rPr>
                <w:sz w:val="22"/>
                <w:szCs w:val="22"/>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76"/>
        </w:trPr>
        <w:tc>
          <w:tcPr>
            <w:tcW w:w="83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REDEMPTION AND PREPAYMENT</w:t>
            </w:r>
          </w:p>
        </w:tc>
        <w:tc>
          <w:tcPr>
            <w:tcW w:w="2860" w:type="dxa"/>
            <w:vAlign w:val="bottom"/>
          </w:tcPr>
          <w:p>
            <w:pPr>
              <w:spacing w:after="0"/>
              <w:rPr>
                <w:sz w:val="24"/>
                <w:szCs w:val="24"/>
                <w:color w:val="auto"/>
              </w:rPr>
            </w:pPr>
          </w:p>
        </w:tc>
      </w:tr>
      <w:tr>
        <w:trPr>
          <w:trHeight w:val="256"/>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3.01  Notices to Trustee</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7"/>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3.02  Selection of Notes to Be Redeemed or Purchased</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6"/>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3.03  Notice of Redemption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7"/>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3.04  Effect of Notice of Redemption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6"/>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3.05  Deposit of Redemption or Purchase Price</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7"/>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3.06  Notes Redeemed or Purchased in Part</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3.07</w:t>
            </w:r>
          </w:p>
        </w:tc>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Optional Redemption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3.08</w:t>
            </w:r>
          </w:p>
        </w:tc>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Mandatory Redemption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7"/>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3.09  Offer to Purchase by Application of Excess Proceeds</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ARTICLE IV</w:t>
            </w:r>
          </w:p>
        </w:tc>
        <w:tc>
          <w:tcPr>
            <w:tcW w:w="7200" w:type="dxa"/>
            <w:vAlign w:val="bottom"/>
          </w:tcPr>
          <w:p>
            <w:pPr>
              <w:spacing w:after="0"/>
              <w:rPr>
                <w:sz w:val="22"/>
                <w:szCs w:val="22"/>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76"/>
        </w:trPr>
        <w:tc>
          <w:tcPr>
            <w:tcW w:w="83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COVENANTS</w:t>
            </w:r>
          </w:p>
        </w:tc>
        <w:tc>
          <w:tcPr>
            <w:tcW w:w="2860" w:type="dxa"/>
            <w:vAlign w:val="bottom"/>
          </w:tcPr>
          <w:p>
            <w:pPr>
              <w:spacing w:after="0"/>
              <w:rPr>
                <w:sz w:val="24"/>
                <w:szCs w:val="24"/>
                <w:color w:val="auto"/>
              </w:rPr>
            </w:pPr>
          </w:p>
        </w:tc>
      </w:tr>
      <w:tr>
        <w:trPr>
          <w:trHeight w:val="256"/>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4.01  Payment of Notes</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6"/>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4.02  Maintenance of Office or Agency</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4.03</w:t>
            </w:r>
          </w:p>
        </w:tc>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Reports</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4.04</w:t>
            </w:r>
          </w:p>
        </w:tc>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Compliance Certificate</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4.05</w:t>
            </w:r>
          </w:p>
        </w:tc>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Taxes</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bl>
    <w:p>
      <w:pPr>
        <w:spacing w:after="0" w:line="200" w:lineRule="exact"/>
        <w:rPr>
          <w:sz w:val="20"/>
          <w:szCs w:val="20"/>
          <w:color w:val="auto"/>
        </w:rPr>
      </w:pPr>
    </w:p>
    <w:p>
      <w:pPr>
        <w:sectPr>
          <w:pgSz w:w="11900" w:h="16838" w:orient="portrait"/>
          <w:cols w:equalWidth="0" w:num="1">
            <w:col w:w="11220"/>
          </w:cols>
          <w:pgMar w:left="340" w:top="536"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60"/>
        <w:spacing w:after="0"/>
        <w:tabs>
          <w:tab w:leader="none" w:pos="5480" w:val="left"/>
        </w:tabs>
        <w:rPr>
          <w:sz w:val="20"/>
          <w:szCs w:val="20"/>
          <w:color w:val="auto"/>
        </w:rPr>
      </w:pPr>
      <w:r>
        <w:rPr>
          <w:rFonts w:ascii="Times New Roman" w:cs="Times New Roman" w:eastAsia="Times New Roman" w:hAnsi="Times New Roman"/>
          <w:sz w:val="11"/>
          <w:szCs w:val="11"/>
          <w:color w:val="auto"/>
        </w:rPr>
        <w:t>AMERICAS 129712752</w:t>
      </w:r>
      <w:r>
        <w:rPr>
          <w:sz w:val="20"/>
          <w:szCs w:val="20"/>
          <w:color w:val="auto"/>
        </w:rPr>
        <w:tab/>
      </w:r>
      <w:r>
        <w:rPr>
          <w:rFonts w:ascii="Times New Roman" w:cs="Times New Roman" w:eastAsia="Times New Roman" w:hAnsi="Times New Roman"/>
          <w:sz w:val="20"/>
          <w:szCs w:val="20"/>
          <w:color w:val="auto"/>
        </w:rPr>
        <w:t>(i)</w:t>
      </w:r>
    </w:p>
    <w:p>
      <w:pPr>
        <w:sectPr>
          <w:pgSz w:w="11900" w:h="16838" w:orient="portrait"/>
          <w:cols w:equalWidth="0" w:num="1">
            <w:col w:w="11220"/>
          </w:cols>
          <w:pgMar w:left="340" w:top="536" w:right="339" w:bottom="1440" w:gutter="0" w:footer="0" w:header="0"/>
          <w:type w:val="continuous"/>
        </w:sectPr>
      </w:pPr>
    </w:p>
    <w:bookmarkStart w:id="5" w:name="page6"/>
    <w:bookmarkEnd w:id="5"/>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4.06  Stay, Extension and Usury Laws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5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4.07</w:t>
            </w:r>
          </w:p>
        </w:tc>
        <w:tc>
          <w:tcPr>
            <w:tcW w:w="7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Restricted Payments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7"/>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4.08  Dividend and Other Payment Restrictions Affecting Restricted Subsidiaries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6"/>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4.09  Incurrence of Indebtedness and Issuance of Preferred Stock</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4.10</w:t>
            </w:r>
          </w:p>
        </w:tc>
        <w:tc>
          <w:tcPr>
            <w:tcW w:w="7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Asset Sales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7"/>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4.11  Transactions with Affiliates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4.12</w:t>
            </w:r>
          </w:p>
        </w:tc>
        <w:tc>
          <w:tcPr>
            <w:tcW w:w="7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Liens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4.13</w:t>
            </w:r>
          </w:p>
        </w:tc>
        <w:tc>
          <w:tcPr>
            <w:tcW w:w="7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Business Activities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4.14</w:t>
            </w:r>
          </w:p>
        </w:tc>
        <w:tc>
          <w:tcPr>
            <w:tcW w:w="7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Corporate Existence</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7"/>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4.15  Repurchase at the Option of Holders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4.16</w:t>
            </w:r>
          </w:p>
        </w:tc>
        <w:tc>
          <w:tcPr>
            <w:tcW w:w="7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[Reserved]</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4.17</w:t>
            </w:r>
          </w:p>
        </w:tc>
        <w:tc>
          <w:tcPr>
            <w:tcW w:w="7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[Reserved]</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6"/>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4.18  Additional Note Guarantees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7"/>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4.19  Designation of Restricted and Unrestricted Subsidiaries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7"/>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4.20  Suspension of Certain Covenants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ARTICLE V</w:t>
            </w:r>
          </w:p>
        </w:tc>
        <w:tc>
          <w:tcPr>
            <w:tcW w:w="79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37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SUCCESSORS</w:t>
            </w:r>
          </w:p>
        </w:tc>
        <w:tc>
          <w:tcPr>
            <w:tcW w:w="2120" w:type="dxa"/>
            <w:vAlign w:val="bottom"/>
          </w:tcPr>
          <w:p>
            <w:pPr>
              <w:spacing w:after="0"/>
              <w:rPr>
                <w:sz w:val="24"/>
                <w:szCs w:val="24"/>
                <w:color w:val="auto"/>
              </w:rPr>
            </w:pPr>
          </w:p>
        </w:tc>
      </w:tr>
      <w:tr>
        <w:trPr>
          <w:trHeight w:val="256"/>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5.01  Merger, Consolidation or Sale of Assets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7"/>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5.02  Successor Corporation Substituted</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ARTICLE VI</w:t>
            </w:r>
          </w:p>
        </w:tc>
        <w:tc>
          <w:tcPr>
            <w:tcW w:w="79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37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DEFAULTS AND REMEDIES</w:t>
            </w:r>
          </w:p>
        </w:tc>
        <w:tc>
          <w:tcPr>
            <w:tcW w:w="2120" w:type="dxa"/>
            <w:vAlign w:val="bottom"/>
          </w:tcPr>
          <w:p>
            <w:pPr>
              <w:spacing w:after="0"/>
              <w:rPr>
                <w:sz w:val="24"/>
                <w:szCs w:val="24"/>
                <w:color w:val="auto"/>
              </w:rPr>
            </w:pPr>
          </w:p>
        </w:tc>
      </w:tr>
      <w:tr>
        <w:trPr>
          <w:trHeight w:val="257"/>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6.01  Events of Default</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6.02</w:t>
            </w:r>
          </w:p>
        </w:tc>
        <w:tc>
          <w:tcPr>
            <w:tcW w:w="7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Acceleration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6.03</w:t>
            </w:r>
          </w:p>
        </w:tc>
        <w:tc>
          <w:tcPr>
            <w:tcW w:w="7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Remedies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7"/>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6.04  Waiver of Past Defaults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6"/>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6.05  Control by Majority</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7"/>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6.06  Limitation on Suits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56"/>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6.07  Rights of Holders of Notes to Receive Payment</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57"/>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6.08  Collection Suit by Trustee</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56"/>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6.09  Trustee May File Proofs of Claim</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5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6.10</w:t>
            </w:r>
          </w:p>
        </w:tc>
        <w:tc>
          <w:tcPr>
            <w:tcW w:w="7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Priorities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7"/>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6.11  Undertaking for Costs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w w:val="97"/>
              </w:rPr>
              <w:t>ARTICLE VII</w:t>
            </w:r>
          </w:p>
        </w:tc>
        <w:tc>
          <w:tcPr>
            <w:tcW w:w="79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37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TRUSTEE</w:t>
            </w:r>
          </w:p>
        </w:tc>
        <w:tc>
          <w:tcPr>
            <w:tcW w:w="2120" w:type="dxa"/>
            <w:vAlign w:val="bottom"/>
          </w:tcPr>
          <w:p>
            <w:pPr>
              <w:spacing w:after="0"/>
              <w:rPr>
                <w:sz w:val="24"/>
                <w:szCs w:val="24"/>
                <w:color w:val="auto"/>
              </w:rPr>
            </w:pPr>
          </w:p>
        </w:tc>
      </w:tr>
      <w:tr>
        <w:trPr>
          <w:trHeight w:val="257"/>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7.01  Duties of Trustee</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6"/>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7.02  Rights of Trustee</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57"/>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7.03  Individual Rights of Trustee</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7.04</w:t>
            </w:r>
          </w:p>
        </w:tc>
        <w:tc>
          <w:tcPr>
            <w:tcW w:w="7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Trustee’s Disclaimer</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6"/>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7.05  Notice of Defaults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7.06</w:t>
            </w:r>
          </w:p>
        </w:tc>
        <w:tc>
          <w:tcPr>
            <w:tcW w:w="7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[Reserved]</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6"/>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7.07  Compensation and Indemnity</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8"/>
        </w:trPr>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7.08  Replacement of Trustee</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60"/>
        <w:spacing w:after="0"/>
        <w:tabs>
          <w:tab w:leader="none" w:pos="5460" w:val="left"/>
        </w:tabs>
        <w:rPr>
          <w:sz w:val="20"/>
          <w:szCs w:val="20"/>
          <w:color w:val="auto"/>
        </w:rPr>
      </w:pPr>
      <w:r>
        <w:rPr>
          <w:rFonts w:ascii="Times New Roman" w:cs="Times New Roman" w:eastAsia="Times New Roman" w:hAnsi="Times New Roman"/>
          <w:sz w:val="11"/>
          <w:szCs w:val="11"/>
          <w:color w:val="auto"/>
        </w:rPr>
        <w:t>AMERICAS 129712752</w:t>
      </w:r>
      <w:r>
        <w:rPr>
          <w:sz w:val="20"/>
          <w:szCs w:val="20"/>
          <w:color w:val="auto"/>
        </w:rPr>
        <w:tab/>
      </w:r>
      <w:r>
        <w:rPr>
          <w:rFonts w:ascii="Times New Roman" w:cs="Times New Roman" w:eastAsia="Times New Roman" w:hAnsi="Times New Roman"/>
          <w:sz w:val="19"/>
          <w:szCs w:val="19"/>
          <w:color w:val="auto"/>
        </w:rPr>
        <w:t>(ii)</w:t>
      </w:r>
    </w:p>
    <w:p>
      <w:pPr>
        <w:sectPr>
          <w:pgSz w:w="11900" w:h="16838" w:orient="portrait"/>
          <w:cols w:equalWidth="0" w:num="1">
            <w:col w:w="11200"/>
          </w:cols>
          <w:pgMar w:left="340" w:top="1440" w:right="359" w:bottom="1440" w:gutter="0" w:footer="0" w:header="0"/>
          <w:type w:val="continuous"/>
        </w:sectPr>
      </w:pPr>
    </w:p>
    <w:bookmarkStart w:id="6" w:name="page7"/>
    <w:bookmarkEnd w:id="6"/>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7.09  Successor Trustee by Merger, etc</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7.10</w:t>
            </w:r>
          </w:p>
        </w:tc>
        <w:tc>
          <w:tcPr>
            <w:tcW w:w="8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Eligibility; Disqualification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7.11</w:t>
            </w:r>
          </w:p>
        </w:tc>
        <w:tc>
          <w:tcPr>
            <w:tcW w:w="8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[Reserved]</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8"/>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76"/>
        </w:trPr>
        <w:tc>
          <w:tcPr>
            <w:tcW w:w="99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LEGAL DEFEASANCE AND COVENANT DEFEASANCE</w:t>
            </w:r>
          </w:p>
        </w:tc>
        <w:tc>
          <w:tcPr>
            <w:tcW w:w="1260" w:type="dxa"/>
            <w:vAlign w:val="bottom"/>
          </w:tcPr>
          <w:p>
            <w:pPr>
              <w:spacing w:after="0"/>
              <w:rPr>
                <w:sz w:val="24"/>
                <w:szCs w:val="24"/>
                <w:color w:val="auto"/>
              </w:rPr>
            </w:pPr>
          </w:p>
        </w:tc>
      </w:tr>
      <w:tr>
        <w:trPr>
          <w:trHeight w:val="257"/>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8.01  Option to Effect Legal Defeasance or 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7"/>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8.02  Legal Defeasance and Discharge</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8.03</w:t>
            </w:r>
          </w:p>
        </w:tc>
        <w:tc>
          <w:tcPr>
            <w:tcW w:w="8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7"/>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8.04  Conditions to Legal or 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7"/>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8.05  Deposited Money and Government Securities to be Held in Trust; Other Miscellaneous Provisions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7"/>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8.06  Repayment to Company</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8.07</w:t>
            </w:r>
          </w:p>
        </w:tc>
        <w:tc>
          <w:tcPr>
            <w:tcW w:w="8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Reinstatement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ARTICLE IX</w:t>
            </w:r>
          </w:p>
        </w:tc>
        <w:tc>
          <w:tcPr>
            <w:tcW w:w="87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376"/>
        </w:trPr>
        <w:tc>
          <w:tcPr>
            <w:tcW w:w="99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AMENDMENT, SUPPLEMENT AND WAIVER</w:t>
            </w:r>
          </w:p>
        </w:tc>
        <w:tc>
          <w:tcPr>
            <w:tcW w:w="1260" w:type="dxa"/>
            <w:vAlign w:val="bottom"/>
          </w:tcPr>
          <w:p>
            <w:pPr>
              <w:spacing w:after="0"/>
              <w:rPr>
                <w:sz w:val="24"/>
                <w:szCs w:val="24"/>
                <w:color w:val="auto"/>
              </w:rPr>
            </w:pPr>
          </w:p>
        </w:tc>
      </w:tr>
      <w:tr>
        <w:trPr>
          <w:trHeight w:val="257"/>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9.01  Without Consent of Holders of Notes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6"/>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9.02  With Consent of Holders of Notes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5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9.03</w:t>
            </w:r>
          </w:p>
        </w:tc>
        <w:tc>
          <w:tcPr>
            <w:tcW w:w="8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[Reserved]</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56"/>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9.04  Revocation and Effect of Consents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56"/>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9.05  Notation on or Exchange of Notes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57"/>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9.06  Trustee to Sign Amendments, etc</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ARTICLE X</w:t>
            </w:r>
          </w:p>
        </w:tc>
        <w:tc>
          <w:tcPr>
            <w:tcW w:w="87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376"/>
        </w:trPr>
        <w:tc>
          <w:tcPr>
            <w:tcW w:w="99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NOTE GUARANTEES</w:t>
            </w:r>
          </w:p>
        </w:tc>
        <w:tc>
          <w:tcPr>
            <w:tcW w:w="1260" w:type="dxa"/>
            <w:vAlign w:val="bottom"/>
          </w:tcPr>
          <w:p>
            <w:pPr>
              <w:spacing w:after="0"/>
              <w:rPr>
                <w:sz w:val="24"/>
                <w:szCs w:val="24"/>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10.01</w:t>
            </w:r>
          </w:p>
        </w:tc>
        <w:tc>
          <w:tcPr>
            <w:tcW w:w="8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Guarantee</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57"/>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10.02  Limitation on Guarantor Liability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6"/>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10.03  Execution and Delivery of Note Guarantee</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7"/>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10.04  Guarantors May Consolidate, etc. on Certain Terms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10.05</w:t>
            </w:r>
          </w:p>
        </w:tc>
        <w:tc>
          <w:tcPr>
            <w:tcW w:w="8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Releases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ARTICLE XI</w:t>
            </w:r>
          </w:p>
        </w:tc>
        <w:tc>
          <w:tcPr>
            <w:tcW w:w="87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76"/>
        </w:trPr>
        <w:tc>
          <w:tcPr>
            <w:tcW w:w="99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SATISFACTION AND DISCHARGE</w:t>
            </w:r>
          </w:p>
        </w:tc>
        <w:tc>
          <w:tcPr>
            <w:tcW w:w="1260" w:type="dxa"/>
            <w:vAlign w:val="bottom"/>
          </w:tcPr>
          <w:p>
            <w:pPr>
              <w:spacing w:after="0"/>
              <w:rPr>
                <w:sz w:val="24"/>
                <w:szCs w:val="24"/>
                <w:color w:val="auto"/>
              </w:rPr>
            </w:pPr>
          </w:p>
        </w:tc>
      </w:tr>
      <w:tr>
        <w:trPr>
          <w:trHeight w:val="257"/>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11.01  Satisfaction and Discharge</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56"/>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11.02  Application of Trust Money</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w w:val="97"/>
              </w:rPr>
              <w:t>ARTICLE XII</w:t>
            </w:r>
          </w:p>
        </w:tc>
        <w:tc>
          <w:tcPr>
            <w:tcW w:w="87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76"/>
        </w:trPr>
        <w:tc>
          <w:tcPr>
            <w:tcW w:w="99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MISCELLANEOUS</w:t>
            </w:r>
          </w:p>
        </w:tc>
        <w:tc>
          <w:tcPr>
            <w:tcW w:w="1260" w:type="dxa"/>
            <w:vAlign w:val="bottom"/>
          </w:tcPr>
          <w:p>
            <w:pPr>
              <w:spacing w:after="0"/>
              <w:rPr>
                <w:sz w:val="24"/>
                <w:szCs w:val="24"/>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12.01</w:t>
            </w:r>
          </w:p>
        </w:tc>
        <w:tc>
          <w:tcPr>
            <w:tcW w:w="8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12.02</w:t>
            </w:r>
          </w:p>
        </w:tc>
        <w:tc>
          <w:tcPr>
            <w:tcW w:w="8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Notices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6"/>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12.04  Certificate and Opinion as to Conditions Precedent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56"/>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12.05  Statements Required in Certificate or Opinion</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56"/>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12.06  Rules by Trustee and Agents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56"/>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12.07  No Personal Liability of Directors, Officers, Employees and Stockholders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12.08</w:t>
            </w:r>
          </w:p>
        </w:tc>
        <w:tc>
          <w:tcPr>
            <w:tcW w:w="8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Governing Law</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60"/>
        <w:spacing w:after="0"/>
        <w:tabs>
          <w:tab w:leader="none" w:pos="5420" w:val="left"/>
        </w:tabs>
        <w:rPr>
          <w:sz w:val="20"/>
          <w:szCs w:val="20"/>
          <w:color w:val="auto"/>
        </w:rPr>
      </w:pPr>
      <w:r>
        <w:rPr>
          <w:rFonts w:ascii="Times New Roman" w:cs="Times New Roman" w:eastAsia="Times New Roman" w:hAnsi="Times New Roman"/>
          <w:sz w:val="11"/>
          <w:szCs w:val="11"/>
          <w:color w:val="auto"/>
        </w:rPr>
        <w:t>AMERICAS 129712752</w:t>
      </w:r>
      <w:r>
        <w:rPr>
          <w:sz w:val="20"/>
          <w:szCs w:val="20"/>
          <w:color w:val="auto"/>
        </w:rPr>
        <w:tab/>
      </w:r>
      <w:r>
        <w:rPr>
          <w:rFonts w:ascii="Times New Roman" w:cs="Times New Roman" w:eastAsia="Times New Roman" w:hAnsi="Times New Roman"/>
          <w:sz w:val="19"/>
          <w:szCs w:val="19"/>
          <w:color w:val="auto"/>
        </w:rPr>
        <w:t>(iii)</w:t>
      </w:r>
    </w:p>
    <w:p>
      <w:pPr>
        <w:sectPr>
          <w:pgSz w:w="11900" w:h="16838" w:orient="portrait"/>
          <w:cols w:equalWidth="0" w:num="1">
            <w:col w:w="11200"/>
          </w:cols>
          <w:pgMar w:left="340" w:top="1440" w:right="359" w:bottom="1440" w:gutter="0" w:footer="0" w:header="0"/>
          <w:type w:val="continuous"/>
        </w:sectPr>
      </w:pPr>
    </w:p>
    <w:bookmarkStart w:id="7" w:name="page8"/>
    <w:bookmarkEnd w:id="7"/>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12.09  No Adverse Interpretation of Other Agreements</w:t>
            </w:r>
          </w:p>
        </w:tc>
        <w:tc>
          <w:tcPr>
            <w:tcW w:w="3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7"/>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12.10</w:t>
            </w:r>
          </w:p>
        </w:tc>
        <w:tc>
          <w:tcPr>
            <w:tcW w:w="6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Successors</w:t>
            </w:r>
          </w:p>
        </w:tc>
        <w:tc>
          <w:tcPr>
            <w:tcW w:w="3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7"/>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12.11</w:t>
            </w:r>
          </w:p>
        </w:tc>
        <w:tc>
          <w:tcPr>
            <w:tcW w:w="6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Severability</w:t>
            </w:r>
          </w:p>
        </w:tc>
        <w:tc>
          <w:tcPr>
            <w:tcW w:w="3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7"/>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12.12  Counterpart Originals; Electronic Signature</w:t>
            </w:r>
          </w:p>
        </w:tc>
        <w:tc>
          <w:tcPr>
            <w:tcW w:w="3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6"/>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12.13  Table of Contents, Headings, etc</w:t>
            </w:r>
          </w:p>
        </w:tc>
        <w:tc>
          <w:tcPr>
            <w:tcW w:w="3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57"/>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12.14</w:t>
            </w:r>
          </w:p>
        </w:tc>
        <w:tc>
          <w:tcPr>
            <w:tcW w:w="6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Waiver of Jury Trial</w:t>
            </w:r>
          </w:p>
        </w:tc>
        <w:tc>
          <w:tcPr>
            <w:tcW w:w="3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58"/>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12.15</w:t>
            </w:r>
          </w:p>
        </w:tc>
        <w:tc>
          <w:tcPr>
            <w:tcW w:w="6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U.S.A. Patriot Act</w:t>
            </w:r>
          </w:p>
        </w:tc>
        <w:tc>
          <w:tcPr>
            <w:tcW w:w="3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tabs>
          <w:tab w:leader="none" w:pos="5440" w:val="left"/>
        </w:tabs>
        <w:rPr>
          <w:sz w:val="20"/>
          <w:szCs w:val="20"/>
          <w:color w:val="auto"/>
        </w:rPr>
      </w:pPr>
      <w:r>
        <w:rPr>
          <w:rFonts w:ascii="Times New Roman" w:cs="Times New Roman" w:eastAsia="Times New Roman" w:hAnsi="Times New Roman"/>
          <w:sz w:val="11"/>
          <w:szCs w:val="11"/>
          <w:color w:val="auto"/>
        </w:rPr>
        <w:t>AMERICAS 129712752</w:t>
      </w:r>
      <w:r>
        <w:rPr>
          <w:sz w:val="20"/>
          <w:szCs w:val="20"/>
          <w:color w:val="auto"/>
        </w:rPr>
        <w:tab/>
      </w:r>
      <w:r>
        <w:rPr>
          <w:rFonts w:ascii="Times New Roman" w:cs="Times New Roman" w:eastAsia="Times New Roman" w:hAnsi="Times New Roman"/>
          <w:sz w:val="19"/>
          <w:szCs w:val="19"/>
          <w:color w:val="auto"/>
        </w:rPr>
        <w:t>(iv)</w:t>
      </w:r>
    </w:p>
    <w:p>
      <w:pPr>
        <w:sectPr>
          <w:pgSz w:w="11900" w:h="16838" w:orient="portrait"/>
          <w:cols w:equalWidth="0" w:num="1">
            <w:col w:w="11200"/>
          </w:cols>
          <w:pgMar w:left="340" w:top="1440" w:right="359" w:bottom="1440" w:gutter="0" w:footer="0" w:header="0"/>
        </w:sectPr>
      </w:pPr>
    </w:p>
    <w:bookmarkStart w:id="8" w:name="page9"/>
    <w:bookmarkEnd w:id="8"/>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0" w:type="dxa"/>
            <w:vAlign w:val="bottom"/>
          </w:tcPr>
          <w:p>
            <w:pPr>
              <w:ind w:left="3980"/>
              <w:spacing w:after="0"/>
              <w:rPr>
                <w:sz w:val="20"/>
                <w:szCs w:val="20"/>
                <w:color w:val="auto"/>
              </w:rPr>
            </w:pPr>
            <w:r>
              <w:rPr>
                <w:rFonts w:ascii="Times New Roman" w:cs="Times New Roman" w:eastAsia="Times New Roman" w:hAnsi="Times New Roman"/>
                <w:sz w:val="20"/>
                <w:szCs w:val="20"/>
                <w:color w:val="auto"/>
              </w:rPr>
              <w:t>EXHIBITS</w:t>
            </w:r>
          </w:p>
        </w:tc>
      </w:tr>
      <w:tr>
        <w:trPr>
          <w:trHeight w:val="39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Exhibit A</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7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NOTE</w:t>
            </w:r>
          </w:p>
        </w:tc>
      </w:tr>
      <w:tr>
        <w:trPr>
          <w:trHeight w:val="405"/>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Exhibit B</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7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CERTIFICATE OF TRANSFER</w:t>
            </w:r>
          </w:p>
        </w:tc>
      </w:tr>
      <w:tr>
        <w:trPr>
          <w:trHeight w:val="391"/>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Exhibit C</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7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CERTIFICATE OF EXCHANGE</w:t>
            </w:r>
          </w:p>
        </w:tc>
      </w:tr>
      <w:tr>
        <w:trPr>
          <w:trHeight w:val="405"/>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Exhibit D</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FORM OF CERTIFICATE OF ACQUIRING INSTITUTIONAL ACCREDITED INVESTOR</w:t>
            </w:r>
          </w:p>
        </w:tc>
      </w:tr>
      <w:tr>
        <w:trPr>
          <w:trHeight w:val="405"/>
        </w:trPr>
        <w:tc>
          <w:tcPr>
            <w:tcW w:w="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E</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7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SUPPLEMENTAL INDENTURE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spacing w:after="0"/>
        <w:tabs>
          <w:tab w:leader="none" w:pos="5480" w:val="left"/>
        </w:tabs>
        <w:rPr>
          <w:sz w:val="20"/>
          <w:szCs w:val="20"/>
          <w:color w:val="auto"/>
        </w:rPr>
      </w:pPr>
      <w:r>
        <w:rPr>
          <w:rFonts w:ascii="Times New Roman" w:cs="Times New Roman" w:eastAsia="Times New Roman" w:hAnsi="Times New Roman"/>
          <w:sz w:val="11"/>
          <w:szCs w:val="11"/>
          <w:color w:val="auto"/>
        </w:rPr>
        <w:t>AMERICAS 129712752</w:t>
      </w:r>
      <w:r>
        <w:rPr>
          <w:sz w:val="20"/>
          <w:szCs w:val="20"/>
          <w:color w:val="auto"/>
        </w:rPr>
        <w:tab/>
      </w:r>
      <w:r>
        <w:rPr>
          <w:rFonts w:ascii="Times New Roman" w:cs="Times New Roman" w:eastAsia="Times New Roman" w:hAnsi="Times New Roman"/>
          <w:sz w:val="20"/>
          <w:szCs w:val="20"/>
          <w:color w:val="auto"/>
        </w:rPr>
        <w:t>(v)</w:t>
      </w:r>
    </w:p>
    <w:p>
      <w:pPr>
        <w:sectPr>
          <w:pgSz w:w="11900" w:h="16838" w:orient="portrait"/>
          <w:cols w:equalWidth="0" w:num="1">
            <w:col w:w="10139"/>
          </w:cols>
          <w:pgMar w:left="320" w:top="1440" w:right="1440" w:bottom="1440" w:gutter="0" w:footer="0" w:header="0"/>
        </w:sectPr>
      </w:pPr>
    </w:p>
    <w:bookmarkStart w:id="9" w:name="page10"/>
    <w:bookmarkEnd w:id="9"/>
    <w:p>
      <w:pPr>
        <w:spacing w:after="0" w:line="13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INDENTURE, dated as of March 28, 2025, among EZCORP, Inc., a Delaware corporation, the Guarantors (as defined below) from time-to-time party hereto and Truist Bank, as trustee (in such capacity,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Company, the Guarantors and the Trustee agree as follows for the benefit of each other and for the equal and ratable benefit of the Holders (as defined below) of the 7.375% Senior Notes due 2032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w:t>
      </w:r>
    </w:p>
    <w:p>
      <w:pPr>
        <w:spacing w:after="0" w:line="8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 AND INCORPORATION BY REFERENCE</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1.01</w:t>
      </w:r>
      <w:r>
        <w:rPr>
          <w:sz w:val="20"/>
          <w:szCs w:val="20"/>
          <w:color w:val="auto"/>
        </w:rPr>
        <w:tab/>
      </w: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144A Global Note</w:t>
      </w:r>
      <w:r>
        <w:rPr>
          <w:rFonts w:ascii="Times New Roman" w:cs="Times New Roman" w:eastAsia="Times New Roman" w:hAnsi="Times New Roman"/>
          <w:sz w:val="20"/>
          <w:szCs w:val="20"/>
          <w:color w:val="auto"/>
        </w:rPr>
        <w:t xml:space="preserve">” means a Global Note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Debt</w:t>
      </w:r>
      <w:r>
        <w:rPr>
          <w:rFonts w:ascii="Times New Roman" w:cs="Times New Roman" w:eastAsia="Times New Roman" w:hAnsi="Times New Roman"/>
          <w:sz w:val="20"/>
          <w:szCs w:val="20"/>
          <w:color w:val="auto"/>
        </w:rPr>
        <w:t>” means, with respect to any specified Person:</w:t>
      </w:r>
    </w:p>
    <w:p>
      <w:pPr>
        <w:spacing w:after="0" w:line="162" w:lineRule="exact"/>
        <w:rPr>
          <w:sz w:val="20"/>
          <w:szCs w:val="20"/>
          <w:color w:val="auto"/>
        </w:rPr>
      </w:pPr>
    </w:p>
    <w:p>
      <w:pPr>
        <w:jc w:val="both"/>
        <w:ind w:left="1300" w:firstLine="733"/>
        <w:spacing w:after="0" w:line="258" w:lineRule="auto"/>
        <w:tabs>
          <w:tab w:leader="none" w:pos="258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other Person existing at the time such other Person is merged with or into or became a Subsidiary of such specified Person, or expressly assumed in connection with the acquisition of assets from any such Person, whether or not such Indebtedness is incurred in connection with, or in contemplation of, such other Person merging with or into, or becoming a Restricted Subsidiary of, such specified Person; and</w:t>
      </w:r>
    </w:p>
    <w:p>
      <w:pPr>
        <w:spacing w:after="0" w:line="131" w:lineRule="exact"/>
        <w:rPr>
          <w:rFonts w:ascii="Times New Roman" w:cs="Times New Roman" w:eastAsia="Times New Roman" w:hAnsi="Times New Roman"/>
          <w:sz w:val="20"/>
          <w:szCs w:val="20"/>
          <w:color w:val="auto"/>
        </w:rPr>
      </w:pPr>
    </w:p>
    <w:p>
      <w:pPr>
        <w:ind w:left="2580" w:hanging="547"/>
        <w:spacing w:after="0"/>
        <w:tabs>
          <w:tab w:leader="none" w:pos="2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secured by a Lien encumbering any asset acquired by such specified Person.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13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Notes</w:t>
      </w:r>
      <w:r>
        <w:rPr>
          <w:rFonts w:ascii="Times New Roman" w:cs="Times New Roman" w:eastAsia="Times New Roman" w:hAnsi="Times New Roman"/>
          <w:sz w:val="20"/>
          <w:szCs w:val="20"/>
          <w:color w:val="auto"/>
        </w:rPr>
        <w:t xml:space="preserve">” means additional Notes (other than the Initial Notes) issued under this Indenture in accordance with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4.09</w:t>
      </w:r>
      <w:r>
        <w:rPr>
          <w:rFonts w:ascii="Times New Roman" w:cs="Times New Roman" w:eastAsia="Times New Roman" w:hAnsi="Times New Roman"/>
          <w:sz w:val="20"/>
          <w:szCs w:val="20"/>
          <w:color w:val="auto"/>
        </w:rPr>
        <w:t xml:space="preserve"> hereof, as part of the same series as the Initial Notes.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means any Registrar, co-registrar, Paying Agent or additional paying agent.</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Procedures</w:t>
      </w:r>
      <w:r>
        <w:rPr>
          <w:rFonts w:ascii="Times New Roman" w:cs="Times New Roman" w:eastAsia="Times New Roman" w:hAnsi="Times New Roman"/>
          <w:sz w:val="20"/>
          <w:szCs w:val="20"/>
          <w:color w:val="auto"/>
        </w:rPr>
        <w:t>” means, with respect to any transfer or exchange of or for beneficial interests in any Global Note, the rules and procedures of the Depositary, Euroclear and Clearstream that apply to such transfer or exchange.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Premium</w:t>
      </w:r>
      <w:r>
        <w:rPr>
          <w:rFonts w:ascii="Times New Roman" w:cs="Times New Roman" w:eastAsia="Times New Roman" w:hAnsi="Times New Roman"/>
          <w:sz w:val="20"/>
          <w:szCs w:val="20"/>
          <w:color w:val="auto"/>
        </w:rPr>
        <w:t>” means, with respect to any Note on any redemption date, the greater of:</w:t>
      </w:r>
    </w:p>
    <w:p>
      <w:pPr>
        <w:spacing w:after="0" w:line="175" w:lineRule="exact"/>
        <w:rPr>
          <w:sz w:val="20"/>
          <w:szCs w:val="20"/>
          <w:color w:val="auto"/>
        </w:rPr>
      </w:pPr>
    </w:p>
    <w:p>
      <w:pPr>
        <w:ind w:left="2580" w:hanging="547"/>
        <w:spacing w:after="0"/>
        <w:tabs>
          <w:tab w:leader="none" w:pos="25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of the principal amount of the Note;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129712752</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35" w:lineRule="exact"/>
        <w:rPr>
          <w:sz w:val="20"/>
          <w:szCs w:val="20"/>
          <w:color w:val="auto"/>
        </w:rPr>
      </w:pPr>
    </w:p>
    <w:p>
      <w:pPr>
        <w:ind w:left="2500" w:hanging="547"/>
        <w:spacing w:after="0"/>
        <w:tabs>
          <w:tab w:leader="none" w:pos="25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excess of:</w:t>
      </w:r>
    </w:p>
    <w:p>
      <w:pPr>
        <w:spacing w:after="0" w:line="175" w:lineRule="exact"/>
        <w:rPr>
          <w:rFonts w:ascii="Times New Roman" w:cs="Times New Roman" w:eastAsia="Times New Roman" w:hAnsi="Times New Roman"/>
          <w:sz w:val="20"/>
          <w:szCs w:val="20"/>
          <w:color w:val="auto"/>
        </w:rPr>
      </w:pPr>
    </w:p>
    <w:p>
      <w:pPr>
        <w:jc w:val="both"/>
        <w:ind w:left="1220" w:firstLine="652"/>
        <w:spacing w:after="0" w:line="253" w:lineRule="auto"/>
        <w:tabs>
          <w:tab w:leader="none" w:pos="250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present value at such redemption date of (i) the redemption price of the Note at April 1, 2028 (such redemption price being set forth in the table appearing under </w:t>
      </w:r>
      <w:r>
        <w:rPr>
          <w:rFonts w:ascii="Times New Roman" w:cs="Times New Roman" w:eastAsia="Times New Roman" w:hAnsi="Times New Roman"/>
          <w:sz w:val="20"/>
          <w:szCs w:val="20"/>
          <w:u w:val="single" w:color="auto"/>
          <w:color w:val="auto"/>
        </w:rPr>
        <w:t>Section 3.07(d)</w:t>
      </w:r>
      <w:r>
        <w:rPr>
          <w:rFonts w:ascii="Times New Roman" w:cs="Times New Roman" w:eastAsia="Times New Roman" w:hAnsi="Times New Roman"/>
          <w:sz w:val="20"/>
          <w:szCs w:val="20"/>
          <w:color w:val="auto"/>
        </w:rPr>
        <w:t>) plus (ii) all required interest payments due on the Note through April 1, 2028 (excluding accrued but unpaid interest to, but not including, the redemption date), computed using a discount rate equal to the Treasury Rate as of such time plus 50 basis points discounted to the redemption date on a semi-annual basis (assuming a 360-day year consisting of twelve 30-day months); over</w:t>
      </w:r>
    </w:p>
    <w:p>
      <w:pPr>
        <w:spacing w:after="0" w:line="137" w:lineRule="exact"/>
        <w:rPr>
          <w:rFonts w:ascii="Times New Roman" w:cs="Times New Roman" w:eastAsia="Times New Roman" w:hAnsi="Times New Roman"/>
          <w:sz w:val="20"/>
          <w:szCs w:val="20"/>
          <w:color w:val="auto"/>
        </w:rPr>
      </w:pPr>
    </w:p>
    <w:p>
      <w:pPr>
        <w:ind w:left="2500" w:hanging="628"/>
        <w:spacing w:after="0"/>
        <w:tabs>
          <w:tab w:leader="none" w:pos="25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the Note.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Sale</w:t>
      </w:r>
      <w:r>
        <w:rPr>
          <w:rFonts w:ascii="Times New Roman" w:cs="Times New Roman" w:eastAsia="Times New Roman" w:hAnsi="Times New Roman"/>
          <w:sz w:val="20"/>
          <w:szCs w:val="20"/>
          <w:color w:val="auto"/>
        </w:rPr>
        <w:t>” means:</w:t>
      </w:r>
    </w:p>
    <w:p>
      <w:pPr>
        <w:spacing w:after="0" w:line="175" w:lineRule="exact"/>
        <w:rPr>
          <w:sz w:val="20"/>
          <w:szCs w:val="20"/>
          <w:color w:val="auto"/>
        </w:rPr>
      </w:pPr>
    </w:p>
    <w:p>
      <w:pPr>
        <w:jc w:val="both"/>
        <w:ind w:left="1220" w:firstLine="733"/>
        <w:spacing w:after="0" w:line="258" w:lineRule="auto"/>
        <w:tabs>
          <w:tab w:leader="none" w:pos="250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sale, lease, conveyance or other disposition of any assets or rights by the Company or any of its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sale, lease, conveyance or other disposition of all or substantially all of the assets of the Company and its Restricted Subsidiaries taken as a whole will be governed by the provisions of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and/or the provisions of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and not by the provisions of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and</w:t>
      </w:r>
    </w:p>
    <w:p>
      <w:pPr>
        <w:spacing w:after="0" w:line="118" w:lineRule="exact"/>
        <w:rPr>
          <w:rFonts w:ascii="Times New Roman" w:cs="Times New Roman" w:eastAsia="Times New Roman" w:hAnsi="Times New Roman"/>
          <w:sz w:val="20"/>
          <w:szCs w:val="20"/>
          <w:color w:val="auto"/>
        </w:rPr>
      </w:pPr>
    </w:p>
    <w:p>
      <w:pPr>
        <w:jc w:val="both"/>
        <w:ind w:left="1220" w:firstLine="733"/>
        <w:spacing w:after="0" w:line="258" w:lineRule="auto"/>
        <w:tabs>
          <w:tab w:leader="none" w:pos="250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issuance of Equity Interests by any of the Company’s Restricted Subsidiaries or the sale by the Company or any of its Restricted Subsidiaries of Equity Interests in any of the Company’s Subsidiaries (in each case, other than directors’ qualifying shares, shares to be held by third parties to meet the applicable legal requirements and Disqualified Stock and preferred stock issued in compliance with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w:t>
      </w:r>
    </w:p>
    <w:p>
      <w:pPr>
        <w:spacing w:after="0" w:line="1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in the case of either clause (1) or (2) above, whether in a single transaction or a series of related transactions:</w:t>
      </w:r>
    </w:p>
    <w:p>
      <w:pPr>
        <w:spacing w:after="0" w:line="162" w:lineRule="exact"/>
        <w:rPr>
          <w:sz w:val="20"/>
          <w:szCs w:val="20"/>
          <w:color w:val="auto"/>
        </w:rPr>
      </w:pPr>
    </w:p>
    <w:p>
      <w:pPr>
        <w:ind w:left="2520" w:hanging="648"/>
        <w:spacing w:after="0"/>
        <w:tabs>
          <w:tab w:leader="none" w:pos="25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have a Fair Market Value in excess of $25.0 million; or</w:t>
      </w:r>
    </w:p>
    <w:p>
      <w:pPr>
        <w:spacing w:after="0" w:line="175" w:lineRule="exact"/>
        <w:rPr>
          <w:rFonts w:ascii="Times New Roman" w:cs="Times New Roman" w:eastAsia="Times New Roman" w:hAnsi="Times New Roman"/>
          <w:sz w:val="20"/>
          <w:szCs w:val="20"/>
          <w:color w:val="auto"/>
        </w:rPr>
      </w:pPr>
    </w:p>
    <w:p>
      <w:pPr>
        <w:ind w:left="2500" w:hanging="628"/>
        <w:spacing w:after="0"/>
        <w:tabs>
          <w:tab w:leader="none" w:pos="2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Net Proceeds in excess of $25.0 million.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Notwithstanding the preceding, none of the following items will be deemed to be an Asset Sale:</w:t>
      </w:r>
    </w:p>
    <w:p>
      <w:pPr>
        <w:spacing w:after="0" w:line="175" w:lineRule="exact"/>
        <w:rPr>
          <w:sz w:val="20"/>
          <w:szCs w:val="20"/>
          <w:color w:val="auto"/>
        </w:rPr>
      </w:pPr>
    </w:p>
    <w:p>
      <w:pPr>
        <w:ind w:left="1220" w:firstLine="733"/>
        <w:spacing w:after="0" w:line="269" w:lineRule="auto"/>
        <w:tabs>
          <w:tab w:leader="none" w:pos="250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transfer of assets between or among the Company and its Restricted Subsidiaries (including any transfer to any Person that concurrently becomes a Restricted Subsidiary);</w:t>
      </w:r>
    </w:p>
    <w:p>
      <w:pPr>
        <w:spacing w:after="0" w:line="118" w:lineRule="exact"/>
        <w:rPr>
          <w:rFonts w:ascii="Times New Roman" w:cs="Times New Roman" w:eastAsia="Times New Roman" w:hAnsi="Times New Roman"/>
          <w:sz w:val="20"/>
          <w:szCs w:val="20"/>
          <w:color w:val="auto"/>
        </w:rPr>
      </w:pPr>
    </w:p>
    <w:p>
      <w:pPr>
        <w:ind w:left="1220" w:firstLine="733"/>
        <w:spacing w:after="0" w:line="283" w:lineRule="auto"/>
        <w:tabs>
          <w:tab w:leader="none" w:pos="250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issuance of Equity Interests by a Restricted Subsidiary of the Company to the Company or to a Restricted Subsidiary thereof;</w:t>
      </w:r>
    </w:p>
    <w:p>
      <w:pPr>
        <w:spacing w:after="0" w:line="92" w:lineRule="exact"/>
        <w:rPr>
          <w:rFonts w:ascii="Times New Roman" w:cs="Times New Roman" w:eastAsia="Times New Roman" w:hAnsi="Times New Roman"/>
          <w:sz w:val="20"/>
          <w:szCs w:val="20"/>
          <w:color w:val="auto"/>
        </w:rPr>
      </w:pPr>
    </w:p>
    <w:p>
      <w:pPr>
        <w:jc w:val="both"/>
        <w:ind w:left="1220" w:firstLine="733"/>
        <w:spacing w:after="0" w:line="257" w:lineRule="auto"/>
        <w:tabs>
          <w:tab w:leader="none" w:pos="250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lease or other transfer of inventory, products, services, accounts receivable or other assets in the ordinary course of business (whether or not for cash), and any sale or other disposition of surplus, damaged, worn-out or obsolete assets in the ordinary course of business (including the abandonment, cancellation or other disposition of intellectual property that is, in the reasonable judgment of the Company, no longer economically practicable to maintain or useful in the conduct of the business of the Company and its Restricted Subsidiaries taken as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8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bl>
    <w:p>
      <w:pPr>
        <w:sectPr>
          <w:pgSz w:w="11900" w:h="16838" w:orient="portrait"/>
          <w:cols w:equalWidth="0" w:num="1">
            <w:col w:w="11160"/>
          </w:cols>
          <w:pgMar w:left="400" w:top="1440" w:right="339" w:bottom="1440" w:gutter="0" w:footer="0" w:header="0"/>
        </w:sectPr>
      </w:pPr>
    </w:p>
    <w:bookmarkStart w:id="11" w:name="page12"/>
    <w:bookmarkEnd w:id="11"/>
    <w:p>
      <w:pPr>
        <w:spacing w:after="0" w:line="135" w:lineRule="exact"/>
        <w:rPr>
          <w:sz w:val="20"/>
          <w:szCs w:val="20"/>
          <w:color w:val="auto"/>
        </w:rPr>
      </w:pPr>
    </w:p>
    <w:p>
      <w:pPr>
        <w:jc w:val="both"/>
        <w:ind w:left="1220" w:firstLine="733"/>
        <w:spacing w:after="0" w:line="261" w:lineRule="auto"/>
        <w:tabs>
          <w:tab w:leader="none" w:pos="250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to the extent that (i) such property is exchanged for credit against the purchase price of similar replacement property or (ii) the proceeds of such disposition are promptly applied to the purchase price of such replacement property;</w:t>
      </w:r>
    </w:p>
    <w:p>
      <w:pPr>
        <w:spacing w:after="0" w:line="127" w:lineRule="exact"/>
        <w:rPr>
          <w:rFonts w:ascii="Times New Roman" w:cs="Times New Roman" w:eastAsia="Times New Roman" w:hAnsi="Times New Roman"/>
          <w:sz w:val="20"/>
          <w:szCs w:val="20"/>
          <w:color w:val="auto"/>
        </w:rPr>
      </w:pPr>
    </w:p>
    <w:p>
      <w:pPr>
        <w:ind w:left="1220" w:firstLine="733"/>
        <w:spacing w:after="0" w:line="269" w:lineRule="auto"/>
        <w:tabs>
          <w:tab w:leader="none" w:pos="250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subleases, non-exclusive licenses or sublicenses of any property (including intellectual property) in the ordinary course of business;</w:t>
      </w:r>
    </w:p>
    <w:p>
      <w:pPr>
        <w:spacing w:after="0" w:line="118" w:lineRule="exact"/>
        <w:rPr>
          <w:rFonts w:ascii="Times New Roman" w:cs="Times New Roman" w:eastAsia="Times New Roman" w:hAnsi="Times New Roman"/>
          <w:sz w:val="20"/>
          <w:szCs w:val="20"/>
          <w:color w:val="auto"/>
        </w:rPr>
      </w:pPr>
    </w:p>
    <w:p>
      <w:pPr>
        <w:ind w:left="1220" w:firstLine="733"/>
        <w:spacing w:after="0" w:line="283" w:lineRule="auto"/>
        <w:tabs>
          <w:tab w:leader="none" w:pos="250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surrender or waiver of contract rights or settlement, release, recovery on or surrender of contract, tort or other claims in the ordinary course of business;</w:t>
      </w:r>
    </w:p>
    <w:p>
      <w:pPr>
        <w:spacing w:after="0" w:line="92" w:lineRule="exact"/>
        <w:rPr>
          <w:rFonts w:ascii="Times New Roman" w:cs="Times New Roman" w:eastAsia="Times New Roman" w:hAnsi="Times New Roman"/>
          <w:sz w:val="20"/>
          <w:szCs w:val="20"/>
          <w:color w:val="auto"/>
        </w:rPr>
      </w:pPr>
    </w:p>
    <w:p>
      <w:pPr>
        <w:ind w:left="1220" w:right="20" w:firstLine="733"/>
        <w:spacing w:after="0" w:line="283" w:lineRule="auto"/>
        <w:tabs>
          <w:tab w:leader="none" w:pos="250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creation, granting or perfection of Liens not prohibited by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hereof, or foreclosures, expropriations, condemnations or similar actions with respect to assets subject to such Liens;</w:t>
      </w:r>
    </w:p>
    <w:p>
      <w:pPr>
        <w:spacing w:after="0" w:line="92" w:lineRule="exact"/>
        <w:rPr>
          <w:rFonts w:ascii="Times New Roman" w:cs="Times New Roman" w:eastAsia="Times New Roman" w:hAnsi="Times New Roman"/>
          <w:sz w:val="20"/>
          <w:szCs w:val="20"/>
          <w:color w:val="auto"/>
        </w:rPr>
      </w:pPr>
    </w:p>
    <w:p>
      <w:pPr>
        <w:ind w:left="2500" w:hanging="547"/>
        <w:spacing w:after="0"/>
        <w:tabs>
          <w:tab w:leader="none" w:pos="25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of cash or Cash Equivalents;</w:t>
      </w:r>
    </w:p>
    <w:p>
      <w:pPr>
        <w:spacing w:after="0" w:line="175" w:lineRule="exact"/>
        <w:rPr>
          <w:rFonts w:ascii="Times New Roman" w:cs="Times New Roman" w:eastAsia="Times New Roman" w:hAnsi="Times New Roman"/>
          <w:sz w:val="20"/>
          <w:szCs w:val="20"/>
          <w:color w:val="auto"/>
        </w:rPr>
      </w:pPr>
    </w:p>
    <w:p>
      <w:pPr>
        <w:ind w:left="1220" w:right="20" w:firstLine="733"/>
        <w:spacing w:after="0" w:line="283" w:lineRule="auto"/>
        <w:tabs>
          <w:tab w:leader="none" w:pos="250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property or assets subject to casualty, condemnation or similar event upon receipt of the casualty and condemnation proceeds thereof;</w:t>
      </w:r>
    </w:p>
    <w:p>
      <w:pPr>
        <w:spacing w:after="0" w:line="92" w:lineRule="exact"/>
        <w:rPr>
          <w:rFonts w:ascii="Times New Roman" w:cs="Times New Roman" w:eastAsia="Times New Roman" w:hAnsi="Times New Roman"/>
          <w:sz w:val="20"/>
          <w:szCs w:val="20"/>
          <w:color w:val="auto"/>
        </w:rPr>
      </w:pPr>
    </w:p>
    <w:p>
      <w:pPr>
        <w:ind w:left="1220" w:firstLine="733"/>
        <w:spacing w:after="0" w:line="283" w:lineRule="auto"/>
        <w:tabs>
          <w:tab w:leader="none" w:pos="250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of insurance or condemnation proceeds provided to landlords (or their mortgagees) pursuant to the terms of any lease and Liens or rights reserved in any lease for rent or for compliance with the terms of such lease;</w:t>
      </w:r>
    </w:p>
    <w:p>
      <w:pPr>
        <w:spacing w:after="0" w:line="92" w:lineRule="exact"/>
        <w:rPr>
          <w:rFonts w:ascii="Times New Roman" w:cs="Times New Roman" w:eastAsia="Times New Roman" w:hAnsi="Times New Roman"/>
          <w:sz w:val="20"/>
          <w:szCs w:val="20"/>
          <w:color w:val="auto"/>
        </w:rPr>
      </w:pPr>
    </w:p>
    <w:p>
      <w:pPr>
        <w:jc w:val="both"/>
        <w:ind w:left="1220" w:firstLine="733"/>
        <w:spacing w:after="0" w:line="268" w:lineRule="auto"/>
        <w:tabs>
          <w:tab w:leader="none" w:pos="250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sales, transfers and other dispositions of joint ventures to the extent required by, or made pursuant to, customary buy/sell arrangements between the joint venture parties set forth in joint venture arrangements and similar binding arrangements and (ii) the winding down or dissolution of joint ventures;</w:t>
      </w:r>
    </w:p>
    <w:p>
      <w:pPr>
        <w:spacing w:after="0" w:line="107" w:lineRule="exact"/>
        <w:rPr>
          <w:rFonts w:ascii="Times New Roman" w:cs="Times New Roman" w:eastAsia="Times New Roman" w:hAnsi="Times New Roman"/>
          <w:sz w:val="20"/>
          <w:szCs w:val="20"/>
          <w:color w:val="auto"/>
        </w:rPr>
      </w:pPr>
    </w:p>
    <w:p>
      <w:pPr>
        <w:ind w:left="2520" w:hanging="567"/>
        <w:spacing w:after="0"/>
        <w:tabs>
          <w:tab w:leader="none" w:pos="25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Restricted Payment that does not violate </w:t>
      </w:r>
      <w:r>
        <w:rPr>
          <w:rFonts w:ascii="Times New Roman" w:cs="Times New Roman" w:eastAsia="Times New Roman" w:hAnsi="Times New Roman"/>
          <w:sz w:val="20"/>
          <w:szCs w:val="20"/>
          <w:u w:val="single" w:color="auto"/>
          <w:color w:val="auto"/>
        </w:rPr>
        <w:t>Section 4.07</w:t>
      </w:r>
      <w:r>
        <w:rPr>
          <w:rFonts w:ascii="Times New Roman" w:cs="Times New Roman" w:eastAsia="Times New Roman" w:hAnsi="Times New Roman"/>
          <w:sz w:val="20"/>
          <w:szCs w:val="20"/>
          <w:color w:val="auto"/>
        </w:rPr>
        <w:t xml:space="preserve"> or is a Permitted Investment;</w:t>
      </w:r>
    </w:p>
    <w:p>
      <w:pPr>
        <w:spacing w:after="0" w:line="175" w:lineRule="exact"/>
        <w:rPr>
          <w:rFonts w:ascii="Times New Roman" w:cs="Times New Roman" w:eastAsia="Times New Roman" w:hAnsi="Times New Roman"/>
          <w:sz w:val="20"/>
          <w:szCs w:val="20"/>
          <w:color w:val="auto"/>
        </w:rPr>
      </w:pPr>
    </w:p>
    <w:p>
      <w:pPr>
        <w:ind w:left="1220" w:firstLine="733"/>
        <w:spacing w:after="0" w:line="269" w:lineRule="auto"/>
        <w:tabs>
          <w:tab w:leader="none" w:pos="250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allowable under Section 1031 of the U.S. Internal Revenue Code of 1986, as amended (or comparable successor provision), any exchange of like property for use in a Permitted Business;</w:t>
      </w:r>
    </w:p>
    <w:p>
      <w:pPr>
        <w:spacing w:after="0" w:line="118" w:lineRule="exact"/>
        <w:rPr>
          <w:rFonts w:ascii="Times New Roman" w:cs="Times New Roman" w:eastAsia="Times New Roman" w:hAnsi="Times New Roman"/>
          <w:sz w:val="20"/>
          <w:szCs w:val="20"/>
          <w:color w:val="auto"/>
        </w:rPr>
      </w:pPr>
    </w:p>
    <w:p>
      <w:pPr>
        <w:ind w:left="2520" w:hanging="567"/>
        <w:spacing w:after="0"/>
        <w:tabs>
          <w:tab w:leader="none" w:pos="25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release of intangible claims or rights in connection with a lawsuit, dispute or other controversy;</w:t>
      </w:r>
    </w:p>
    <w:p>
      <w:pPr>
        <w:spacing w:after="0" w:line="161" w:lineRule="exact"/>
        <w:rPr>
          <w:rFonts w:ascii="Times New Roman" w:cs="Times New Roman" w:eastAsia="Times New Roman" w:hAnsi="Times New Roman"/>
          <w:sz w:val="20"/>
          <w:szCs w:val="20"/>
          <w:color w:val="auto"/>
        </w:rPr>
      </w:pPr>
    </w:p>
    <w:p>
      <w:pPr>
        <w:ind w:left="2520" w:hanging="567"/>
        <w:spacing w:after="0"/>
        <w:tabs>
          <w:tab w:leader="none" w:pos="25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terminations of Hedging Obligations;</w:t>
      </w:r>
    </w:p>
    <w:p>
      <w:pPr>
        <w:spacing w:after="0" w:line="175" w:lineRule="exact"/>
        <w:rPr>
          <w:rFonts w:ascii="Times New Roman" w:cs="Times New Roman" w:eastAsia="Times New Roman" w:hAnsi="Times New Roman"/>
          <w:sz w:val="20"/>
          <w:szCs w:val="20"/>
          <w:color w:val="auto"/>
        </w:rPr>
      </w:pPr>
    </w:p>
    <w:p>
      <w:pPr>
        <w:ind w:left="2520" w:hanging="567"/>
        <w:spacing w:after="0"/>
        <w:tabs>
          <w:tab w:leader="none" w:pos="252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of a lease or sublease of real or personal property that is not necessary for the ordinary course of</w:t>
      </w:r>
    </w:p>
    <w:p>
      <w:pPr>
        <w:spacing w:after="0" w:line="39" w:lineRule="exact"/>
        <w:rPr>
          <w:rFonts w:ascii="Times New Roman" w:cs="Times New Roman" w:eastAsia="Times New Roman" w:hAnsi="Times New Roman"/>
          <w:sz w:val="19"/>
          <w:szCs w:val="19"/>
          <w:color w:val="auto"/>
        </w:rPr>
      </w:pPr>
    </w:p>
    <w:p>
      <w:pPr>
        <w:ind w:left="12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business;</w:t>
      </w:r>
    </w:p>
    <w:p>
      <w:pPr>
        <w:spacing w:after="0" w:line="146" w:lineRule="exact"/>
        <w:rPr>
          <w:rFonts w:ascii="Times New Roman" w:cs="Times New Roman" w:eastAsia="Times New Roman" w:hAnsi="Times New Roman"/>
          <w:sz w:val="19"/>
          <w:szCs w:val="19"/>
          <w:color w:val="auto"/>
        </w:rPr>
      </w:pPr>
    </w:p>
    <w:p>
      <w:pPr>
        <w:ind w:left="1220" w:firstLine="733"/>
        <w:spacing w:after="0" w:line="283" w:lineRule="auto"/>
        <w:tabs>
          <w:tab w:leader="none" w:pos="250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discount of accounts receivable in connection with the compromise or collection thereof or in bankruptcy or in a similar proceeding;</w:t>
      </w:r>
    </w:p>
    <w:p>
      <w:pPr>
        <w:spacing w:after="0" w:line="92" w:lineRule="exact"/>
        <w:rPr>
          <w:rFonts w:ascii="Times New Roman" w:cs="Times New Roman" w:eastAsia="Times New Roman" w:hAnsi="Times New Roman"/>
          <w:sz w:val="20"/>
          <w:szCs w:val="20"/>
          <w:color w:val="auto"/>
        </w:rPr>
      </w:pPr>
    </w:p>
    <w:p>
      <w:pPr>
        <w:ind w:left="2520" w:hanging="567"/>
        <w:spacing w:after="0"/>
        <w:tabs>
          <w:tab w:leader="none" w:pos="25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any contract, contract right or other agreement in accordance with its terms;</w:t>
      </w:r>
    </w:p>
    <w:p>
      <w:pPr>
        <w:spacing w:after="0" w:line="175" w:lineRule="exact"/>
        <w:rPr>
          <w:rFonts w:ascii="Times New Roman" w:cs="Times New Roman" w:eastAsia="Times New Roman" w:hAnsi="Times New Roman"/>
          <w:sz w:val="20"/>
          <w:szCs w:val="20"/>
          <w:color w:val="auto"/>
        </w:rPr>
      </w:pPr>
    </w:p>
    <w:p>
      <w:pPr>
        <w:ind w:left="1220" w:firstLine="733"/>
        <w:spacing w:after="0" w:line="283" w:lineRule="auto"/>
        <w:tabs>
          <w:tab w:leader="none" w:pos="250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merger, dissolution, liquidation or consolidation, the purpose of which is to substantially concurrently effect a disposition or merger that is permitted under this Indenture;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8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bl>
    <w:p>
      <w:pPr>
        <w:sectPr>
          <w:pgSz w:w="11900" w:h="16838" w:orient="portrait"/>
          <w:cols w:equalWidth="0" w:num="1">
            <w:col w:w="11160"/>
          </w:cols>
          <w:pgMar w:left="400" w:top="1440" w:right="339" w:bottom="1440" w:gutter="0" w:footer="0" w:header="0"/>
        </w:sectPr>
      </w:pPr>
    </w:p>
    <w:bookmarkStart w:id="12" w:name="page13"/>
    <w:bookmarkEnd w:id="12"/>
    <w:p>
      <w:pPr>
        <w:spacing w:after="0" w:line="135" w:lineRule="exact"/>
        <w:rPr>
          <w:sz w:val="20"/>
          <w:szCs w:val="20"/>
          <w:color w:val="auto"/>
        </w:rPr>
      </w:pPr>
    </w:p>
    <w:p>
      <w:pPr>
        <w:ind w:left="2600" w:hanging="567"/>
        <w:spacing w:after="0"/>
        <w:tabs>
          <w:tab w:leader="none" w:pos="26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Capital Stock, Indebtedness or other securities of an Unrestricted Subsidiary;</w:t>
      </w:r>
    </w:p>
    <w:p>
      <w:pPr>
        <w:spacing w:after="0" w:line="175" w:lineRule="exact"/>
        <w:rPr>
          <w:rFonts w:ascii="Times New Roman" w:cs="Times New Roman" w:eastAsia="Times New Roman" w:hAnsi="Times New Roman"/>
          <w:sz w:val="20"/>
          <w:szCs w:val="20"/>
          <w:color w:val="auto"/>
        </w:rPr>
      </w:pPr>
    </w:p>
    <w:p>
      <w:pPr>
        <w:ind w:left="1300" w:firstLine="733"/>
        <w:spacing w:after="0" w:line="269" w:lineRule="auto"/>
        <w:tabs>
          <w:tab w:leader="none" w:pos="258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rights granted to others pursuant to leases or licenses, to the extent not materially interfering with the operations of the Company or its Restricted Subsidiaries;</w:t>
      </w:r>
    </w:p>
    <w:p>
      <w:pPr>
        <w:spacing w:after="0" w:line="118" w:lineRule="exact"/>
        <w:rPr>
          <w:rFonts w:ascii="Times New Roman" w:cs="Times New Roman" w:eastAsia="Times New Roman" w:hAnsi="Times New Roman"/>
          <w:sz w:val="20"/>
          <w:szCs w:val="20"/>
          <w:color w:val="auto"/>
        </w:rPr>
      </w:pPr>
    </w:p>
    <w:p>
      <w:pPr>
        <w:jc w:val="both"/>
        <w:ind w:left="1300" w:firstLine="733"/>
        <w:spacing w:after="0" w:line="261" w:lineRule="auto"/>
        <w:tabs>
          <w:tab w:leader="none" w:pos="258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licensing of patents, trademarks, know-how or any other intellectual property to third Persons in the ordinary course of business consistent with past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licensing does not materially interfere with the business of the Company or any of its Restricted Subsidiaries;</w:t>
      </w:r>
    </w:p>
    <w:p>
      <w:pPr>
        <w:spacing w:after="0" w:line="127" w:lineRule="exact"/>
        <w:rPr>
          <w:rFonts w:ascii="Times New Roman" w:cs="Times New Roman" w:eastAsia="Times New Roman" w:hAnsi="Times New Roman"/>
          <w:sz w:val="20"/>
          <w:szCs w:val="20"/>
          <w:color w:val="auto"/>
        </w:rPr>
      </w:pPr>
    </w:p>
    <w:p>
      <w:pPr>
        <w:jc w:val="both"/>
        <w:ind w:left="1300" w:firstLine="733"/>
        <w:spacing w:after="0" w:line="261" w:lineRule="auto"/>
        <w:tabs>
          <w:tab w:leader="none" w:pos="258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swap of assets, or lease, assignment or sublease of any real or personal property, in exchange for services (including in connection with any outsourcing arrangements) of comparable or greater value or usefulness to the business of the Company and the Restricted Subsidiaries as a whole, as determined in good faith by the Company;</w:t>
      </w:r>
    </w:p>
    <w:p>
      <w:pPr>
        <w:spacing w:after="0" w:line="113" w:lineRule="exact"/>
        <w:rPr>
          <w:rFonts w:ascii="Times New Roman" w:cs="Times New Roman" w:eastAsia="Times New Roman" w:hAnsi="Times New Roman"/>
          <w:sz w:val="20"/>
          <w:szCs w:val="20"/>
          <w:color w:val="auto"/>
        </w:rPr>
      </w:pPr>
    </w:p>
    <w:p>
      <w:pPr>
        <w:jc w:val="both"/>
        <w:ind w:left="1300" w:firstLine="733"/>
        <w:spacing w:after="0" w:line="257" w:lineRule="auto"/>
        <w:tabs>
          <w:tab w:leader="none" w:pos="258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Capital Stock of a Restricted Subsidiary pursuant to an agreement or other obligation with or to a Person (other than the Company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118" w:lineRule="exact"/>
        <w:rPr>
          <w:rFonts w:ascii="Times New Roman" w:cs="Times New Roman" w:eastAsia="Times New Roman" w:hAnsi="Times New Roman"/>
          <w:sz w:val="20"/>
          <w:szCs w:val="20"/>
          <w:color w:val="auto"/>
        </w:rPr>
      </w:pPr>
    </w:p>
    <w:p>
      <w:pPr>
        <w:ind w:left="1300" w:firstLine="733"/>
        <w:spacing w:after="0" w:line="283" w:lineRule="auto"/>
        <w:tabs>
          <w:tab w:leader="none" w:pos="258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assignment of an account to an insurance company providing credit insurance to the Company or any of its Subsidiaries for purposes of collecting insurance proceeds;</w:t>
      </w:r>
    </w:p>
    <w:p>
      <w:pPr>
        <w:spacing w:after="0" w:line="105" w:lineRule="exact"/>
        <w:rPr>
          <w:rFonts w:ascii="Times New Roman" w:cs="Times New Roman" w:eastAsia="Times New Roman" w:hAnsi="Times New Roman"/>
          <w:sz w:val="20"/>
          <w:szCs w:val="20"/>
          <w:color w:val="auto"/>
        </w:rPr>
      </w:pPr>
    </w:p>
    <w:p>
      <w:pPr>
        <w:ind w:left="1300" w:firstLine="733"/>
        <w:spacing w:after="0" w:line="269" w:lineRule="auto"/>
        <w:tabs>
          <w:tab w:leader="none" w:pos="258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accounts receivable, or participations therein, and related assets in connection with a Permitted Receivables Financing;</w:t>
      </w:r>
    </w:p>
    <w:p>
      <w:pPr>
        <w:spacing w:after="0" w:line="118" w:lineRule="exact"/>
        <w:rPr>
          <w:rFonts w:ascii="Times New Roman" w:cs="Times New Roman" w:eastAsia="Times New Roman" w:hAnsi="Times New Roman"/>
          <w:sz w:val="20"/>
          <w:szCs w:val="20"/>
          <w:color w:val="auto"/>
        </w:rPr>
      </w:pPr>
    </w:p>
    <w:p>
      <w:pPr>
        <w:jc w:val="both"/>
        <w:ind w:left="1300" w:firstLine="733"/>
        <w:spacing w:after="0" w:line="261" w:lineRule="auto"/>
        <w:tabs>
          <w:tab w:leader="none" w:pos="258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exchange of assets (including a combination of assets and Cash Equivalents) for assets related to a Permitted Business of comparable or greater market value or usefulness to the business of the Company and the Restricted Subsidiaries as a whole, as determined in good faith by the Company; and</w:t>
      </w:r>
    </w:p>
    <w:p>
      <w:pPr>
        <w:spacing w:after="0" w:line="113" w:lineRule="exact"/>
        <w:rPr>
          <w:rFonts w:ascii="Times New Roman" w:cs="Times New Roman" w:eastAsia="Times New Roman" w:hAnsi="Times New Roman"/>
          <w:sz w:val="20"/>
          <w:szCs w:val="20"/>
          <w:color w:val="auto"/>
        </w:rPr>
      </w:pPr>
    </w:p>
    <w:p>
      <w:pPr>
        <w:ind w:left="1300" w:firstLine="733"/>
        <w:spacing w:after="0" w:line="283" w:lineRule="auto"/>
        <w:tabs>
          <w:tab w:leader="none" w:pos="258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settlement or early termination of any Permitted Bond Hedge Transaction and the settlement or early termination of any related Permitted Warrant Transaction.</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ASU</w:t>
      </w:r>
      <w:r>
        <w:rPr>
          <w:rFonts w:ascii="Times New Roman" w:cs="Times New Roman" w:eastAsia="Times New Roman" w:hAnsi="Times New Roman"/>
          <w:sz w:val="20"/>
          <w:szCs w:val="20"/>
          <w:color w:val="auto"/>
        </w:rPr>
        <w:t>” has the meaning assigned to it in the definition of “Finance Lease Obligation.”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Debt</w:t>
      </w:r>
      <w:r>
        <w:rPr>
          <w:rFonts w:ascii="Times New Roman" w:cs="Times New Roman" w:eastAsia="Times New Roman" w:hAnsi="Times New Roman"/>
          <w:sz w:val="20"/>
          <w:szCs w:val="20"/>
          <w:color w:val="auto"/>
        </w:rPr>
        <w:t xml:space="preserve">”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sale and leaseback transaction results in a Finance Lease Obligation, the amount of Indebtedness represented thereby will be determined in accordance with the definition of “Finance Lease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8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Law</w:t>
      </w:r>
      <w:r>
        <w:rPr>
          <w:rFonts w:ascii="Times New Roman" w:cs="Times New Roman" w:eastAsia="Times New Roman" w:hAnsi="Times New Roman"/>
          <w:sz w:val="20"/>
          <w:szCs w:val="20"/>
          <w:color w:val="auto"/>
        </w:rPr>
        <w:t>” means Title 11, U.S. Code or any similar federal or state law for the relief of debtors.</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w:t>
      </w:r>
      <w:r>
        <w:rPr>
          <w:rFonts w:ascii="Times New Roman" w:cs="Times New Roman" w:eastAsia="Times New Roman" w:hAnsi="Times New Roman"/>
          <w:sz w:val="20"/>
          <w:szCs w:val="20"/>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 For purposes of this definition, a Person shall be deemed not to Beneficially Own securities that are the subject of a stock purchase agreement, merger agreement, amalgamation agreement, arrangement agreement or similar agreement until consummation of the transactions or, as applicable, series of related transactions contemplated thereby.</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means:</w:t>
      </w:r>
    </w:p>
    <w:p>
      <w:pPr>
        <w:spacing w:after="0" w:line="162" w:lineRule="exact"/>
        <w:rPr>
          <w:sz w:val="20"/>
          <w:szCs w:val="20"/>
          <w:color w:val="auto"/>
        </w:rPr>
      </w:pPr>
    </w:p>
    <w:p>
      <w:pPr>
        <w:ind w:left="1300" w:firstLine="733"/>
        <w:spacing w:after="0" w:line="283" w:lineRule="auto"/>
        <w:tabs>
          <w:tab w:leader="none" w:pos="258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corporation, the board of directors of the corporation or any committee thereof duly authorized to act on behalf of such board;</w:t>
      </w:r>
    </w:p>
    <w:p>
      <w:pPr>
        <w:spacing w:after="0" w:line="105" w:lineRule="exact"/>
        <w:rPr>
          <w:rFonts w:ascii="Times New Roman" w:cs="Times New Roman" w:eastAsia="Times New Roman" w:hAnsi="Times New Roman"/>
          <w:sz w:val="20"/>
          <w:szCs w:val="20"/>
          <w:color w:val="auto"/>
        </w:rPr>
      </w:pPr>
    </w:p>
    <w:p>
      <w:pPr>
        <w:ind w:left="2580" w:hanging="547"/>
        <w:spacing w:after="0"/>
        <w:tabs>
          <w:tab w:leader="none" w:pos="25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partnership, the board of directors of the general partner of the partnership;</w:t>
      </w:r>
    </w:p>
    <w:p>
      <w:pPr>
        <w:spacing w:after="0" w:line="161" w:lineRule="exact"/>
        <w:rPr>
          <w:rFonts w:ascii="Times New Roman" w:cs="Times New Roman" w:eastAsia="Times New Roman" w:hAnsi="Times New Roman"/>
          <w:sz w:val="20"/>
          <w:szCs w:val="20"/>
          <w:color w:val="auto"/>
        </w:rPr>
      </w:pPr>
    </w:p>
    <w:p>
      <w:pPr>
        <w:ind w:left="1300" w:right="20" w:firstLine="733"/>
        <w:spacing w:after="0" w:line="283" w:lineRule="auto"/>
        <w:tabs>
          <w:tab w:leader="none" w:pos="258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limited liability company, the board of managers thereof, or if there is no such board, the managing member or members or any controlling committee of managing members thereof; and</w:t>
      </w:r>
    </w:p>
    <w:p>
      <w:pPr>
        <w:spacing w:after="0" w:line="92" w:lineRule="exact"/>
        <w:rPr>
          <w:rFonts w:ascii="Times New Roman" w:cs="Times New Roman" w:eastAsia="Times New Roman" w:hAnsi="Times New Roman"/>
          <w:sz w:val="20"/>
          <w:szCs w:val="20"/>
          <w:color w:val="auto"/>
        </w:rPr>
      </w:pPr>
    </w:p>
    <w:p>
      <w:pPr>
        <w:ind w:left="2580" w:hanging="547"/>
        <w:spacing w:after="0"/>
        <w:tabs>
          <w:tab w:leader="none" w:pos="25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other Person, the board or committee of such Person serving a similar function.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Legal Holiday.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w:t>
      </w:r>
    </w:p>
    <w:p>
      <w:pPr>
        <w:spacing w:after="0" w:line="162" w:lineRule="exact"/>
        <w:rPr>
          <w:sz w:val="20"/>
          <w:szCs w:val="20"/>
          <w:color w:val="auto"/>
        </w:rPr>
      </w:pPr>
    </w:p>
    <w:p>
      <w:pPr>
        <w:ind w:left="2580" w:hanging="547"/>
        <w:spacing w:after="0"/>
        <w:tabs>
          <w:tab w:leader="none" w:pos="25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corporation, corporate stock;</w:t>
      </w:r>
    </w:p>
    <w:p>
      <w:pPr>
        <w:spacing w:after="0" w:line="175" w:lineRule="exact"/>
        <w:rPr>
          <w:rFonts w:ascii="Times New Roman" w:cs="Times New Roman" w:eastAsia="Times New Roman" w:hAnsi="Times New Roman"/>
          <w:sz w:val="20"/>
          <w:szCs w:val="20"/>
          <w:color w:val="auto"/>
        </w:rPr>
      </w:pPr>
    </w:p>
    <w:p>
      <w:pPr>
        <w:ind w:left="1300" w:firstLine="733"/>
        <w:spacing w:after="0" w:line="269" w:lineRule="auto"/>
        <w:tabs>
          <w:tab w:leader="none" w:pos="258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association or business entity, any and all shares, interests, participations, rights or other equivalents (however designated) of corporate stock;</w:t>
      </w:r>
    </w:p>
    <w:p>
      <w:pPr>
        <w:spacing w:after="0" w:line="118" w:lineRule="exact"/>
        <w:rPr>
          <w:rFonts w:ascii="Times New Roman" w:cs="Times New Roman" w:eastAsia="Times New Roman" w:hAnsi="Times New Roman"/>
          <w:sz w:val="20"/>
          <w:szCs w:val="20"/>
          <w:color w:val="auto"/>
        </w:rPr>
      </w:pPr>
    </w:p>
    <w:p>
      <w:pPr>
        <w:ind w:left="1300" w:firstLine="733"/>
        <w:spacing w:after="0" w:line="269" w:lineRule="auto"/>
        <w:tabs>
          <w:tab w:leader="none" w:pos="258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partnership or limited liability company, partnership interests (whether general or limited) or membership interests; and</w:t>
      </w:r>
    </w:p>
    <w:p>
      <w:pPr>
        <w:spacing w:after="0" w:line="118" w:lineRule="exact"/>
        <w:rPr>
          <w:rFonts w:ascii="Times New Roman" w:cs="Times New Roman" w:eastAsia="Times New Roman" w:hAnsi="Times New Roman"/>
          <w:sz w:val="20"/>
          <w:szCs w:val="20"/>
          <w:color w:val="auto"/>
        </w:rPr>
      </w:pPr>
    </w:p>
    <w:p>
      <w:pPr>
        <w:jc w:val="both"/>
        <w:ind w:left="1300" w:firstLine="733"/>
        <w:spacing w:after="0" w:line="261" w:lineRule="auto"/>
        <w:tabs>
          <w:tab w:leader="none" w:pos="258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27" w:lineRule="exact"/>
        <w:rPr>
          <w:sz w:val="20"/>
          <w:szCs w:val="20"/>
          <w:color w:val="auto"/>
        </w:rPr>
      </w:pPr>
    </w:p>
    <w:p>
      <w:pPr>
        <w:ind w:right="2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Captive Insurance Subsidiary</w:t>
      </w:r>
      <w:r>
        <w:rPr>
          <w:rFonts w:ascii="Times New Roman" w:cs="Times New Roman" w:eastAsia="Times New Roman" w:hAnsi="Times New Roman"/>
          <w:sz w:val="19"/>
          <w:szCs w:val="19"/>
          <w:color w:val="auto"/>
        </w:rPr>
        <w:t>” means a Subsidiary of the Company established for the purpose of, and to be engaged solely in the business of, insuring or reinsuring the businesses or facilities owned or operated by the Company or any of its Subsidiaries or joint ventures.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8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bl>
    <w:p>
      <w:pPr>
        <w:sectPr>
          <w:pgSz w:w="11900" w:h="16838" w:orient="portrait"/>
          <w:cols w:equalWidth="0" w:num="1">
            <w:col w:w="11240"/>
          </w:cols>
          <w:pgMar w:left="320" w:top="1440" w:right="339" w:bottom="1440" w:gutter="0" w:footer="0" w:header="0"/>
        </w:sectPr>
      </w:pPr>
    </w:p>
    <w:bookmarkStart w:id="14" w:name="page15"/>
    <w:bookmarkEnd w:id="14"/>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w:t>
      </w:r>
    </w:p>
    <w:p>
      <w:pPr>
        <w:spacing w:after="0" w:line="175" w:lineRule="exact"/>
        <w:rPr>
          <w:sz w:val="20"/>
          <w:szCs w:val="20"/>
          <w:color w:val="auto"/>
        </w:rPr>
      </w:pPr>
    </w:p>
    <w:p>
      <w:pPr>
        <w:ind w:left="2580" w:hanging="547"/>
        <w:spacing w:after="0"/>
        <w:tabs>
          <w:tab w:leader="none" w:pos="258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United States dollars;</w:t>
      </w:r>
    </w:p>
    <w:p>
      <w:pPr>
        <w:spacing w:after="0" w:line="161" w:lineRule="exact"/>
        <w:rPr>
          <w:rFonts w:ascii="Times New Roman" w:cs="Times New Roman" w:eastAsia="Times New Roman" w:hAnsi="Times New Roman"/>
          <w:sz w:val="20"/>
          <w:szCs w:val="20"/>
          <w:color w:val="auto"/>
        </w:rPr>
      </w:pPr>
    </w:p>
    <w:p>
      <w:pPr>
        <w:jc w:val="both"/>
        <w:ind w:left="1300" w:firstLine="733"/>
        <w:spacing w:after="0" w:line="261" w:lineRule="auto"/>
        <w:tabs>
          <w:tab w:leader="none" w:pos="258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issued or directly and fully guaranteed or insured by the United States government or any agency or instrumentality of the United States government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full faith and credit of the United States is pledged in support of those securities) having maturities of not more than one year from the date of acquisition;</w:t>
      </w:r>
    </w:p>
    <w:p>
      <w:pPr>
        <w:spacing w:after="0" w:line="127" w:lineRule="exact"/>
        <w:rPr>
          <w:rFonts w:ascii="Times New Roman" w:cs="Times New Roman" w:eastAsia="Times New Roman" w:hAnsi="Times New Roman"/>
          <w:sz w:val="20"/>
          <w:szCs w:val="20"/>
          <w:color w:val="auto"/>
        </w:rPr>
      </w:pPr>
    </w:p>
    <w:p>
      <w:pPr>
        <w:jc w:val="both"/>
        <w:ind w:left="1300" w:firstLine="733"/>
        <w:spacing w:after="0" w:line="258" w:lineRule="auto"/>
        <w:tabs>
          <w:tab w:leader="none" w:pos="258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deposit and eurodollar time deposits with maturities of one year or less from the date of acquisition, bankers’ acceptances with maturities not exceeding six months and overnight bank deposits, in each case, with any domestic commercial bank having capital and surplus in excess of $500.0 million and a Thomson Bank Watch Rating of “B” or better;</w:t>
      </w:r>
    </w:p>
    <w:p>
      <w:pPr>
        <w:spacing w:after="0" w:line="118" w:lineRule="exact"/>
        <w:rPr>
          <w:rFonts w:ascii="Times New Roman" w:cs="Times New Roman" w:eastAsia="Times New Roman" w:hAnsi="Times New Roman"/>
          <w:sz w:val="20"/>
          <w:szCs w:val="20"/>
          <w:color w:val="auto"/>
        </w:rPr>
      </w:pPr>
    </w:p>
    <w:p>
      <w:pPr>
        <w:jc w:val="both"/>
        <w:ind w:left="1300" w:firstLine="733"/>
        <w:spacing w:after="0" w:line="275" w:lineRule="auto"/>
        <w:tabs>
          <w:tab w:leader="none" w:pos="2584"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repurchase obligations with a term of not more than seven days for underlying securities of the types described in clauses </w:t>
      </w:r>
      <w:r>
        <w:rPr>
          <w:rFonts w:ascii="Times New Roman" w:cs="Times New Roman" w:eastAsia="Times New Roman" w:hAnsi="Times New Roman"/>
          <w:sz w:val="19"/>
          <w:szCs w:val="19"/>
          <w:u w:val="single" w:color="auto"/>
          <w:color w:val="auto"/>
        </w:rPr>
        <w:t>(2)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w:t>
      </w:r>
      <w:r>
        <w:rPr>
          <w:rFonts w:ascii="Times New Roman" w:cs="Times New Roman" w:eastAsia="Times New Roman" w:hAnsi="Times New Roman"/>
          <w:sz w:val="19"/>
          <w:szCs w:val="19"/>
          <w:color w:val="auto"/>
        </w:rPr>
        <w:t xml:space="preserve"> above entered into with any financial institution meeting the qualifications specified in clause</w:t>
      </w:r>
    </w:p>
    <w:p>
      <w:pPr>
        <w:ind w:left="1580" w:hanging="276"/>
        <w:spacing w:after="0"/>
        <w:tabs>
          <w:tab w:leader="none" w:pos="1580" w:val="left"/>
        </w:tabs>
        <w:numPr>
          <w:ilvl w:val="0"/>
          <w:numId w:val="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w:t>
      </w:r>
    </w:p>
    <w:p>
      <w:pPr>
        <w:spacing w:after="0" w:line="146" w:lineRule="exact"/>
        <w:rPr>
          <w:rFonts w:ascii="Times New Roman" w:cs="Times New Roman" w:eastAsia="Times New Roman" w:hAnsi="Times New Roman"/>
          <w:sz w:val="20"/>
          <w:szCs w:val="20"/>
          <w:u w:val="single" w:color="auto"/>
          <w:color w:val="auto"/>
        </w:rPr>
      </w:pPr>
    </w:p>
    <w:p>
      <w:pPr>
        <w:ind w:left="1300" w:firstLine="733"/>
        <w:spacing w:after="0" w:line="283" w:lineRule="auto"/>
        <w:tabs>
          <w:tab w:leader="none" w:pos="258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having one of the two highest ratings obtainable from Moody’s or S&amp;P and, in each case, maturing within one year after the date of acquisition;</w:t>
      </w:r>
    </w:p>
    <w:p>
      <w:pPr>
        <w:spacing w:after="0" w:line="92" w:lineRule="exact"/>
        <w:rPr>
          <w:rFonts w:ascii="Times New Roman" w:cs="Times New Roman" w:eastAsia="Times New Roman" w:hAnsi="Times New Roman"/>
          <w:sz w:val="20"/>
          <w:szCs w:val="20"/>
          <w:color w:val="auto"/>
        </w:rPr>
      </w:pPr>
    </w:p>
    <w:p>
      <w:pPr>
        <w:ind w:left="1300" w:firstLine="733"/>
        <w:spacing w:after="0" w:line="283" w:lineRule="auto"/>
        <w:tabs>
          <w:tab w:leader="none" w:pos="258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money market funds at least 95% of the assets of which constitute Cash Equivalents of the kinds described in clauses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of this definition; and</w:t>
      </w:r>
    </w:p>
    <w:p>
      <w:pPr>
        <w:spacing w:after="0" w:line="105" w:lineRule="exact"/>
        <w:rPr>
          <w:rFonts w:ascii="Times New Roman" w:cs="Times New Roman" w:eastAsia="Times New Roman" w:hAnsi="Times New Roman"/>
          <w:sz w:val="20"/>
          <w:szCs w:val="20"/>
          <w:color w:val="auto"/>
        </w:rPr>
      </w:pPr>
    </w:p>
    <w:p>
      <w:pPr>
        <w:jc w:val="both"/>
        <w:ind w:left="1300" w:firstLine="733"/>
        <w:spacing w:after="0" w:line="254" w:lineRule="auto"/>
        <w:tabs>
          <w:tab w:leader="none" w:pos="258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instruments equivalent to those referred to in clauses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above denominated in any foreign currency and comparable in credit quality and tenor to those referred to above and commonly used by Persons for cash management purposes in any jurisdiction outside the United States to the extent reasonably required in connection with any business conducted by the Company or any Restricted Subsidiary.</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the occurrence of any of the following:</w:t>
      </w:r>
    </w:p>
    <w:p>
      <w:pPr>
        <w:spacing w:after="0" w:line="162" w:lineRule="exact"/>
        <w:rPr>
          <w:sz w:val="20"/>
          <w:szCs w:val="20"/>
          <w:color w:val="auto"/>
        </w:rPr>
      </w:pPr>
    </w:p>
    <w:p>
      <w:pPr>
        <w:jc w:val="both"/>
        <w:ind w:left="1300" w:firstLine="733"/>
        <w:spacing w:after="0" w:line="258" w:lineRule="auto"/>
        <w:tabs>
          <w:tab w:leader="none" w:pos="258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or indirect sale, lease, transfer, conveyance or other disposition (other than by way of merger or consolidation), in one or a series of related transactions, of all or substantially all of the properties or assets of the Company and its Subsidiaries taken as a whole to any Person (including any “person” (as that term is used in Section 13(d)(3) of the Exchange Act));</w:t>
      </w:r>
    </w:p>
    <w:p>
      <w:pPr>
        <w:spacing w:after="0" w:line="131" w:lineRule="exact"/>
        <w:rPr>
          <w:rFonts w:ascii="Times New Roman" w:cs="Times New Roman" w:eastAsia="Times New Roman" w:hAnsi="Times New Roman"/>
          <w:sz w:val="20"/>
          <w:szCs w:val="20"/>
          <w:color w:val="auto"/>
        </w:rPr>
      </w:pPr>
    </w:p>
    <w:p>
      <w:pPr>
        <w:ind w:left="2580" w:hanging="547"/>
        <w:spacing w:after="0"/>
        <w:tabs>
          <w:tab w:leader="none" w:pos="25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a plan relating to the liquidation or dissolution of the Company; or</w:t>
      </w:r>
    </w:p>
    <w:p>
      <w:pPr>
        <w:spacing w:after="0" w:line="161" w:lineRule="exact"/>
        <w:rPr>
          <w:rFonts w:ascii="Times New Roman" w:cs="Times New Roman" w:eastAsia="Times New Roman" w:hAnsi="Times New Roman"/>
          <w:sz w:val="20"/>
          <w:szCs w:val="20"/>
          <w:color w:val="auto"/>
        </w:rPr>
      </w:pPr>
    </w:p>
    <w:p>
      <w:pPr>
        <w:jc w:val="both"/>
        <w:ind w:left="1300" w:firstLine="733"/>
        <w:spacing w:after="0" w:line="253" w:lineRule="auto"/>
        <w:tabs>
          <w:tab w:leader="none" w:pos="258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any transaction (including, without limitation, any merger or consolidation), the result of which is that any Person (including any “person” (as defined above)), other than a Permitted Holder (including any combination of one or more Permitted Holders and any “group” including any Permitted Holders so long as Permitted Holders beneficially own more than 50% of all voting interests beneficially owned by such “group”), becomes the Beneficial Owner, directly or indirectly, of more than 50% of the Voting Stock of the Company, measured by voting power rather than number of shares.</w:t>
      </w:r>
    </w:p>
    <w:p>
      <w:pPr>
        <w:spacing w:after="0" w:line="13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Notwithstanding the foregoing, a transaction will not be deemed to involve a Change of Control if (1) the Company becomes a direct or indirect Wholly Owned Subsidiary of a holding company and (2)(A)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8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bl>
    <w:p>
      <w:pPr>
        <w:sectPr>
          <w:pgSz w:w="11900" w:h="16838" w:orient="portrait"/>
          <w:cols w:equalWidth="0" w:num="1">
            <w:col w:w="11240"/>
          </w:cols>
          <w:pgMar w:left="320" w:top="1440" w:right="339" w:bottom="1440" w:gutter="0" w:footer="0" w:header="0"/>
        </w:sectPr>
      </w:pPr>
    </w:p>
    <w:bookmarkStart w:id="15" w:name="page16"/>
    <w:bookmarkEnd w:id="15"/>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direct or indirect Beneficial Owners of the Voting Stock of such holding company immediately following that transaction are substantially the same as the Beneficial Owners of the Voting Stock of the Company immediately prior to that transaction or (B) immediately following that transaction no Person (other than (i) a holding company satisfying the requirements of this sentence or (ii) a Permitted Holder (including any combination of one or more Permitted Holders and any “group” including any Permitted Holders so long as Permitted Holders beneficially own more than 50% of all voting interests beneficially owned by such “group”) is the Beneficial Owner, directly or indirectly, of more than 50% of the Voting Stock of such holding company.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 Triggering Event</w:t>
      </w:r>
      <w:r>
        <w:rPr>
          <w:rFonts w:ascii="Times New Roman" w:cs="Times New Roman" w:eastAsia="Times New Roman" w:hAnsi="Times New Roman"/>
          <w:sz w:val="20"/>
          <w:szCs w:val="20"/>
          <w:color w:val="auto"/>
        </w:rPr>
        <w:t>” means the occurrence of both a Change of Control and a Rating Decline.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Clearstream</w:t>
      </w:r>
      <w:r>
        <w:rPr>
          <w:rFonts w:ascii="Times New Roman" w:cs="Times New Roman" w:eastAsia="Times New Roman" w:hAnsi="Times New Roman"/>
          <w:sz w:val="20"/>
          <w:szCs w:val="20"/>
          <w:color w:val="auto"/>
        </w:rPr>
        <w:t>” means Clearstream Banking, S.A.</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EZCORP, Inc., and any and all successors thereto.</w:t>
      </w:r>
    </w:p>
    <w:p>
      <w:pPr>
        <w:spacing w:after="0" w:line="16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with respect to any specified Person for any period, the Consolidated Net Income of such Person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without duplication:</w:t>
      </w:r>
    </w:p>
    <w:p>
      <w:pPr>
        <w:spacing w:after="0" w:line="106" w:lineRule="exact"/>
        <w:rPr>
          <w:sz w:val="20"/>
          <w:szCs w:val="20"/>
          <w:color w:val="auto"/>
        </w:rPr>
      </w:pPr>
    </w:p>
    <w:p>
      <w:pPr>
        <w:jc w:val="both"/>
        <w:ind w:left="1300" w:firstLine="733"/>
        <w:spacing w:after="0" w:line="261" w:lineRule="auto"/>
        <w:tabs>
          <w:tab w:leader="none" w:pos="258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provision for taxes of such Person and its Restricted Subsidiaries, including federal, foreign, state, local, franchise, excise and similar taxes paid or accrued during such period (including in respect of repatriated funds) for such period, to the extent that such provision for taxes was deducted in computing such Consolidated Net Income; </w:t>
      </w:r>
      <w:r>
        <w:rPr>
          <w:rFonts w:ascii="Times New Roman" w:cs="Times New Roman" w:eastAsia="Times New Roman" w:hAnsi="Times New Roman"/>
          <w:sz w:val="20"/>
          <w:szCs w:val="20"/>
          <w:u w:val="single" w:color="auto"/>
          <w:color w:val="auto"/>
        </w:rPr>
        <w:t>plus</w:t>
      </w:r>
    </w:p>
    <w:p>
      <w:pPr>
        <w:spacing w:after="0" w:line="113" w:lineRule="exact"/>
        <w:rPr>
          <w:rFonts w:ascii="Times New Roman" w:cs="Times New Roman" w:eastAsia="Times New Roman" w:hAnsi="Times New Roman"/>
          <w:sz w:val="20"/>
          <w:szCs w:val="20"/>
          <w:color w:val="auto"/>
        </w:rPr>
      </w:pPr>
    </w:p>
    <w:p>
      <w:pPr>
        <w:ind w:left="1300" w:firstLine="733"/>
        <w:spacing w:after="0" w:line="283" w:lineRule="auto"/>
        <w:tabs>
          <w:tab w:leader="none" w:pos="258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Fixed Charges of such Person and its Restricted Subsidiaries for such period, to the extent that such Fixed Charges were deducted in computing such Consolidated Net Income; </w:t>
      </w:r>
      <w:r>
        <w:rPr>
          <w:rFonts w:ascii="Times New Roman" w:cs="Times New Roman" w:eastAsia="Times New Roman" w:hAnsi="Times New Roman"/>
          <w:sz w:val="20"/>
          <w:szCs w:val="20"/>
          <w:u w:val="single" w:color="auto"/>
          <w:color w:val="auto"/>
        </w:rPr>
        <w:t>plus</w:t>
      </w:r>
    </w:p>
    <w:p>
      <w:pPr>
        <w:spacing w:after="0" w:line="105" w:lineRule="exact"/>
        <w:rPr>
          <w:rFonts w:ascii="Times New Roman" w:cs="Times New Roman" w:eastAsia="Times New Roman" w:hAnsi="Times New Roman"/>
          <w:sz w:val="20"/>
          <w:szCs w:val="20"/>
          <w:color w:val="auto"/>
        </w:rPr>
      </w:pPr>
    </w:p>
    <w:p>
      <w:pPr>
        <w:jc w:val="both"/>
        <w:ind w:left="1300" w:right="20" w:firstLine="733"/>
        <w:spacing w:after="0" w:line="261" w:lineRule="auto"/>
        <w:tabs>
          <w:tab w:leader="none" w:pos="258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foreign currency translation losses (including losses related to currency remeasurements of Indebtedness) of such Person and its Restricted Subsidiaries for such period, to the extent that such losses were taken into account in computing such Consolidated Net Income; </w:t>
      </w:r>
      <w:r>
        <w:rPr>
          <w:rFonts w:ascii="Times New Roman" w:cs="Times New Roman" w:eastAsia="Times New Roman" w:hAnsi="Times New Roman"/>
          <w:sz w:val="20"/>
          <w:szCs w:val="20"/>
          <w:u w:val="single" w:color="auto"/>
          <w:color w:val="auto"/>
        </w:rPr>
        <w:t>plus</w:t>
      </w:r>
    </w:p>
    <w:p>
      <w:pPr>
        <w:spacing w:after="0" w:line="113" w:lineRule="exact"/>
        <w:rPr>
          <w:rFonts w:ascii="Times New Roman" w:cs="Times New Roman" w:eastAsia="Times New Roman" w:hAnsi="Times New Roman"/>
          <w:sz w:val="20"/>
          <w:szCs w:val="20"/>
          <w:color w:val="auto"/>
        </w:rPr>
      </w:pPr>
    </w:p>
    <w:p>
      <w:pPr>
        <w:jc w:val="both"/>
        <w:ind w:left="1300" w:firstLine="733"/>
        <w:spacing w:after="0" w:line="258" w:lineRule="auto"/>
        <w:tabs>
          <w:tab w:leader="none" w:pos="258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 salary, benefit and other direct savings resulting from workforce reductions by such Person, (b) relocation costs or expenses of such Person and (c) costs and expenses incurred related to employment of terminated employees incurred by such Person, in each case to the extent that such costs and expenses were deducted in computing such Consolidated Net Income; </w:t>
      </w:r>
      <w:r>
        <w:rPr>
          <w:rFonts w:ascii="Times New Roman" w:cs="Times New Roman" w:eastAsia="Times New Roman" w:hAnsi="Times New Roman"/>
          <w:sz w:val="20"/>
          <w:szCs w:val="20"/>
          <w:u w:val="single" w:color="auto"/>
          <w:color w:val="auto"/>
        </w:rPr>
        <w:t>plus</w:t>
      </w:r>
    </w:p>
    <w:p>
      <w:pPr>
        <w:spacing w:after="0" w:line="131" w:lineRule="exact"/>
        <w:rPr>
          <w:rFonts w:ascii="Times New Roman" w:cs="Times New Roman" w:eastAsia="Times New Roman" w:hAnsi="Times New Roman"/>
          <w:sz w:val="20"/>
          <w:szCs w:val="20"/>
          <w:color w:val="auto"/>
        </w:rPr>
      </w:pPr>
    </w:p>
    <w:p>
      <w:pPr>
        <w:ind w:left="1300" w:firstLine="733"/>
        <w:spacing w:after="0" w:line="269" w:lineRule="auto"/>
        <w:tabs>
          <w:tab w:leader="none" w:pos="258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 fees, costs and expenses incurred to the extent actually reimbursed by third parties pursuant to indemnification provisions or insurance; </w:t>
      </w:r>
      <w:r>
        <w:rPr>
          <w:rFonts w:ascii="Times New Roman" w:cs="Times New Roman" w:eastAsia="Times New Roman" w:hAnsi="Times New Roman"/>
          <w:sz w:val="20"/>
          <w:szCs w:val="20"/>
          <w:u w:val="single" w:color="auto"/>
          <w:color w:val="auto"/>
        </w:rPr>
        <w:t>plus</w:t>
      </w:r>
    </w:p>
    <w:p>
      <w:pPr>
        <w:spacing w:after="0" w:line="118" w:lineRule="exact"/>
        <w:rPr>
          <w:rFonts w:ascii="Times New Roman" w:cs="Times New Roman" w:eastAsia="Times New Roman" w:hAnsi="Times New Roman"/>
          <w:sz w:val="20"/>
          <w:szCs w:val="20"/>
          <w:color w:val="auto"/>
        </w:rPr>
      </w:pPr>
    </w:p>
    <w:p>
      <w:pPr>
        <w:ind w:left="1300" w:firstLine="733"/>
        <w:spacing w:after="0" w:line="269" w:lineRule="auto"/>
        <w:tabs>
          <w:tab w:leader="none" w:pos="258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proceeds of business interruption insurance in an amount representing the losses for the applicable period that such proceeds are intended to replace; </w:t>
      </w:r>
      <w:r>
        <w:rPr>
          <w:rFonts w:ascii="Times New Roman" w:cs="Times New Roman" w:eastAsia="Times New Roman" w:hAnsi="Times New Roman"/>
          <w:sz w:val="20"/>
          <w:szCs w:val="20"/>
          <w:u w:val="single" w:color="auto"/>
          <w:color w:val="auto"/>
        </w:rPr>
        <w:t>plus</w:t>
      </w:r>
    </w:p>
    <w:p>
      <w:pPr>
        <w:spacing w:after="0" w:line="118" w:lineRule="exact"/>
        <w:rPr>
          <w:rFonts w:ascii="Times New Roman" w:cs="Times New Roman" w:eastAsia="Times New Roman" w:hAnsi="Times New Roman"/>
          <w:sz w:val="20"/>
          <w:szCs w:val="20"/>
          <w:color w:val="auto"/>
        </w:rPr>
      </w:pPr>
    </w:p>
    <w:p>
      <w:pPr>
        <w:jc w:val="both"/>
        <w:ind w:left="1300" w:firstLine="733"/>
        <w:spacing w:after="0" w:line="253" w:lineRule="auto"/>
        <w:tabs>
          <w:tab w:leader="none" w:pos="258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amortization (including amortization or charge-off of intangibles but excluding amortization of prepaid cash expenses that were paid in a prior period)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8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bl>
    <w:p>
      <w:pPr>
        <w:sectPr>
          <w:pgSz w:w="11900" w:h="16838" w:orient="portrait"/>
          <w:cols w:equalWidth="0" w:num="1">
            <w:col w:w="11240"/>
          </w:cols>
          <w:pgMar w:left="320" w:top="1440" w:right="339" w:bottom="1440" w:gutter="0" w:footer="0" w:header="0"/>
        </w:sectPr>
      </w:pPr>
    </w:p>
    <w:bookmarkStart w:id="16" w:name="page17"/>
    <w:bookmarkEnd w:id="16"/>
    <w:p>
      <w:pPr>
        <w:spacing w:after="0" w:line="135" w:lineRule="exact"/>
        <w:rPr>
          <w:sz w:val="20"/>
          <w:szCs w:val="20"/>
          <w:color w:val="auto"/>
        </w:rPr>
      </w:pPr>
    </w:p>
    <w:p>
      <w:pPr>
        <w:ind w:left="1220"/>
        <w:spacing w:after="0" w:line="283" w:lineRule="auto"/>
        <w:rPr>
          <w:sz w:val="20"/>
          <w:szCs w:val="20"/>
          <w:color w:val="auto"/>
        </w:rPr>
      </w:pPr>
      <w:r>
        <w:rPr>
          <w:rFonts w:ascii="Times New Roman" w:cs="Times New Roman" w:eastAsia="Times New Roman" w:hAnsi="Times New Roman"/>
          <w:sz w:val="20"/>
          <w:szCs w:val="20"/>
          <w:color w:val="auto"/>
        </w:rPr>
        <w:t xml:space="preserve">to the extent that such depreciation, amortization and other non-cash charges or expenses were deducted in computing such Consolidated Net Income; </w:t>
      </w:r>
      <w:r>
        <w:rPr>
          <w:rFonts w:ascii="Times New Roman" w:cs="Times New Roman" w:eastAsia="Times New Roman" w:hAnsi="Times New Roman"/>
          <w:sz w:val="20"/>
          <w:szCs w:val="20"/>
          <w:u w:val="single" w:color="auto"/>
          <w:color w:val="auto"/>
        </w:rPr>
        <w:t>plus</w:t>
      </w:r>
    </w:p>
    <w:p>
      <w:pPr>
        <w:spacing w:after="0" w:line="92" w:lineRule="exact"/>
        <w:rPr>
          <w:sz w:val="20"/>
          <w:szCs w:val="20"/>
          <w:color w:val="auto"/>
        </w:rPr>
      </w:pPr>
    </w:p>
    <w:p>
      <w:pPr>
        <w:jc w:val="both"/>
        <w:ind w:left="1220" w:firstLine="733"/>
        <w:spacing w:after="0" w:line="261" w:lineRule="auto"/>
        <w:tabs>
          <w:tab w:leader="none" w:pos="250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loss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non-cash gains) from the early extinguishment of Hedging Obligations or other derivative instruments, to the extent that such losses (or gains) were taken into account in computing such Consolidated Net Income; </w:t>
      </w:r>
      <w:r>
        <w:rPr>
          <w:rFonts w:ascii="Times New Roman" w:cs="Times New Roman" w:eastAsia="Times New Roman" w:hAnsi="Times New Roman"/>
          <w:sz w:val="20"/>
          <w:szCs w:val="20"/>
          <w:u w:val="single" w:color="auto"/>
          <w:color w:val="auto"/>
        </w:rPr>
        <w:t>plus</w:t>
      </w:r>
    </w:p>
    <w:p>
      <w:pPr>
        <w:spacing w:after="0" w:line="127" w:lineRule="exact"/>
        <w:rPr>
          <w:rFonts w:ascii="Times New Roman" w:cs="Times New Roman" w:eastAsia="Times New Roman" w:hAnsi="Times New Roman"/>
          <w:sz w:val="20"/>
          <w:szCs w:val="20"/>
          <w:color w:val="auto"/>
        </w:rPr>
      </w:pPr>
    </w:p>
    <w:p>
      <w:pPr>
        <w:ind w:left="2500" w:hanging="547"/>
        <w:spacing w:after="0"/>
        <w:tabs>
          <w:tab w:leader="none" w:pos="25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 fees, expense reimbursements and indemnification payments paid to directors and board observers;</w:t>
      </w:r>
    </w:p>
    <w:p>
      <w:pPr>
        <w:spacing w:after="0" w:line="28" w:lineRule="exact"/>
        <w:rPr>
          <w:rFonts w:ascii="Times New Roman" w:cs="Times New Roman" w:eastAsia="Times New Roman" w:hAnsi="Times New Roman"/>
          <w:sz w:val="20"/>
          <w:szCs w:val="20"/>
          <w:color w:val="auto"/>
        </w:rPr>
      </w:pPr>
    </w:p>
    <w:p>
      <w:pPr>
        <w:ind w:left="12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plus</w:t>
      </w:r>
    </w:p>
    <w:p>
      <w:pPr>
        <w:spacing w:after="0" w:line="146" w:lineRule="exact"/>
        <w:rPr>
          <w:rFonts w:ascii="Times New Roman" w:cs="Times New Roman" w:eastAsia="Times New Roman" w:hAnsi="Times New Roman"/>
          <w:sz w:val="20"/>
          <w:szCs w:val="20"/>
          <w:color w:val="auto"/>
        </w:rPr>
      </w:pPr>
    </w:p>
    <w:p>
      <w:pPr>
        <w:jc w:val="both"/>
        <w:ind w:left="1220" w:firstLine="733"/>
        <w:spacing w:after="0" w:line="258" w:lineRule="auto"/>
        <w:tabs>
          <w:tab w:leader="none" w:pos="250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any non-cash expenses resulting from the grant or periodic remeasurement of stock options, restricted stock grants or other equity incentive programs (including any stock appreciation and similar rights) and (b) any costs or expenses incurred pursuant to any management equity plan or stock option plan or other management or employee benefit plan or agreement or any stock subscription or shareholder agreement; </w:t>
      </w:r>
      <w:r>
        <w:rPr>
          <w:rFonts w:ascii="Times New Roman" w:cs="Times New Roman" w:eastAsia="Times New Roman" w:hAnsi="Times New Roman"/>
          <w:sz w:val="20"/>
          <w:szCs w:val="20"/>
          <w:u w:val="single" w:color="auto"/>
          <w:color w:val="auto"/>
        </w:rPr>
        <w:t>plus</w:t>
      </w:r>
    </w:p>
    <w:p>
      <w:pPr>
        <w:spacing w:after="0" w:line="131" w:lineRule="exact"/>
        <w:rPr>
          <w:rFonts w:ascii="Times New Roman" w:cs="Times New Roman" w:eastAsia="Times New Roman" w:hAnsi="Times New Roman"/>
          <w:sz w:val="20"/>
          <w:szCs w:val="20"/>
          <w:color w:val="auto"/>
        </w:rPr>
      </w:pPr>
    </w:p>
    <w:p>
      <w:pPr>
        <w:jc w:val="both"/>
        <w:ind w:left="1220" w:firstLine="733"/>
        <w:spacing w:after="0" w:line="249" w:lineRule="auto"/>
        <w:tabs>
          <w:tab w:leader="none" w:pos="250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“run rate” cost savings, operating expense reductions, restructuring charges and expenses and synergies that are projected by the Company as a result of permitted asset sales, acquisitions, investments, dispositions, operating improvements, restructurings, cost savings initiatives and other specified transactions (including the modification and renegotiation of contracts and other arrangements) taken or to be taken by the Company and its Subsidiaries, net of the amount of actual benefits realized during such period from such actions (which such cost savings, operating expense reductions, restructuring charges and expenses and synergies shall be calculated on a pro forma basis as though such cost savings, operating expense reductions, restructuring charges and expenses and synergies had been realized on the first day of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cost savings, operating expense reductions, restructuring charges and expenses and synergies shall be reasonably identifiable and factually supportable and shall be reasonably anticipated to be realized within 18 months after the applicable permitted asset sale, acquisition, investment, disposition, operating improvement, restructuring, cost savings initiative or other specified transaction; </w:t>
      </w:r>
      <w:r>
        <w:rPr>
          <w:rFonts w:ascii="Times New Roman" w:cs="Times New Roman" w:eastAsia="Times New Roman" w:hAnsi="Times New Roman"/>
          <w:sz w:val="20"/>
          <w:szCs w:val="20"/>
          <w:u w:val="single" w:color="auto"/>
          <w:color w:val="auto"/>
        </w:rPr>
        <w:t>plus</w:t>
      </w:r>
    </w:p>
    <w:p>
      <w:pPr>
        <w:spacing w:after="0" w:line="142" w:lineRule="exact"/>
        <w:rPr>
          <w:rFonts w:ascii="Times New Roman" w:cs="Times New Roman" w:eastAsia="Times New Roman" w:hAnsi="Times New Roman"/>
          <w:sz w:val="20"/>
          <w:szCs w:val="20"/>
          <w:color w:val="auto"/>
        </w:rPr>
      </w:pPr>
    </w:p>
    <w:p>
      <w:pPr>
        <w:jc w:val="both"/>
        <w:ind w:left="1220" w:firstLine="733"/>
        <w:spacing w:after="0" w:line="261" w:lineRule="auto"/>
        <w:tabs>
          <w:tab w:leader="none" w:pos="250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expenses, charges and fees deducted during the specified period and covered by indemnification or purchase price adjustments and earn-out payments in connection with any acquisition permitted under this Indenture, to the extent actually received in cash; </w:t>
      </w:r>
      <w:r>
        <w:rPr>
          <w:rFonts w:ascii="Times New Roman" w:cs="Times New Roman" w:eastAsia="Times New Roman" w:hAnsi="Times New Roman"/>
          <w:sz w:val="20"/>
          <w:szCs w:val="20"/>
          <w:u w:val="single" w:color="auto"/>
          <w:color w:val="auto"/>
        </w:rPr>
        <w:t>plus</w:t>
      </w:r>
    </w:p>
    <w:p>
      <w:pPr>
        <w:spacing w:after="0" w:line="127" w:lineRule="exact"/>
        <w:rPr>
          <w:rFonts w:ascii="Times New Roman" w:cs="Times New Roman" w:eastAsia="Times New Roman" w:hAnsi="Times New Roman"/>
          <w:sz w:val="20"/>
          <w:szCs w:val="20"/>
          <w:color w:val="auto"/>
        </w:rPr>
      </w:pPr>
    </w:p>
    <w:p>
      <w:pPr>
        <w:ind w:left="1220" w:firstLine="733"/>
        <w:spacing w:after="0" w:line="269" w:lineRule="auto"/>
        <w:tabs>
          <w:tab w:leader="none" w:pos="250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on sales or dispositions of assets outside the ordinary course of business, to the extent that such losses were deducted in computing such Consolidated Net Income; </w:t>
      </w:r>
      <w:r>
        <w:rPr>
          <w:rFonts w:ascii="Times New Roman" w:cs="Times New Roman" w:eastAsia="Times New Roman" w:hAnsi="Times New Roman"/>
          <w:sz w:val="20"/>
          <w:szCs w:val="20"/>
          <w:u w:val="single" w:color="auto"/>
          <w:color w:val="auto"/>
        </w:rPr>
        <w:t>plus</w:t>
      </w:r>
    </w:p>
    <w:p>
      <w:pPr>
        <w:spacing w:after="0" w:line="118" w:lineRule="exact"/>
        <w:rPr>
          <w:rFonts w:ascii="Times New Roman" w:cs="Times New Roman" w:eastAsia="Times New Roman" w:hAnsi="Times New Roman"/>
          <w:sz w:val="20"/>
          <w:szCs w:val="20"/>
          <w:color w:val="auto"/>
        </w:rPr>
      </w:pPr>
    </w:p>
    <w:p>
      <w:pPr>
        <w:ind w:left="1220" w:right="20" w:firstLine="733"/>
        <w:spacing w:after="0" w:line="283" w:lineRule="auto"/>
        <w:tabs>
          <w:tab w:leader="none" w:pos="250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deducted during the specified period, but for which indemnity recovery is actually received in cash during such period or reasonably expected to be received within 180 days after the end of such period; </w:t>
      </w:r>
      <w:r>
        <w:rPr>
          <w:rFonts w:ascii="Times New Roman" w:cs="Times New Roman" w:eastAsia="Times New Roman" w:hAnsi="Times New Roman"/>
          <w:sz w:val="20"/>
          <w:szCs w:val="20"/>
          <w:u w:val="single" w:color="auto"/>
          <w:color w:val="auto"/>
        </w:rPr>
        <w:t>plus</w:t>
      </w:r>
    </w:p>
    <w:p>
      <w:pPr>
        <w:spacing w:after="0" w:line="92" w:lineRule="exact"/>
        <w:rPr>
          <w:rFonts w:ascii="Times New Roman" w:cs="Times New Roman" w:eastAsia="Times New Roman" w:hAnsi="Times New Roman"/>
          <w:sz w:val="20"/>
          <w:szCs w:val="20"/>
          <w:color w:val="auto"/>
        </w:rPr>
      </w:pPr>
    </w:p>
    <w:p>
      <w:pPr>
        <w:jc w:val="both"/>
        <w:ind w:left="1220" w:firstLine="733"/>
        <w:spacing w:after="0" w:line="261" w:lineRule="auto"/>
        <w:tabs>
          <w:tab w:leader="none" w:pos="250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expenses deducted during the specified period and reimbursed by third parties to the extent such reimbursements are actually received in cash during such period or reasonably expected to be received in cash within 180 days after the end of such period;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8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bl>
    <w:p>
      <w:pPr>
        <w:sectPr>
          <w:pgSz w:w="11900" w:h="16838" w:orient="portrait"/>
          <w:cols w:equalWidth="0" w:num="1">
            <w:col w:w="11160"/>
          </w:cols>
          <w:pgMar w:left="400" w:top="1440" w:right="339" w:bottom="1440" w:gutter="0" w:footer="0" w:header="0"/>
        </w:sectPr>
      </w:pPr>
    </w:p>
    <w:bookmarkStart w:id="17" w:name="page18"/>
    <w:bookmarkEnd w:id="17"/>
    <w:p>
      <w:pPr>
        <w:spacing w:after="0" w:line="135" w:lineRule="exact"/>
        <w:rPr>
          <w:sz w:val="20"/>
          <w:szCs w:val="20"/>
          <w:color w:val="auto"/>
        </w:rPr>
      </w:pPr>
    </w:p>
    <w:p>
      <w:pPr>
        <w:ind w:left="1300" w:firstLine="733"/>
        <w:spacing w:after="0" w:line="283" w:lineRule="auto"/>
        <w:tabs>
          <w:tab w:leader="none" w:pos="258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loss on a sale of receivables and related assets to a Securitization Subsidiary in connection with a Permitted Receivables Financing; </w:t>
      </w:r>
      <w:r>
        <w:rPr>
          <w:rFonts w:ascii="Times New Roman" w:cs="Times New Roman" w:eastAsia="Times New Roman" w:hAnsi="Times New Roman"/>
          <w:sz w:val="20"/>
          <w:szCs w:val="20"/>
          <w:u w:val="single" w:color="auto"/>
          <w:color w:val="auto"/>
        </w:rPr>
        <w:t>minus</w:t>
      </w:r>
    </w:p>
    <w:p>
      <w:pPr>
        <w:spacing w:after="0" w:line="92" w:lineRule="exact"/>
        <w:rPr>
          <w:rFonts w:ascii="Times New Roman" w:cs="Times New Roman" w:eastAsia="Times New Roman" w:hAnsi="Times New Roman"/>
          <w:sz w:val="20"/>
          <w:szCs w:val="20"/>
          <w:color w:val="auto"/>
        </w:rPr>
      </w:pPr>
    </w:p>
    <w:p>
      <w:pPr>
        <w:jc w:val="both"/>
        <w:ind w:left="1300" w:firstLine="733"/>
        <w:spacing w:after="0" w:line="258" w:lineRule="auto"/>
        <w:tabs>
          <w:tab w:leader="none" w:pos="258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items increasing such Consolidated Net Income for such period, other than (a) the accrual of revenue in the ordinary course of business, (b) any such non-cash item to the extent it will result in the receipt of cash payments in any future period or in respect of which cash was received in a prior period or (c) which represent the reversal of any accrual of, or cash reserve for, anticipated cash charges in any prior period,</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each case, on a consolidated basis and determined in accordance with GAAP.</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the preceding, the provision for taxes based on the income or profits of, and the depreciation and amortization and other non-cash expenses of, a Restricted Subsidiary of the Company will be added to Consolidated Net Income to compute Consolidated EBITDA of the Company only to the extent that a corresponding amount would be permitted at the date of determination to be dividend to the Company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Restricted Subsidiary or its stockholders.</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with respect to any specified Person for any period, the aggregate of the net income (loss) of such Person and its Restricted Subsidiaries for such period, on a consolidated basis, determined in accordance with GAAP and without any reduction in respect of preferred stock dividends;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27" w:lineRule="exact"/>
        <w:rPr>
          <w:sz w:val="20"/>
          <w:szCs w:val="20"/>
          <w:color w:val="auto"/>
        </w:rPr>
      </w:pPr>
    </w:p>
    <w:p>
      <w:pPr>
        <w:ind w:left="2580" w:hanging="547"/>
        <w:spacing w:after="0"/>
        <w:tabs>
          <w:tab w:leader="none" w:pos="25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gains or losses realized in connection with the early extinguishment of Indebtedness will be excluded;</w:t>
      </w:r>
    </w:p>
    <w:p>
      <w:pPr>
        <w:spacing w:after="0" w:line="161" w:lineRule="exact"/>
        <w:rPr>
          <w:rFonts w:ascii="Times New Roman" w:cs="Times New Roman" w:eastAsia="Times New Roman" w:hAnsi="Times New Roman"/>
          <w:sz w:val="20"/>
          <w:szCs w:val="20"/>
          <w:color w:val="auto"/>
        </w:rPr>
      </w:pPr>
    </w:p>
    <w:p>
      <w:pPr>
        <w:ind w:left="1300" w:firstLine="733"/>
        <w:spacing w:after="0" w:line="283" w:lineRule="auto"/>
        <w:tabs>
          <w:tab w:leader="none" w:pos="258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after-tax gains or non-cash losses attributable to asset sales or returned surplus assets of any employee pension benefit plan will be excluded;</w:t>
      </w:r>
    </w:p>
    <w:p>
      <w:pPr>
        <w:spacing w:after="0" w:line="92" w:lineRule="exact"/>
        <w:rPr>
          <w:rFonts w:ascii="Times New Roman" w:cs="Times New Roman" w:eastAsia="Times New Roman" w:hAnsi="Times New Roman"/>
          <w:sz w:val="20"/>
          <w:szCs w:val="20"/>
          <w:color w:val="auto"/>
        </w:rPr>
      </w:pPr>
    </w:p>
    <w:p>
      <w:pPr>
        <w:jc w:val="both"/>
        <w:ind w:left="1300" w:firstLine="733"/>
        <w:spacing w:after="0" w:line="261" w:lineRule="auto"/>
        <w:tabs>
          <w:tab w:leader="none" w:pos="258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income (but not loss) of any Person that is not a Restricted Subsidiary or that is accounted for by the equity method of accounting will be included only to the extent of the amount of dividends or similar distributions paid in cash to the specified Person or a Restricted Subsidiary of the Person;</w:t>
      </w:r>
    </w:p>
    <w:p>
      <w:pPr>
        <w:spacing w:after="0" w:line="127" w:lineRule="exact"/>
        <w:rPr>
          <w:rFonts w:ascii="Times New Roman" w:cs="Times New Roman" w:eastAsia="Times New Roman" w:hAnsi="Times New Roman"/>
          <w:sz w:val="20"/>
          <w:szCs w:val="20"/>
          <w:color w:val="auto"/>
        </w:rPr>
      </w:pPr>
    </w:p>
    <w:p>
      <w:pPr>
        <w:jc w:val="both"/>
        <w:ind w:left="1300" w:firstLine="733"/>
        <w:spacing w:after="0" w:line="261" w:lineRule="auto"/>
        <w:tabs>
          <w:tab w:leader="none" w:pos="258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income (or loss) of any Person accrued prior to the date it becomes a Restricted Subsidiary or is merged into or consolidated with the Company or any of its Restricted Subsidiaries or that Person’s assets are acquired by the Company or any of its Restricted Subsidiaries, will be excluded;</w:t>
      </w:r>
    </w:p>
    <w:p>
      <w:pPr>
        <w:spacing w:after="0" w:line="127" w:lineRule="exact"/>
        <w:rPr>
          <w:rFonts w:ascii="Times New Roman" w:cs="Times New Roman" w:eastAsia="Times New Roman" w:hAnsi="Times New Roman"/>
          <w:sz w:val="20"/>
          <w:szCs w:val="20"/>
          <w:color w:val="auto"/>
        </w:rPr>
      </w:pPr>
    </w:p>
    <w:p>
      <w:pPr>
        <w:jc w:val="both"/>
        <w:ind w:left="1300" w:firstLine="733"/>
        <w:spacing w:after="0" w:line="251" w:lineRule="auto"/>
        <w:tabs>
          <w:tab w:leader="none" w:pos="258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income (but not loss) of any Restricted Subsidiary that is not a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(other than (x) restrictions that have been waived or otherwise released, and (y) restrictions pursuant to the Notes or this Indenture), except that (A) the Company’s equity in the net income of any such Restricted Subsidiary for such period shall be included in such Consolidated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8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bl>
    <w:p>
      <w:pPr>
        <w:sectPr>
          <w:pgSz w:w="11900" w:h="16838" w:orient="portrait"/>
          <w:cols w:equalWidth="0" w:num="1">
            <w:col w:w="11240"/>
          </w:cols>
          <w:pgMar w:left="320" w:top="1440" w:right="339" w:bottom="1440" w:gutter="0" w:footer="0" w:header="0"/>
        </w:sectPr>
      </w:pPr>
    </w:p>
    <w:bookmarkStart w:id="18" w:name="page19"/>
    <w:bookmarkEnd w:id="18"/>
    <w:p>
      <w:pPr>
        <w:spacing w:after="0" w:line="135" w:lineRule="exact"/>
        <w:rPr>
          <w:sz w:val="20"/>
          <w:szCs w:val="20"/>
          <w:color w:val="auto"/>
        </w:rPr>
      </w:pPr>
    </w:p>
    <w:p>
      <w:pPr>
        <w:jc w:val="both"/>
        <w:ind w:left="1220"/>
        <w:spacing w:after="0" w:line="258" w:lineRule="auto"/>
        <w:rPr>
          <w:sz w:val="20"/>
          <w:szCs w:val="20"/>
          <w:color w:val="auto"/>
        </w:rPr>
      </w:pPr>
      <w:r>
        <w:rPr>
          <w:rFonts w:ascii="Times New Roman" w:cs="Times New Roman" w:eastAsia="Times New Roman" w:hAnsi="Times New Roman"/>
          <w:sz w:val="20"/>
          <w:szCs w:val="20"/>
          <w:color w:val="auto"/>
        </w:rPr>
        <w:t>up to the aggregate amount of any dividend or distribution that was or that could have been made by such Restricted Subsidiary during such period to the Company or another Restricted Subsidiary and (B) the net loss of such Restricted Subsidiary shall be included to the extent of the aggregate Investment of the Company or any of its other Restricted Subsidiaries in such Restricted Subsidiary;</w:t>
      </w:r>
    </w:p>
    <w:p>
      <w:pPr>
        <w:spacing w:after="0" w:line="118" w:lineRule="exact"/>
        <w:rPr>
          <w:sz w:val="20"/>
          <w:szCs w:val="20"/>
          <w:color w:val="auto"/>
        </w:rPr>
      </w:pPr>
    </w:p>
    <w:p>
      <w:pPr>
        <w:ind w:left="1220" w:firstLine="733"/>
        <w:spacing w:after="0" w:line="283" w:lineRule="auto"/>
        <w:tabs>
          <w:tab w:leader="none" w:pos="25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unrealized foreign currency translation or transaction gains or losses (including gains related to currency remeasurements of Indebtedness) of such Person and its Restricted Subsidiaries for such period will be excluded;</w:t>
      </w:r>
    </w:p>
    <w:p>
      <w:pPr>
        <w:spacing w:after="0" w:line="105" w:lineRule="exact"/>
        <w:rPr>
          <w:rFonts w:ascii="Times New Roman" w:cs="Times New Roman" w:eastAsia="Times New Roman" w:hAnsi="Times New Roman"/>
          <w:sz w:val="20"/>
          <w:szCs w:val="20"/>
          <w:color w:val="auto"/>
        </w:rPr>
      </w:pPr>
    </w:p>
    <w:p>
      <w:pPr>
        <w:ind w:left="1220" w:right="20" w:firstLine="733"/>
        <w:spacing w:after="0" w:line="269" w:lineRule="auto"/>
        <w:tabs>
          <w:tab w:leader="none" w:pos="25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cumulative effect of a change in accounting principles or accounting standards (including prospective effects) will be excluded;</w:t>
      </w:r>
    </w:p>
    <w:p>
      <w:pPr>
        <w:spacing w:after="0" w:line="118" w:lineRule="exact"/>
        <w:rPr>
          <w:rFonts w:ascii="Times New Roman" w:cs="Times New Roman" w:eastAsia="Times New Roman" w:hAnsi="Times New Roman"/>
          <w:sz w:val="20"/>
          <w:szCs w:val="20"/>
          <w:color w:val="auto"/>
        </w:rPr>
      </w:pPr>
    </w:p>
    <w:p>
      <w:pPr>
        <w:ind w:left="1220" w:firstLine="733"/>
        <w:spacing w:after="0" w:line="269" w:lineRule="auto"/>
        <w:tabs>
          <w:tab w:leader="none" w:pos="25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gains, charges or losses on disposed, abandoned and discontinued operations (other than assets held for sale) and any accretion or accrual of discontinued operations will be excluded;</w:t>
      </w:r>
    </w:p>
    <w:p>
      <w:pPr>
        <w:spacing w:after="0" w:line="118" w:lineRule="exact"/>
        <w:rPr>
          <w:rFonts w:ascii="Times New Roman" w:cs="Times New Roman" w:eastAsia="Times New Roman" w:hAnsi="Times New Roman"/>
          <w:sz w:val="20"/>
          <w:szCs w:val="20"/>
          <w:color w:val="auto"/>
        </w:rPr>
      </w:pPr>
    </w:p>
    <w:p>
      <w:pPr>
        <w:jc w:val="both"/>
        <w:ind w:left="1220" w:firstLine="733"/>
        <w:spacing w:after="0" w:line="258" w:lineRule="auto"/>
        <w:tabs>
          <w:tab w:leader="none" w:pos="25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effects of purchase accounting adjustments (including the effects of such adjustments pushed down to such Person and its Restricted Subsidiaries) in component amounts required or permitted by GAAP, resulting from the application of purchase accounting in relation to any consummated acquisition or the amortization or write-off of any amounts thereof, net of taxes, will be excluded;</w:t>
      </w:r>
    </w:p>
    <w:p>
      <w:pPr>
        <w:spacing w:after="0" w:line="118" w:lineRule="exact"/>
        <w:rPr>
          <w:rFonts w:ascii="Times New Roman" w:cs="Times New Roman" w:eastAsia="Times New Roman" w:hAnsi="Times New Roman"/>
          <w:sz w:val="20"/>
          <w:szCs w:val="20"/>
          <w:color w:val="auto"/>
        </w:rPr>
      </w:pPr>
    </w:p>
    <w:p>
      <w:pPr>
        <w:ind w:left="1220" w:firstLine="733"/>
        <w:spacing w:after="0" w:line="283" w:lineRule="auto"/>
        <w:tabs>
          <w:tab w:leader="none" w:pos="250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gains and losses attributable to movement in the mark-to-market valuation of Hedging Obligations pursuant to ASC Topic 815 will be excluded;</w:t>
      </w:r>
    </w:p>
    <w:p>
      <w:pPr>
        <w:spacing w:after="0" w:line="105" w:lineRule="exact"/>
        <w:rPr>
          <w:rFonts w:ascii="Times New Roman" w:cs="Times New Roman" w:eastAsia="Times New Roman" w:hAnsi="Times New Roman"/>
          <w:sz w:val="20"/>
          <w:szCs w:val="20"/>
          <w:color w:val="auto"/>
        </w:rPr>
      </w:pPr>
    </w:p>
    <w:p>
      <w:pPr>
        <w:jc w:val="both"/>
        <w:ind w:left="1220" w:firstLine="733"/>
        <w:spacing w:after="0" w:line="261" w:lineRule="auto"/>
        <w:tabs>
          <w:tab w:leader="none" w:pos="250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reduction in any Person’s federal income tax liability in connection with an offsetting benefit resulting from the issue or sale of Qualifying Equity Interests of such Person upon the exercise of stock options, warrants or other convertible or exchangeable securities as determined in accordance with GAAP will be included, without duplication;</w:t>
      </w:r>
    </w:p>
    <w:p>
      <w:pPr>
        <w:spacing w:after="0" w:line="113" w:lineRule="exact"/>
        <w:rPr>
          <w:rFonts w:ascii="Times New Roman" w:cs="Times New Roman" w:eastAsia="Times New Roman" w:hAnsi="Times New Roman"/>
          <w:sz w:val="20"/>
          <w:szCs w:val="20"/>
          <w:color w:val="auto"/>
        </w:rPr>
      </w:pPr>
    </w:p>
    <w:p>
      <w:pPr>
        <w:jc w:val="both"/>
        <w:ind w:left="1220" w:firstLine="733"/>
        <w:spacing w:after="0" w:line="258" w:lineRule="auto"/>
        <w:tabs>
          <w:tab w:leader="none" w:pos="250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non-recurring (a) fees, costs and expenses of such Person and its Restricted Subsidiaries Incurred as a result of (i) Investments or sales or dispositions of assets permitted hereunder or (ii) the issuance, repayment or amendment or Equity Interests or Indebtedness permitted under this Indenture, and (b) fees, expenses, losses or charges of such Person and its Restricted Subsidiaries Incurred as a result of litigation or arbitration settlements will be excluded;</w:t>
      </w:r>
    </w:p>
    <w:p>
      <w:pPr>
        <w:spacing w:after="0" w:line="131" w:lineRule="exact"/>
        <w:rPr>
          <w:rFonts w:ascii="Times New Roman" w:cs="Times New Roman" w:eastAsia="Times New Roman" w:hAnsi="Times New Roman"/>
          <w:sz w:val="20"/>
          <w:szCs w:val="20"/>
          <w:color w:val="auto"/>
        </w:rPr>
      </w:pPr>
    </w:p>
    <w:p>
      <w:pPr>
        <w:jc w:val="both"/>
        <w:ind w:left="1220" w:firstLine="733"/>
        <w:spacing w:after="0" w:line="254" w:lineRule="auto"/>
        <w:tabs>
          <w:tab w:leader="none" w:pos="250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unusual or non-recurring charges in connection with employee severance, lease terminations and lease buyouts related to closure or consolidation of stores, termination or restructuring of merchant relationships and related contracts, termination or restructuring of bank partnerships and related contracts and write-off of assets related to asset sales, acquisitions, investments, restructurings and dispositions will be excluded;</w:t>
      </w:r>
    </w:p>
    <w:p>
      <w:pPr>
        <w:spacing w:after="0" w:line="133" w:lineRule="exact"/>
        <w:rPr>
          <w:rFonts w:ascii="Times New Roman" w:cs="Times New Roman" w:eastAsia="Times New Roman" w:hAnsi="Times New Roman"/>
          <w:sz w:val="20"/>
          <w:szCs w:val="20"/>
          <w:color w:val="auto"/>
        </w:rPr>
      </w:pPr>
    </w:p>
    <w:p>
      <w:pPr>
        <w:jc w:val="both"/>
        <w:ind w:left="1220" w:firstLine="733"/>
        <w:spacing w:after="0" w:line="258" w:lineRule="auto"/>
        <w:tabs>
          <w:tab w:leader="none" w:pos="250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out-of-pocket fees or expenses, losses or charges (other than depreciation or amortization expense) related to any issuance, Investment, acquisition, disposition, conveyance or recapitalization or the incurrence or repayment of Indebtedness (including a refinancing or amendment, waiver or modification thereof), in each case, permitted under this Indenture (including any such transaction consummated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bl>
    <w:p>
      <w:pPr>
        <w:sectPr>
          <w:pgSz w:w="11900" w:h="16838" w:orient="portrait"/>
          <w:cols w:equalWidth="0" w:num="1">
            <w:col w:w="11160"/>
          </w:cols>
          <w:pgMar w:left="400" w:top="1440" w:right="339" w:bottom="1440" w:gutter="0" w:footer="0" w:header="0"/>
        </w:sectPr>
      </w:pPr>
    </w:p>
    <w:bookmarkStart w:id="19" w:name="page20"/>
    <w:bookmarkEnd w:id="19"/>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prior to or after the Issue Date and any such transaction undertaken whether or not successful) will be excluded;</w:t>
      </w:r>
    </w:p>
    <w:p>
      <w:pPr>
        <w:spacing w:after="0" w:line="175" w:lineRule="exact"/>
        <w:rPr>
          <w:sz w:val="20"/>
          <w:szCs w:val="20"/>
          <w:color w:val="auto"/>
        </w:rPr>
      </w:pPr>
    </w:p>
    <w:p>
      <w:pPr>
        <w:jc w:val="both"/>
        <w:ind w:left="1300" w:firstLine="733"/>
        <w:spacing w:after="0" w:line="254" w:lineRule="auto"/>
        <w:tabs>
          <w:tab w:leader="none" w:pos="258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non-recurring restructuring charges or reserves and business optimization expense, including any restructuring costs and integration costs, cost-savings initiatives, retention charges, contract termination costs, retention, recruiting, relocation, severance and signing bonuses and expenses, costs and expenses relating to out-placement services, future lease commitments, systems establishment costs, conversion costs and excess pension charges, consulting fees;</w:t>
      </w:r>
    </w:p>
    <w:p>
      <w:pPr>
        <w:spacing w:after="0" w:line="133" w:lineRule="exact"/>
        <w:rPr>
          <w:rFonts w:ascii="Times New Roman" w:cs="Times New Roman" w:eastAsia="Times New Roman" w:hAnsi="Times New Roman"/>
          <w:sz w:val="20"/>
          <w:szCs w:val="20"/>
          <w:color w:val="auto"/>
        </w:rPr>
      </w:pPr>
    </w:p>
    <w:p>
      <w:pPr>
        <w:jc w:val="both"/>
        <w:ind w:left="1300" w:firstLine="733"/>
        <w:spacing w:after="0" w:line="258" w:lineRule="auto"/>
        <w:tabs>
          <w:tab w:leader="none" w:pos="258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impairment charge or asset write-off or write-down, including impairment charges or asset write-offs or write-downs related to intangible assets, long-lived assets, investments in debt and equity securities and investments recorded using the equity method or as a result of a change in law or regulation, in each case, pursuant to GAAP, and the amortization of intangibles arising pursuant to GAAP shall be excluded; and</w:t>
      </w:r>
    </w:p>
    <w:p>
      <w:pPr>
        <w:spacing w:after="0" w:line="118" w:lineRule="exact"/>
        <w:rPr>
          <w:rFonts w:ascii="Times New Roman" w:cs="Times New Roman" w:eastAsia="Times New Roman" w:hAnsi="Times New Roman"/>
          <w:sz w:val="20"/>
          <w:szCs w:val="20"/>
          <w:color w:val="auto"/>
        </w:rPr>
      </w:pPr>
    </w:p>
    <w:p>
      <w:pPr>
        <w:ind w:left="1300" w:firstLine="733"/>
        <w:spacing w:after="0" w:line="283" w:lineRule="auto"/>
        <w:tabs>
          <w:tab w:leader="none" w:pos="258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included in clauses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(16)</w:t>
      </w:r>
      <w:r>
        <w:rPr>
          <w:rFonts w:ascii="Times New Roman" w:cs="Times New Roman" w:eastAsia="Times New Roman" w:hAnsi="Times New Roman"/>
          <w:sz w:val="20"/>
          <w:szCs w:val="20"/>
          <w:color w:val="auto"/>
        </w:rPr>
        <w:t xml:space="preserve"> above, any net extraordinary gains or net extraordinary losses will be excluded.</w:t>
      </w:r>
    </w:p>
    <w:p>
      <w:pPr>
        <w:spacing w:after="0" w:line="1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xml:space="preserve">” of any Person as of any date means the total assets of such Person and its Restricted Subsidiaries as of the most recent fiscal quarter end for which a consolidated balance sheet of such Person and its Restricted Subsidiaries is available, calculated on a consolidated basis in accordance with generally accepted accounting principles (with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adjustments as are appropriate and consistent with the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adjustment provisions set forth in the definition of “Fixed Charge Coverage Ratio”).</w:t>
      </w:r>
    </w:p>
    <w:p>
      <w:pPr>
        <w:spacing w:after="0" w:line="1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Debt</w:t>
      </w:r>
      <w:r>
        <w:rPr>
          <w:rFonts w:ascii="Times New Roman" w:cs="Times New Roman" w:eastAsia="Times New Roman" w:hAnsi="Times New Roman"/>
          <w:sz w:val="20"/>
          <w:szCs w:val="20"/>
          <w:color w:val="auto"/>
        </w:rPr>
        <w:t xml:space="preserve">” shall mean, at any date, the aggregate principal amount of all Indebtedness of the Company and its Restricted Subsidiaries at such date under clauses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highlight w:val="white"/>
        </w:rPr>
        <w:t>,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highlight w:val="white"/>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highlight w:val="white"/>
        </w:rPr>
        <w:t>(4)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of the definition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2736850</wp:posOffset>
            </wp:positionH>
            <wp:positionV relativeFrom="paragraph">
              <wp:posOffset>-55245</wp:posOffset>
            </wp:positionV>
            <wp:extent cx="1466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85" cy="8255"/>
                    </a:xfrm>
                    <a:prstGeom prst="rect">
                      <a:avLst/>
                    </a:prstGeom>
                    <a:noFill/>
                  </pic:spPr>
                </pic:pic>
              </a:graphicData>
            </a:graphic>
          </wp:anchor>
        </w:drawing>
      </w:r>
    </w:p>
    <w:p>
      <w:pPr>
        <w:spacing w:after="0" w:line="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Debt Ratio</w:t>
      </w:r>
      <w:r>
        <w:rPr>
          <w:rFonts w:ascii="Times New Roman" w:cs="Times New Roman" w:eastAsia="Times New Roman" w:hAnsi="Times New Roman"/>
          <w:sz w:val="20"/>
          <w:szCs w:val="20"/>
          <w:color w:val="auto"/>
        </w:rPr>
        <w:t xml:space="preserve">” shall mean, as of any date of determination, the ratio of (1) Consolidated Total Debt of the Company and its Restricted Subsidiaries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cash and Cash Equivalents of the Company and its Restricted Subsidiaries at such date to (2) Consolidated EBITDA of the Company for the most recently ended four full fiscal quarters for which internal financial statements are available immediately preceding the date on which such event for which such calculation is being made shall occur, in each case with such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adjustments to Consolidated Total Debt and Consolidated EBITDA as are appropriate and consistent with the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adjustment provisions set forth in the definition of “Fixed Charge Coverage Ratio.”</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continuing</w:t>
      </w:r>
      <w:r>
        <w:rPr>
          <w:rFonts w:ascii="Times New Roman" w:cs="Times New Roman" w:eastAsia="Times New Roman" w:hAnsi="Times New Roman"/>
          <w:sz w:val="20"/>
          <w:szCs w:val="20"/>
          <w:color w:val="auto"/>
        </w:rPr>
        <w:t>” means, with respect to any Default or Event of Default, that such Default or Event of Default has not been cured 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waived.</w:t>
      </w:r>
    </w:p>
    <w:p>
      <w:pPr>
        <w:spacing w:after="0" w:line="15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Corporate Trust Office of the Trustee</w:t>
      </w:r>
      <w:r>
        <w:rPr>
          <w:rFonts w:ascii="Times New Roman" w:cs="Times New Roman" w:eastAsia="Times New Roman" w:hAnsi="Times New Roman"/>
          <w:sz w:val="20"/>
          <w:szCs w:val="20"/>
          <w:color w:val="auto"/>
        </w:rPr>
        <w:t xml:space="preserve">” means the address of the Trustee specified in </w:t>
      </w:r>
      <w:r>
        <w:rPr>
          <w:rFonts w:ascii="Times New Roman" w:cs="Times New Roman" w:eastAsia="Times New Roman" w:hAnsi="Times New Roman"/>
          <w:sz w:val="20"/>
          <w:szCs w:val="20"/>
          <w:u w:val="single" w:color="auto"/>
          <w:color w:val="auto"/>
        </w:rPr>
        <w:t>Section 12.02</w:t>
      </w:r>
      <w:r>
        <w:rPr>
          <w:rFonts w:ascii="Times New Roman" w:cs="Times New Roman" w:eastAsia="Times New Roman" w:hAnsi="Times New Roman"/>
          <w:sz w:val="20"/>
          <w:szCs w:val="20"/>
          <w:color w:val="auto"/>
        </w:rPr>
        <w:t xml:space="preserve"> hereof or such other address as to which the Trustee may give notice to the Company.</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Convertible Indebtedness</w:t>
      </w:r>
      <w:r>
        <w:rPr>
          <w:rFonts w:ascii="Times New Roman" w:cs="Times New Roman" w:eastAsia="Times New Roman" w:hAnsi="Times New Roman"/>
          <w:sz w:val="20"/>
          <w:szCs w:val="20"/>
          <w:color w:val="auto"/>
        </w:rPr>
        <w:t>” means Indebtedness of the Company (which may be guaranteed by the Guarantors) permitted to be incurred under the terms of this Indenture that is either (a) convertible into common equity of the Company (and cash in lieu of fractional shares) and/or cash (in an amount determined by reference to the price of such common equity) or (b) sold as units with call options, warrants or rights to purchase (or substantially equivalent derivative transactions) that are exercisable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bl>
    <w:p>
      <w:pPr>
        <w:sectPr>
          <w:pgSz w:w="11900" w:h="16838" w:orient="portrait"/>
          <w:cols w:equalWidth="0" w:num="1">
            <w:col w:w="11240"/>
          </w:cols>
          <w:pgMar w:left="320" w:top="1440" w:right="339" w:bottom="1440" w:gutter="0" w:footer="0" w:header="0"/>
        </w:sectPr>
      </w:pPr>
    </w:p>
    <w:bookmarkStart w:id="20" w:name="page21"/>
    <w:bookmarkEnd w:id="20"/>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equity of the Company and/or cash (in any amount determined by reference to the price of such common equity).</w:t>
      </w:r>
    </w:p>
    <w:p>
      <w:pPr>
        <w:spacing w:after="0" w:line="1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Facilities</w:t>
      </w:r>
      <w:r>
        <w:rPr>
          <w:rFonts w:ascii="Times New Roman" w:cs="Times New Roman" w:eastAsia="Times New Roman" w:hAnsi="Times New Roman"/>
          <w:sz w:val="19"/>
          <w:szCs w:val="19"/>
          <w:color w:val="auto"/>
        </w:rPr>
        <w:t>” means, one or more debt facilities, debt securities, indentures, commercial paper facilities, other forms of debt financing (including convertible or exchangeable debt instruments or bank guarantees or bankers’ acceptances) or instruments or agreements evidencing any other Indebtedness, in each case, with the same or different borrowers or issuers and with banks or other institutional lenders, accredited investors or institutional investors providing for revolving credit loans, term loans, term debt, debt securities, receivables financing (including through the sale of receivables to such lenders or to special purpose entities formed to borrow from such lenders against such receivables and including any Permitted Receivables Financing) or letters of credit, in each case, as amended, restated, modified, renewed, extended, increased, refunded, replaced in any manner (whether upon or after termination or otherwise) or refinanced (including by means of sales of debt securities to institutional investors) in whole or in part from time to time (and without limitation as to amount, terms, conditions, covenants and other provisions, including increasing the amount of available borrowings thereunder, changing or replacing agent banks and lenders thereunder or adding, removing or reclassifying Subsidiaries of the Company as borrowers or guarantors thereunder).</w:t>
      </w:r>
    </w:p>
    <w:p>
      <w:pPr>
        <w:spacing w:after="0" w:line="12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CSO Obligations</w:t>
      </w:r>
      <w:r>
        <w:rPr>
          <w:rFonts w:ascii="Times New Roman" w:cs="Times New Roman" w:eastAsia="Times New Roman" w:hAnsi="Times New Roman"/>
          <w:sz w:val="20"/>
          <w:szCs w:val="20"/>
          <w:color w:val="auto"/>
        </w:rPr>
        <w:t>” means obligations to purchase, or other Guarantees of, consumer loans the making of which were facilitated by the Company or any Restricted Subsidiary acting as a credit services organization or other similar service provider.</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Custodian</w:t>
      </w:r>
      <w:r>
        <w:rPr>
          <w:rFonts w:ascii="Times New Roman" w:cs="Times New Roman" w:eastAsia="Times New Roman" w:hAnsi="Times New Roman"/>
          <w:sz w:val="20"/>
          <w:szCs w:val="20"/>
          <w:color w:val="auto"/>
        </w:rPr>
        <w:t>” means the Trustee, as custodian with respect to the Notes in global form, or any successor entity thereto.</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Customary Recourse Exceptions</w:t>
      </w:r>
      <w:r>
        <w:rPr>
          <w:rFonts w:ascii="Times New Roman" w:cs="Times New Roman" w:eastAsia="Times New Roman" w:hAnsi="Times New Roman"/>
          <w:sz w:val="20"/>
          <w:szCs w:val="20"/>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that is, or with the passage of time or the giving of notice or both would be, an Event of Default.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Definitive Note</w:t>
      </w:r>
      <w:r>
        <w:rPr>
          <w:rFonts w:ascii="Times New Roman" w:cs="Times New Roman" w:eastAsia="Times New Roman" w:hAnsi="Times New Roman"/>
          <w:sz w:val="20"/>
          <w:szCs w:val="20"/>
          <w:color w:val="auto"/>
        </w:rPr>
        <w:t xml:space="preserve">” means a certificated Note registered in the name of the Holder thereof and issued in accordance with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hereof,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except that such Note shall not bear the Global Note Legend and shall not have the “Schedule of Exchanges of Interests in the Global Note” attached thereto.</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Depositary</w:t>
      </w:r>
      <w:r>
        <w:rPr>
          <w:rFonts w:ascii="Times New Roman" w:cs="Times New Roman" w:eastAsia="Times New Roman" w:hAnsi="Times New Roman"/>
          <w:sz w:val="20"/>
          <w:szCs w:val="20"/>
          <w:color w:val="auto"/>
        </w:rPr>
        <w:t xml:space="preserve">” means, with respect to the Notes issuable or issued in whole or in part in global form, the Person specified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w:t>
      </w:r>
      <w:r>
        <w:rPr>
          <w:rFonts w:ascii="Times New Roman" w:cs="Times New Roman" w:eastAsia="Times New Roman" w:hAnsi="Times New Roman"/>
          <w:sz w:val="20"/>
          <w:szCs w:val="20"/>
          <w:color w:val="auto"/>
        </w:rPr>
        <w:t xml:space="preserve"> hereof as the Depositary with respect to the Notes, and any and all successors thereto appointed as depositary hereunder and having become such pursuant to the applicable provision of this Indenture.</w:t>
      </w:r>
    </w:p>
    <w:p>
      <w:pPr>
        <w:spacing w:after="0" w:line="1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Derivative Instrument</w:t>
      </w:r>
      <w:r>
        <w:rPr>
          <w:rFonts w:ascii="Times New Roman" w:cs="Times New Roman" w:eastAsia="Times New Roman" w:hAnsi="Times New Roman"/>
          <w:sz w:val="20"/>
          <w:szCs w:val="20"/>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Regulated Bank or a Screened Affiliate) is a party (whether or not requiring further performance by such Person), the value and/or cash flows of which (or any material portion thereof) are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bl>
    <w:p>
      <w:pPr>
        <w:sectPr>
          <w:pgSz w:w="11900" w:h="16838" w:orient="portrait"/>
          <w:cols w:equalWidth="0" w:num="1">
            <w:col w:w="11240"/>
          </w:cols>
          <w:pgMar w:left="320" w:top="1440" w:right="339" w:bottom="1440" w:gutter="0" w:footer="0" w:header="0"/>
        </w:sectPr>
      </w:pPr>
    </w:p>
    <w:bookmarkStart w:id="21" w:name="page22"/>
    <w:bookmarkEnd w:id="21"/>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affected by the value and/or performance of the Notes and/or the creditworthiness of the Company and/or any one or more of the Note Guarantors (the “</w:t>
      </w:r>
      <w:r>
        <w:rPr>
          <w:rFonts w:ascii="Times New Roman" w:cs="Times New Roman" w:eastAsia="Times New Roman" w:hAnsi="Times New Roman"/>
          <w:sz w:val="20"/>
          <w:szCs w:val="20"/>
          <w:u w:val="single" w:color="auto"/>
          <w:color w:val="auto"/>
        </w:rPr>
        <w:t>Performance References</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Noncash Consideration</w:t>
      </w:r>
      <w:r>
        <w:rPr>
          <w:rFonts w:ascii="Times New Roman" w:cs="Times New Roman" w:eastAsia="Times New Roman" w:hAnsi="Times New Roman"/>
          <w:sz w:val="20"/>
          <w:szCs w:val="20"/>
          <w:color w:val="auto"/>
        </w:rPr>
        <w:t>” means the Fair Market Value of noncash consideration received by the Company or a Restricted Subsidiary in connection with an Asset Sale that is so designated as Designated Noncash Consideration, less the amount of cash or Cash Equivalents received in connection with a subsequent sale of such Designated Noncash Consideration.</w:t>
      </w:r>
    </w:p>
    <w:p>
      <w:pPr>
        <w:spacing w:after="0" w:line="1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Disinterested Director</w:t>
      </w:r>
      <w:r>
        <w:rPr>
          <w:rFonts w:ascii="Times New Roman" w:cs="Times New Roman" w:eastAsia="Times New Roman" w:hAnsi="Times New Roman"/>
          <w:sz w:val="20"/>
          <w:szCs w:val="20"/>
          <w:color w:val="auto"/>
        </w:rPr>
        <w:t>” means, with respect to any relevant transaction, a member of the Board of Directors who is not party to such transaction and does not have a material interest in such transaction or a material relationship with a person that has a material interest in such transaction; provided that the designation, nomination, or vote in the election of a director to the board of directors by any person that has a direct or indirect material interest in an act or transaction shall not be evidence or a basis for concluding that a director is not a disinterested director with respect to an act or transaction to which such director is not personally a party.</w:t>
      </w:r>
    </w:p>
    <w:p>
      <w:pPr>
        <w:spacing w:after="0" w:line="13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Stock</w:t>
      </w:r>
      <w:r>
        <w:rPr>
          <w:rFonts w:ascii="Times New Roman" w:cs="Times New Roman" w:eastAsia="Times New Roman" w:hAnsi="Times New Roman"/>
          <w:sz w:val="20"/>
          <w:szCs w:val="20"/>
          <w:color w:val="auto"/>
        </w:rPr>
        <w:t xml:space="preserve">”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the Company to repurchase such Capital Stock upon the occurrence of a change of control or an asset sale will not constitute Disqualified Stock if the terms of such Capital Stock provide that the Company may not repurchase or redeem any such Capital Stock pursuant to such provisions unless such repurchase or redemption complies </w:t>
      </w:r>
      <w:r>
        <w:rPr>
          <w:rFonts w:ascii="Times New Roman" w:cs="Times New Roman" w:eastAsia="Times New Roman" w:hAnsi="Times New Roman"/>
          <w:sz w:val="20"/>
          <w:szCs w:val="20"/>
          <w:u w:val="single" w:color="auto"/>
          <w:color w:val="auto"/>
        </w:rPr>
        <w:t>Section 4.07</w:t>
      </w:r>
      <w:r>
        <w:rPr>
          <w:rFonts w:ascii="Times New Roman" w:cs="Times New Roman" w:eastAsia="Times New Roman" w:hAnsi="Times New Roman"/>
          <w:sz w:val="20"/>
          <w:szCs w:val="20"/>
          <w:color w:val="auto"/>
        </w:rPr>
        <w:t xml:space="preserve"> hereof, (2) if such Capital Stock is issued to any employee or to any plan for the benefit of employees of the Company or its Subsidiaries or by any such plan to such employees, such Capital Stock shall not constitute Disqualified Stock solely because it may be required to be repurchased in order to satisfy applicable statutory or regulatory obligations and (3) any Capital Stock held by any future, current or former employee, director, manager or consultant (or their respective trusts, estates, investment funds, investment vehicles or immediate family members) of the Company, any of its Subsidiaries or any direct or indirect parent entity of the Company, in each case, upon the termination of employment, death or disability of such person pursuant to any stockholders’ agreement, management equity plan, stock option plan or any other management or employee benefit plan or agreement shall not constitute Disqualified Stock solely because it may be required to be repurchased by the Company or its Subsidiaries. The amount of Disqualified Stock deemed to be outstanding at any time for purposes of this Indenture will be the maximum amount that the Company and its Restricted Subsidiaries may become obligated to pay upon the maturity of, or pursuant to any mandatory redemption provisions of, such Disqualified Stock, exclusive of accrued dividends.</w:t>
      </w:r>
    </w:p>
    <w:p>
      <w:pPr>
        <w:spacing w:after="0" w:line="14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Disinterested Stockholder</w:t>
      </w:r>
      <w:r>
        <w:rPr>
          <w:rFonts w:ascii="Times New Roman" w:cs="Times New Roman" w:eastAsia="Times New Roman" w:hAnsi="Times New Roman"/>
          <w:sz w:val="20"/>
          <w:szCs w:val="20"/>
          <w:color w:val="auto"/>
        </w:rPr>
        <w:t>” means, with respect to any relevant transaction, any stockholder that does not have a material interest in such transaction or a material relationship with a person that has a material interest in such transaction.</w:t>
      </w:r>
    </w:p>
    <w:p>
      <w:pPr>
        <w:spacing w:after="0" w:line="11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Restricted Subsidiary of the Company that was formed under the laws of the United States or any state of the United States or the District of Columbia.</w:t>
      </w:r>
    </w:p>
    <w:p>
      <w:pPr>
        <w:spacing w:after="0" w:line="11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Capital Stock and all warrants, options or other rights to acquire Capital Stock (but excluding any debt security that is convertible into, or exchangeable for, Capital Stock).</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bl>
    <w:p>
      <w:pPr>
        <w:sectPr>
          <w:pgSz w:w="11900" w:h="16838" w:orient="portrait"/>
          <w:cols w:equalWidth="0" w:num="1">
            <w:col w:w="11240"/>
          </w:cols>
          <w:pgMar w:left="320" w:top="1440" w:right="339" w:bottom="1440" w:gutter="0" w:footer="0" w:header="0"/>
        </w:sectPr>
      </w:pPr>
    </w:p>
    <w:bookmarkStart w:id="22" w:name="page23"/>
    <w:bookmarkEnd w:id="22"/>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Offering</w:t>
      </w:r>
      <w:r>
        <w:rPr>
          <w:rFonts w:ascii="Times New Roman" w:cs="Times New Roman" w:eastAsia="Times New Roman" w:hAnsi="Times New Roman"/>
          <w:sz w:val="20"/>
          <w:szCs w:val="20"/>
          <w:color w:val="auto"/>
        </w:rPr>
        <w:t>” means a public or private sale either (1) of Equity Interests of the Company by the Company (other than Disqualified Stock and other than to a Subsidiary of the Company) or (2) of Equity Interests of a direct or indirect parent entity of the Company (other than to the Company or a Subsidiary thereof) to the extent that the net proceeds therefrom are contributed to the common equity capital of the Company.</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Escrowed Proceeds</w:t>
      </w:r>
      <w:r>
        <w:rPr>
          <w:rFonts w:ascii="Times New Roman" w:cs="Times New Roman" w:eastAsia="Times New Roman" w:hAnsi="Times New Roman"/>
          <w:sz w:val="20"/>
          <w:szCs w:val="20"/>
          <w:color w:val="auto"/>
        </w:rPr>
        <w:t>”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Euroclear</w:t>
      </w:r>
      <w:r>
        <w:rPr>
          <w:rFonts w:ascii="Times New Roman" w:cs="Times New Roman" w:eastAsia="Times New Roman" w:hAnsi="Times New Roman"/>
          <w:sz w:val="20"/>
          <w:szCs w:val="20"/>
          <w:color w:val="auto"/>
        </w:rPr>
        <w:t>” means Euroclear Bank, S.A./N.V., as operator of the Euroclear system.</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Indebtedness</w:t>
      </w:r>
      <w:r>
        <w:rPr>
          <w:rFonts w:ascii="Times New Roman" w:cs="Times New Roman" w:eastAsia="Times New Roman" w:hAnsi="Times New Roman"/>
          <w:sz w:val="20"/>
          <w:szCs w:val="20"/>
          <w:color w:val="auto"/>
        </w:rPr>
        <w:t>” means all Indebtedness of the Company and its Subsidiaries (other than the Notes) in existence on the date of this Indenture, until such amounts are repaid.</w:t>
      </w:r>
    </w:p>
    <w:p>
      <w:pPr>
        <w:spacing w:after="0" w:line="11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Subsidiary</w:t>
      </w:r>
      <w:r>
        <w:rPr>
          <w:rFonts w:ascii="Times New Roman" w:cs="Times New Roman" w:eastAsia="Times New Roman" w:hAnsi="Times New Roman"/>
          <w:sz w:val="19"/>
          <w:szCs w:val="19"/>
          <w:color w:val="auto"/>
        </w:rPr>
        <w:t xml:space="preserve">” means (a) each Immaterial Subsidiary, (b) each Subsidiary that is not a Wholly Owned Subsidiary or otherwise constitutes a joint venture (for so long as such Subsidiary remains a non-Wholly Owned Subsidiary or joint venture), (c) each Subsidiary that is prohibited by any applicable law, regulation or contract to provide a Guarantee of the Notes (unless such prohibition is removed or any necessary consent, approval, waiver or authorization has been received), or would require governmental (including regulatory) consent, approval, license or authorization to provide such Guarantee, unless such consent, approval, license or authorization has been received (and for so long as such restriction or any replacement or renewal thereof is in effect), (d) any special purpose entity (including any Securitization Subsidiary, if not an Unrestricted Subsidiary) or broker-dealer entity, (e) any Subsidiary to the extent that the Guarantee of the Notes by such entity would result in adverse tax consequences (that are not de minimis) to the Company or any of its Subsidiaries (as reasonably determined in good faith by the Company), (f) any Captive Insurance Subsidiary, (g) any non-profit Subsidiary for bona fide charitable purposes, (h) any Subsidiary of the Company that is, or would become as a result of providing the Guarantee of the Notes, an “investment company” as defined in, or subject to regulation under, the Investment Company Act, (i) any Subsidiary that is (x) a Foreign Subsidiary, (y) a Foreign Subsidiary Holding Company or (z) a direct or indirect Subsidiary of a Foreign Subsidiary or a Foreign Subsidiary Holding Company, (j) USA Pawn &amp; Jewelry Co. 19, LLC, a Nevada limited liability company and USA Pawn &amp; Jewelry Co. XI, LLC, a Nevada limited liability company and (k) any other Subsidiary with respect to which, in the good faith judgment of the Company, the cost, burden, difficulty or other consequence of guaranteeing the Notes shall be excessive in view of the benefits to be obtained by the holders of the Notes therefrom;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Domestic Subsidiary of the Company shall be an “Excluded Subsidiary” if such Subsidiary Guarantees (or otherwise becomes liable for) Indebtedness of the Company or a Guarantor under a Credit Facility or any Public Debt Securities. Notwithstanding anything to the contrary in this definition, any Subsidiary of the Company that becomes a non-Wholly Owned Subsidiary as a result of a transfer or issuance of Capital Stock in connection with a transaction the primary purpose of which is to release such Subsidiary from its Note Guarantee, shall not constitute an Excluded Subsidiary pursuant to clause (b) of this definition.</w:t>
      </w:r>
    </w:p>
    <w:p>
      <w:pPr>
        <w:spacing w:after="0" w:line="36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means the value that would be paid by a willing buyer to an unaffiliated willing seller in a transaction not involving distress or necessity of either party, determined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bl>
    <w:p>
      <w:pPr>
        <w:sectPr>
          <w:pgSz w:w="11900" w:h="16838" w:orient="portrait"/>
          <w:cols w:equalWidth="0" w:num="1">
            <w:col w:w="11240"/>
          </w:cols>
          <w:pgMar w:left="320" w:top="1440" w:right="339" w:bottom="1440" w:gutter="0" w:footer="0" w:header="0"/>
        </w:sectPr>
      </w:pPr>
    </w:p>
    <w:bookmarkStart w:id="23" w:name="page24"/>
    <w:bookmarkEnd w:id="23"/>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by any officer of the Company and, with respect to any transaction involving aggregate value in excess of $15 million, by the Board of Directors of the Company (unless otherwise provided in this Indenture).</w:t>
      </w:r>
    </w:p>
    <w:p>
      <w:pPr>
        <w:spacing w:after="0" w:line="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Finance Lease Obligation</w:t>
      </w:r>
      <w:r>
        <w:rPr>
          <w:rFonts w:ascii="Times New Roman" w:cs="Times New Roman" w:eastAsia="Times New Roman" w:hAnsi="Times New Roman"/>
          <w:sz w:val="20"/>
          <w:szCs w:val="20"/>
          <w:color w:val="auto"/>
        </w:rPr>
        <w:t xml:space="preserve">” means, at the time any determination is to be made, the amount of the liability in respect of a finance lease that would at that time be required to be capitalized and reflected as a liability on a balance sheet (excluding the footnotes thereto) prepared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obligations of any Person that are or would have been treated as operating leases for purposes of GAAP prior to the issuance by the Financial Accounting Standards Board on February 25, 2016 of an Accounting Standards Update (the “ASU”) shall continue to be accounted for as operating leases for all purposes of all financial definitions and calculations of this Indenture (whether or not such operating lease obligations were in effect on such date) notwithstanding the fact that such obligations are required in accordance with the ASU (on a prospective or retroactive basis or otherwise) to be treated as Finance Lease Obligations in accordance with GAAP.</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Fitch</w:t>
      </w:r>
      <w:r>
        <w:rPr>
          <w:rFonts w:ascii="Times New Roman" w:cs="Times New Roman" w:eastAsia="Times New Roman" w:hAnsi="Times New Roman"/>
          <w:sz w:val="20"/>
          <w:szCs w:val="20"/>
          <w:color w:val="auto"/>
        </w:rPr>
        <w:t>” means Fitch Ratings, Inc. or any of its successors.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Charge Coverage Ratio</w:t>
      </w:r>
      <w:r>
        <w:rPr>
          <w:rFonts w:ascii="Times New Roman" w:cs="Times New Roman" w:eastAsia="Times New Roman" w:hAnsi="Times New Roman"/>
          <w:sz w:val="20"/>
          <w:szCs w:val="20"/>
          <w:color w:val="auto"/>
        </w:rPr>
        <w:t>” means with respect to any specified Person for any period, the ratio of the Consolidated EBITDA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Times New Roman" w:cs="Times New Roman" w:eastAsia="Times New Roman" w:hAnsi="Times New Roman"/>
          <w:sz w:val="20"/>
          <w:szCs w:val="20"/>
          <w:u w:val="single" w:color="auto"/>
          <w:color w:val="auto"/>
        </w:rPr>
        <w:t>Calculation Date</w:t>
      </w:r>
      <w:r>
        <w:rPr>
          <w:rFonts w:ascii="Times New Roman" w:cs="Times New Roman" w:eastAsia="Times New Roman" w:hAnsi="Times New Roman"/>
          <w:sz w:val="20"/>
          <w:szCs w:val="20"/>
          <w:color w:val="auto"/>
        </w:rPr>
        <w:t xml:space="preserve">”), then the Fixed Charge Coverage Ratio will be calculated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(in accordance with Regulation S-X under the Securities Act)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addition, for purposes of calculating the Fixed Charge Coverage Ratio:</w:t>
      </w:r>
    </w:p>
    <w:p>
      <w:pPr>
        <w:spacing w:after="0" w:line="162" w:lineRule="exact"/>
        <w:rPr>
          <w:sz w:val="20"/>
          <w:szCs w:val="20"/>
          <w:color w:val="auto"/>
        </w:rPr>
      </w:pPr>
    </w:p>
    <w:p>
      <w:pPr>
        <w:jc w:val="both"/>
        <w:ind w:left="1300" w:firstLine="733"/>
        <w:spacing w:after="0" w:line="253" w:lineRule="auto"/>
        <w:tabs>
          <w:tab w:leader="none" w:pos="258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acquisitions that have been made by the specified Person or any of its Restricted Subsidiaries, including through mergers or consolidations, Investments, dispositions and discontinued operations that have been made by the specified Person or any of its Restricted Subsidiaries or any Person or any of its Restricted Subsidiaries acquired by the specified Person or any of its Restricted Subsidiaries, and including all related financing transactions and including increases in ownership of Restricted Subsidiaries, during the four-quarter reference period or subsequent to such reference period and on or prior to the Calculation Date, or that are to be made on the Calculation Date, will be given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(in accordance with Regulation S-X under the Securities Act) as if they had occurred on the first day of the four-quarter reference period;</w:t>
      </w:r>
    </w:p>
    <w:p>
      <w:pPr>
        <w:spacing w:after="0" w:line="126" w:lineRule="exact"/>
        <w:rPr>
          <w:rFonts w:ascii="Times New Roman" w:cs="Times New Roman" w:eastAsia="Times New Roman" w:hAnsi="Times New Roman"/>
          <w:sz w:val="20"/>
          <w:szCs w:val="20"/>
          <w:color w:val="auto"/>
        </w:rPr>
      </w:pPr>
    </w:p>
    <w:p>
      <w:pPr>
        <w:ind w:left="1300" w:right="20" w:firstLine="733"/>
        <w:spacing w:after="0" w:line="310" w:lineRule="auto"/>
        <w:tabs>
          <w:tab w:leader="none" w:pos="2584"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Consolidated EBITDA attributable to discontinued operations, as determined in accordance with GAAP, and operations or businesses (and ownership interests therein) disposed of prior to the Calculation Date, will be excluded;</w:t>
      </w:r>
    </w:p>
    <w:p>
      <w:pPr>
        <w:spacing w:after="0" w:line="70" w:lineRule="exact"/>
        <w:rPr>
          <w:rFonts w:ascii="Times New Roman" w:cs="Times New Roman" w:eastAsia="Times New Roman" w:hAnsi="Times New Roman"/>
          <w:sz w:val="19"/>
          <w:szCs w:val="19"/>
          <w:color w:val="auto"/>
        </w:rPr>
      </w:pPr>
    </w:p>
    <w:p>
      <w:pPr>
        <w:jc w:val="both"/>
        <w:ind w:left="1300" w:right="20" w:firstLine="733"/>
        <w:spacing w:after="0" w:line="268" w:lineRule="auto"/>
        <w:tabs>
          <w:tab w:leader="none" w:pos="258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Fixed Charges attributable to discontinued operations, as determined in accordance with GAAP, and operations or businesses (and ownership interests therein) disposed of prior to the Calculation Date, will be excluded, but only to the extent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bl>
    <w:p>
      <w:pPr>
        <w:sectPr>
          <w:pgSz w:w="11900" w:h="16838" w:orient="portrait"/>
          <w:cols w:equalWidth="0" w:num="1">
            <w:col w:w="11240"/>
          </w:cols>
          <w:pgMar w:left="320" w:top="1440" w:right="339" w:bottom="1440" w:gutter="0" w:footer="0" w:header="0"/>
        </w:sectPr>
      </w:pPr>
    </w:p>
    <w:bookmarkStart w:id="24" w:name="page25"/>
    <w:bookmarkEnd w:id="24"/>
    <w:p>
      <w:pPr>
        <w:spacing w:after="0" w:line="135" w:lineRule="exact"/>
        <w:rPr>
          <w:sz w:val="20"/>
          <w:szCs w:val="20"/>
          <w:color w:val="auto"/>
        </w:rPr>
      </w:pPr>
    </w:p>
    <w:p>
      <w:pPr>
        <w:ind w:left="1220" w:right="20"/>
        <w:spacing w:after="0" w:line="283" w:lineRule="auto"/>
        <w:rPr>
          <w:sz w:val="20"/>
          <w:szCs w:val="20"/>
          <w:color w:val="auto"/>
        </w:rPr>
      </w:pPr>
      <w:r>
        <w:rPr>
          <w:rFonts w:ascii="Times New Roman" w:cs="Times New Roman" w:eastAsia="Times New Roman" w:hAnsi="Times New Roman"/>
          <w:sz w:val="20"/>
          <w:szCs w:val="20"/>
          <w:color w:val="auto"/>
        </w:rPr>
        <w:t>obligations giving rise to such Fixed Charges will not be obligations of the specified Person or any of its Restricted Subsidiaries following the Calculation Date;</w:t>
      </w:r>
    </w:p>
    <w:p>
      <w:pPr>
        <w:spacing w:after="0" w:line="92" w:lineRule="exact"/>
        <w:rPr>
          <w:sz w:val="20"/>
          <w:szCs w:val="20"/>
          <w:color w:val="auto"/>
        </w:rPr>
      </w:pPr>
    </w:p>
    <w:p>
      <w:pPr>
        <w:jc w:val="both"/>
        <w:ind w:left="1220" w:firstLine="733"/>
        <w:spacing w:after="0" w:line="251" w:lineRule="auto"/>
        <w:tabs>
          <w:tab w:leader="none" w:pos="250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Person that is a Restricted Subsidiary on the Calculation Date will be deemed to have been a Restricted Subsidiary at all times during such four-quarter period. If since the beginning of such period any Person that subsequently became a Restricted Subsidiary or was merged with or into the specified Person or any of its Restricted Subsidiaries since the beginning of such period shall have made any acquisitions (including through mergers or consolidations), Investments, dispositions and discontinued operations that would have required adjustment pursuant to this definition, then the Fixed Charge Coverage Ratio shall be calculated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thereto for such period as if such acquisitions (including through mergers or consolidations), Investments, dispositions and discontinued operations had occurred at the beginning of the applicable four quarter period;</w:t>
      </w:r>
    </w:p>
    <w:p>
      <w:pPr>
        <w:spacing w:after="0" w:line="141" w:lineRule="exact"/>
        <w:rPr>
          <w:rFonts w:ascii="Times New Roman" w:cs="Times New Roman" w:eastAsia="Times New Roman" w:hAnsi="Times New Roman"/>
          <w:sz w:val="20"/>
          <w:szCs w:val="20"/>
          <w:color w:val="auto"/>
        </w:rPr>
      </w:pPr>
    </w:p>
    <w:p>
      <w:pPr>
        <w:ind w:left="1220" w:firstLine="733"/>
        <w:spacing w:after="0" w:line="283" w:lineRule="auto"/>
        <w:tabs>
          <w:tab w:leader="none" w:pos="250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that is not a Restricted Subsidiary on the Calculation Date will be deemed not to have been a Restricted Subsidiary at any time during such four-quarter period; and</w:t>
      </w:r>
    </w:p>
    <w:p>
      <w:pPr>
        <w:spacing w:after="0" w:line="92" w:lineRule="exact"/>
        <w:rPr>
          <w:rFonts w:ascii="Times New Roman" w:cs="Times New Roman" w:eastAsia="Times New Roman" w:hAnsi="Times New Roman"/>
          <w:sz w:val="20"/>
          <w:szCs w:val="20"/>
          <w:color w:val="auto"/>
        </w:rPr>
      </w:pPr>
    </w:p>
    <w:p>
      <w:pPr>
        <w:jc w:val="both"/>
        <w:ind w:left="1220" w:firstLine="733"/>
        <w:spacing w:after="0" w:line="250" w:lineRule="auto"/>
        <w:tabs>
          <w:tab w:leader="none" w:pos="250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 For purposes of making the computation referred to above, interest on any Indebtedness to the extent incurred for working capital purposes under a revolving credit facility computed on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shall be computed based upon the average daily balance of such Indebtedness during the applicable period. Interest on Indebtedness that may optionally be determined at an interest rate based upon a factor of a prime or similar rate, a eurocurrency interbank offered rate, or other rate, will be deemed to have been based upon the rate actually chosen, or, if none, then based upon such optional rate chosen as the Company or a Restricted Subsidiary may designate pursuant to the terms and conditions of any such Indebtedness.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Charges</w:t>
      </w:r>
      <w:r>
        <w:rPr>
          <w:rFonts w:ascii="Times New Roman" w:cs="Times New Roman" w:eastAsia="Times New Roman" w:hAnsi="Times New Roman"/>
          <w:sz w:val="20"/>
          <w:szCs w:val="20"/>
          <w:color w:val="auto"/>
        </w:rPr>
        <w:t>” means, with respect to any specified Person for any period, the sum, without duplication, of:</w:t>
      </w:r>
    </w:p>
    <w:p>
      <w:pPr>
        <w:spacing w:after="0" w:line="175" w:lineRule="exact"/>
        <w:rPr>
          <w:sz w:val="20"/>
          <w:szCs w:val="20"/>
          <w:color w:val="auto"/>
        </w:rPr>
      </w:pPr>
    </w:p>
    <w:p>
      <w:pPr>
        <w:jc w:val="both"/>
        <w:ind w:left="1220" w:firstLine="733"/>
        <w:spacing w:after="0" w:line="251" w:lineRule="auto"/>
        <w:tabs>
          <w:tab w:leader="none" w:pos="250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Finance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commissions, discounts, yield and other fees and charges (including any interest expense) related to any Permitted Receivables Financing shall be excluded; </w:t>
      </w:r>
      <w:r>
        <w:rPr>
          <w:rFonts w:ascii="Times New Roman" w:cs="Times New Roman" w:eastAsia="Times New Roman" w:hAnsi="Times New Roman"/>
          <w:sz w:val="20"/>
          <w:szCs w:val="20"/>
          <w:u w:val="single" w:color="auto"/>
          <w:color w:val="auto"/>
        </w:rPr>
        <w:t>plus</w:t>
      </w:r>
    </w:p>
    <w:p>
      <w:pPr>
        <w:spacing w:after="0" w:line="127" w:lineRule="exact"/>
        <w:rPr>
          <w:rFonts w:ascii="Times New Roman" w:cs="Times New Roman" w:eastAsia="Times New Roman" w:hAnsi="Times New Roman"/>
          <w:sz w:val="20"/>
          <w:szCs w:val="20"/>
          <w:color w:val="auto"/>
        </w:rPr>
      </w:pPr>
    </w:p>
    <w:p>
      <w:pPr>
        <w:ind w:left="1220" w:firstLine="733"/>
        <w:spacing w:after="0" w:line="283" w:lineRule="auto"/>
        <w:tabs>
          <w:tab w:leader="none" w:pos="250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consolidated interest expense of such Person and its Restricted Subsidiaries that was capitalized during such period;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bl>
    <w:p>
      <w:pPr>
        <w:sectPr>
          <w:pgSz w:w="11900" w:h="16838" w:orient="portrait"/>
          <w:cols w:equalWidth="0" w:num="1">
            <w:col w:w="11160"/>
          </w:cols>
          <w:pgMar w:left="400" w:top="1440" w:right="339" w:bottom="1440" w:gutter="0" w:footer="0" w:header="0"/>
        </w:sectPr>
      </w:pPr>
    </w:p>
    <w:bookmarkStart w:id="25" w:name="page26"/>
    <w:bookmarkEnd w:id="25"/>
    <w:p>
      <w:pPr>
        <w:spacing w:after="0" w:line="135" w:lineRule="exact"/>
        <w:rPr>
          <w:sz w:val="20"/>
          <w:szCs w:val="20"/>
          <w:color w:val="auto"/>
        </w:rPr>
      </w:pPr>
    </w:p>
    <w:p>
      <w:pPr>
        <w:jc w:val="both"/>
        <w:ind w:left="1300" w:firstLine="733"/>
        <w:spacing w:after="0" w:line="261" w:lineRule="auto"/>
        <w:tabs>
          <w:tab w:leader="none" w:pos="258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interest on Indebtedness of another Person that is guaranteed by such Person or one of its Restricted Subsidiaries or secured by a Lien on assets of such Person or one of its Restricted Subsidiaries, whether or not such Guarantee or Lien is called upon; </w:t>
      </w:r>
      <w:r>
        <w:rPr>
          <w:rFonts w:ascii="Times New Roman" w:cs="Times New Roman" w:eastAsia="Times New Roman" w:hAnsi="Times New Roman"/>
          <w:sz w:val="20"/>
          <w:szCs w:val="20"/>
          <w:u w:val="single" w:color="auto"/>
          <w:color w:val="auto"/>
        </w:rPr>
        <w:t>plus</w:t>
      </w:r>
    </w:p>
    <w:p>
      <w:pPr>
        <w:spacing w:after="0" w:line="127" w:lineRule="exact"/>
        <w:rPr>
          <w:rFonts w:ascii="Times New Roman" w:cs="Times New Roman" w:eastAsia="Times New Roman" w:hAnsi="Times New Roman"/>
          <w:sz w:val="20"/>
          <w:szCs w:val="20"/>
          <w:color w:val="auto"/>
        </w:rPr>
      </w:pPr>
    </w:p>
    <w:p>
      <w:pPr>
        <w:jc w:val="both"/>
        <w:ind w:left="1300" w:firstLine="733"/>
        <w:spacing w:after="0" w:line="253" w:lineRule="auto"/>
        <w:tabs>
          <w:tab w:leader="none" w:pos="258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of (a) all dividends (excluding items eliminated in consolidation), whether paid or accrued and whether or not in cash, on any series of preferred stock of such Person or any of its Restricted Subsidiaries, other than dividends on Equity Interests payable solely in Equity Interests of the Company (other than Disqualified Stock) or to the Company or a Restricted Subsidiary thereof, times (b) a fraction, the numerator of which is one and the denominator of which is one minus the then current combined federal, state and local statutory tax rate of such Person, expressed as a decimal,</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in each case, determined on a consolidated basis in accordance with GAAP; and in each case, excluding (i) the amortization or write-off of debt issuance costs and deferred financing fees, commissions, fees and expenses and (ii) any expensing of loan commitment and other financing fees.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Restricted Subsidiary that is not a Domestic Subsidiary.</w:t>
      </w:r>
    </w:p>
    <w:p>
      <w:pPr>
        <w:spacing w:after="0" w:line="17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 Holding Company</w:t>
      </w:r>
      <w:r>
        <w:rPr>
          <w:rFonts w:ascii="Times New Roman" w:cs="Times New Roman" w:eastAsia="Times New Roman" w:hAnsi="Times New Roman"/>
          <w:sz w:val="20"/>
          <w:szCs w:val="20"/>
          <w:color w:val="auto"/>
        </w:rPr>
        <w:t>” means any Subsidiary substantially all of whose assets (whether held directly or indirectly) consist of Equity Interests and/or Indebtedness of one or more Foreign Subsidiaries (or Subsidiaries thereof) and other assets (including cash and Cash Equivalents) incidental thereto.</w:t>
      </w:r>
    </w:p>
    <w:p>
      <w:pPr>
        <w:spacing w:after="0" w:line="1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Note Legend</w:t>
      </w:r>
      <w:r>
        <w:rPr>
          <w:rFonts w:ascii="Times New Roman" w:cs="Times New Roman" w:eastAsia="Times New Roman" w:hAnsi="Times New Roman"/>
          <w:sz w:val="20"/>
          <w:szCs w:val="20"/>
          <w:color w:val="auto"/>
        </w:rPr>
        <w:t xml:space="preserve">” means the legend set forth in </w:t>
      </w:r>
      <w:r>
        <w:rPr>
          <w:rFonts w:ascii="Times New Roman" w:cs="Times New Roman" w:eastAsia="Times New Roman" w:hAnsi="Times New Roman"/>
          <w:sz w:val="20"/>
          <w:szCs w:val="20"/>
          <w:u w:val="single" w:color="auto"/>
          <w:color w:val="auto"/>
        </w:rPr>
        <w:t>Section 2.06(g)(2)</w:t>
      </w:r>
      <w:r>
        <w:rPr>
          <w:rFonts w:ascii="Times New Roman" w:cs="Times New Roman" w:eastAsia="Times New Roman" w:hAnsi="Times New Roman"/>
          <w:sz w:val="20"/>
          <w:szCs w:val="20"/>
          <w:color w:val="auto"/>
        </w:rPr>
        <w:t xml:space="preserve"> hereof, which is required to be placed on all Global Notes issued under this Indenture.</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Notes</w:t>
      </w:r>
      <w:r>
        <w:rPr>
          <w:rFonts w:ascii="Times New Roman" w:cs="Times New Roman" w:eastAsia="Times New Roman" w:hAnsi="Times New Roman"/>
          <w:sz w:val="20"/>
          <w:szCs w:val="20"/>
          <w:color w:val="auto"/>
        </w:rPr>
        <w:t xml:space="preserve">” means, individually and collectively, each of the Restricted Global Notes and the Unrestricted Global Notes deposited with or on behalf of and registered in the name of the Depositary or its nominee,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and that bears the Global Note Legend and that has the “Schedule of Exchanges of Interests in the Global Note” attached thereto, issued in accordance with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2.06(b)(3)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2.06(b)(4)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2.06(d)(1)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2.06(d)(2)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2.06(d)(3)</w:t>
      </w:r>
      <w:r>
        <w:rPr>
          <w:rFonts w:ascii="Times New Roman" w:cs="Times New Roman" w:eastAsia="Times New Roman" w:hAnsi="Times New Roman"/>
          <w:sz w:val="20"/>
          <w:szCs w:val="20"/>
          <w:color w:val="auto"/>
        </w:rPr>
        <w:t xml:space="preserve"> hereof.</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 Security</w:t>
      </w:r>
      <w:r>
        <w:rPr>
          <w:rFonts w:ascii="Times New Roman" w:cs="Times New Roman" w:eastAsia="Times New Roman" w:hAnsi="Times New Roman"/>
          <w:sz w:val="20"/>
          <w:szCs w:val="20"/>
          <w:color w:val="auto"/>
        </w:rPr>
        <w:t>” means:</w:t>
      </w:r>
    </w:p>
    <w:p>
      <w:pPr>
        <w:spacing w:after="0" w:line="175" w:lineRule="exact"/>
        <w:rPr>
          <w:sz w:val="20"/>
          <w:szCs w:val="20"/>
          <w:color w:val="auto"/>
        </w:rPr>
      </w:pPr>
    </w:p>
    <w:p>
      <w:pPr>
        <w:jc w:val="both"/>
        <w:ind w:left="1300" w:firstLine="733"/>
        <w:spacing w:after="0" w:line="253" w:lineRule="auto"/>
        <w:tabs>
          <w:tab w:leader="none" w:pos="25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security which is a direct obligation of the United States of America the payment of which the full faith and credit of the United States of America is pledged or an obligation of a Person controlled or supervised by and acting as an agency or instrumentality of the United States of America the payment of which is unconditionally Guaranteed as a full faith and credit obligation of the United States of America, which, in either case, is not callable or redeemable at the option of the issuer thereof; and</w:t>
      </w:r>
    </w:p>
    <w:p>
      <w:pPr>
        <w:spacing w:after="0" w:line="137" w:lineRule="exact"/>
        <w:rPr>
          <w:rFonts w:ascii="Times New Roman" w:cs="Times New Roman" w:eastAsia="Times New Roman" w:hAnsi="Times New Roman"/>
          <w:sz w:val="20"/>
          <w:szCs w:val="20"/>
          <w:color w:val="auto"/>
        </w:rPr>
      </w:pPr>
    </w:p>
    <w:p>
      <w:pPr>
        <w:jc w:val="both"/>
        <w:ind w:left="1300" w:firstLine="733"/>
        <w:spacing w:after="0" w:line="261" w:lineRule="auto"/>
        <w:tabs>
          <w:tab w:leader="none" w:pos="25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depository receipt issued by a bank (as defined in the Securities Act) as custodian with respect to any Government Security and held by such bank for the account of the holder of such depository receipt, or with respect to any specific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bl>
    <w:p>
      <w:pPr>
        <w:sectPr>
          <w:pgSz w:w="11900" w:h="16838" w:orient="portrait"/>
          <w:cols w:equalWidth="0" w:num="1">
            <w:col w:w="11240"/>
          </w:cols>
          <w:pgMar w:left="320" w:top="1440" w:right="339" w:bottom="1440" w:gutter="0" w:footer="0" w:header="0"/>
        </w:sectPr>
      </w:pPr>
    </w:p>
    <w:bookmarkStart w:id="26" w:name="page27"/>
    <w:bookmarkEnd w:id="26"/>
    <w:p>
      <w:pPr>
        <w:spacing w:after="0" w:line="13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20"/>
          <w:szCs w:val="20"/>
          <w:color w:val="auto"/>
        </w:rPr>
        <w:t>of principal of or interest on any Government Security which is so specified and held, provided that (except as required by law) such custodian is not authorized to make any deduction from the amount payable to the holder of such depository receipt from any amount received by the custodian in respect of the Government Security or the specific payment of principal or interest evidenced by such depository receipt.</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means a guarantee other than by endorsement of negotiable instruments for collection in the ordinary course of business or indemnities, product warranties or similar obligations incurred in the ordinary course of business, direct or indirect, in any manner including, without limitation, by way of a pledge of assets or through letters of credit (other than letters of credit issued in connection with CSO Obligations)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each Subsidiary of the Company that executes a Note Guarantee in accordance with the provisions of this Indenture, and their respective successors and assigns, in each case, until the Note Guarantee of such Person has been released in accordance with the provisions of this Indenture.</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Obligations</w:t>
      </w:r>
      <w:r>
        <w:rPr>
          <w:rFonts w:ascii="Times New Roman" w:cs="Times New Roman" w:eastAsia="Times New Roman" w:hAnsi="Times New Roman"/>
          <w:sz w:val="20"/>
          <w:szCs w:val="20"/>
          <w:color w:val="auto"/>
        </w:rPr>
        <w:t>” means, with respect to any specified Person, the obligations of such Person under:</w:t>
      </w:r>
    </w:p>
    <w:p>
      <w:pPr>
        <w:spacing w:after="0" w:line="162" w:lineRule="exact"/>
        <w:rPr>
          <w:sz w:val="20"/>
          <w:szCs w:val="20"/>
          <w:color w:val="auto"/>
        </w:rPr>
      </w:pPr>
    </w:p>
    <w:p>
      <w:pPr>
        <w:ind w:left="1300" w:right="20" w:firstLine="733"/>
        <w:spacing w:after="0" w:line="283" w:lineRule="auto"/>
        <w:tabs>
          <w:tab w:leader="none" w:pos="25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rate swap agreements (whether from fixed to floating or from floating to fixed), interest rate cap agreements and interest rate collar agreements;</w:t>
      </w:r>
    </w:p>
    <w:p>
      <w:pPr>
        <w:spacing w:after="0" w:line="105" w:lineRule="exact"/>
        <w:rPr>
          <w:rFonts w:ascii="Times New Roman" w:cs="Times New Roman" w:eastAsia="Times New Roman" w:hAnsi="Times New Roman"/>
          <w:sz w:val="20"/>
          <w:szCs w:val="20"/>
          <w:color w:val="auto"/>
        </w:rPr>
      </w:pPr>
    </w:p>
    <w:p>
      <w:pPr>
        <w:ind w:left="2580" w:hanging="547"/>
        <w:spacing w:after="0"/>
        <w:tabs>
          <w:tab w:leader="none" w:pos="25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agreements or arrangements designed to manage interest rates or interest rate risk; and</w:t>
      </w:r>
    </w:p>
    <w:p>
      <w:pPr>
        <w:spacing w:after="0" w:line="161" w:lineRule="exact"/>
        <w:rPr>
          <w:rFonts w:ascii="Times New Roman" w:cs="Times New Roman" w:eastAsia="Times New Roman" w:hAnsi="Times New Roman"/>
          <w:sz w:val="20"/>
          <w:szCs w:val="20"/>
          <w:color w:val="auto"/>
        </w:rPr>
      </w:pPr>
    </w:p>
    <w:p>
      <w:pPr>
        <w:ind w:left="1300" w:firstLine="733"/>
        <w:spacing w:after="0" w:line="283" w:lineRule="auto"/>
        <w:tabs>
          <w:tab w:leader="none" w:pos="25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agreements or arrangements designed to protect such Person against fluctuations in currency exchange rates or commodity prices.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avoidance of doubt, any Permitted Convertible Indebtedness Call Transaction will not constitute Hedging Obligations.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means a Person in whose name a Note is registered.</w:t>
      </w:r>
    </w:p>
    <w:p>
      <w:pPr>
        <w:spacing w:after="0" w:line="16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IAI Global Note</w:t>
      </w:r>
      <w:r>
        <w:rPr>
          <w:rFonts w:ascii="Times New Roman" w:cs="Times New Roman" w:eastAsia="Times New Roman" w:hAnsi="Times New Roman"/>
          <w:sz w:val="20"/>
          <w:szCs w:val="20"/>
          <w:color w:val="auto"/>
        </w:rPr>
        <w:t xml:space="preserve">” means a Global Note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Notes sold to Institutional Accredited Investors.</w:t>
      </w:r>
    </w:p>
    <w:p>
      <w:pPr>
        <w:spacing w:after="0" w:line="1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means any Restricted Subsidiary of the Company that (i) has total assets together with all other Immaterial Subsidiaries (as determined in accordance with GAAP) of less than 5.0% of the Company’s Consolidated Total Assets measured at the end of the most recent fiscal period for which internal financial statements are available and on a pro forma basis giving effect to any acquisitions or dispositions of companies, division or lines of business since such balance sheet date and on or prior to the date of acquisition of such Subsidiary and (ii) has gross revenue together with all other Immaterial Subsidiaries (as determined in accordance with GAAP) for the period of four consecutive fiscal quarters ending on such date of less than 5.0% of the consolidated revenue of the Company and its Restricted Subsidiaries for such period (measured for the four quarters ended most recently for which internal financial statements are available and on a pro forma basis giving effect to any acquisitions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bl>
    <w:p>
      <w:pPr>
        <w:sectPr>
          <w:pgSz w:w="11900" w:h="16838" w:orient="portrait"/>
          <w:cols w:equalWidth="0" w:num="1">
            <w:col w:w="11240"/>
          </w:cols>
          <w:pgMar w:left="320" w:top="1440" w:right="339" w:bottom="1440" w:gutter="0" w:footer="0" w:header="0"/>
        </w:sectPr>
      </w:pPr>
    </w:p>
    <w:bookmarkStart w:id="27" w:name="page28"/>
    <w:bookmarkEnd w:id="27"/>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dispositions of companies, division or lines of business since the start of such four quarter reference period); provided that a Restricted Subsidiary of the Company that no longer meets the foregoing requirements of this definition shall no longer constitute an Immaterial Subsidiary.</w:t>
      </w:r>
    </w:p>
    <w:p>
      <w:pPr>
        <w:spacing w:after="0" w:line="12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with respect to any specified Person, any indebtedness of such Person (excluding accrued expenses and trade payables), whether or not contingent:</w:t>
      </w:r>
    </w:p>
    <w:p>
      <w:pPr>
        <w:spacing w:after="0" w:line="119" w:lineRule="exact"/>
        <w:rPr>
          <w:sz w:val="20"/>
          <w:szCs w:val="20"/>
          <w:color w:val="auto"/>
        </w:rPr>
      </w:pPr>
    </w:p>
    <w:p>
      <w:pPr>
        <w:ind w:left="2580" w:hanging="547"/>
        <w:spacing w:after="0"/>
        <w:tabs>
          <w:tab w:leader="none" w:pos="25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borrowed money;</w:t>
      </w:r>
    </w:p>
    <w:p>
      <w:pPr>
        <w:spacing w:after="0" w:line="175" w:lineRule="exact"/>
        <w:rPr>
          <w:rFonts w:ascii="Times New Roman" w:cs="Times New Roman" w:eastAsia="Times New Roman" w:hAnsi="Times New Roman"/>
          <w:sz w:val="20"/>
          <w:szCs w:val="20"/>
          <w:color w:val="auto"/>
        </w:rPr>
      </w:pPr>
    </w:p>
    <w:p>
      <w:pPr>
        <w:ind w:left="1300" w:firstLine="733"/>
        <w:spacing w:after="0" w:line="269" w:lineRule="auto"/>
        <w:tabs>
          <w:tab w:leader="none" w:pos="258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evidenced by or issued in exchange for bonds, notes, debentures or similar instruments or letters of credit (or reimbursement agreements in respect thereof), other than letters of credit issued in connection with CSO Obligations;</w:t>
      </w:r>
    </w:p>
    <w:p>
      <w:pPr>
        <w:spacing w:after="0" w:line="118" w:lineRule="exact"/>
        <w:rPr>
          <w:rFonts w:ascii="Times New Roman" w:cs="Times New Roman" w:eastAsia="Times New Roman" w:hAnsi="Times New Roman"/>
          <w:sz w:val="20"/>
          <w:szCs w:val="20"/>
          <w:color w:val="auto"/>
        </w:rPr>
      </w:pPr>
    </w:p>
    <w:p>
      <w:pPr>
        <w:ind w:left="2580" w:hanging="547"/>
        <w:spacing w:after="0"/>
        <w:tabs>
          <w:tab w:leader="none" w:pos="25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banker’s acceptances;</w:t>
      </w:r>
    </w:p>
    <w:p>
      <w:pPr>
        <w:spacing w:after="0" w:line="161" w:lineRule="exact"/>
        <w:rPr>
          <w:rFonts w:ascii="Times New Roman" w:cs="Times New Roman" w:eastAsia="Times New Roman" w:hAnsi="Times New Roman"/>
          <w:sz w:val="20"/>
          <w:szCs w:val="20"/>
          <w:color w:val="auto"/>
        </w:rPr>
      </w:pPr>
    </w:p>
    <w:p>
      <w:pPr>
        <w:ind w:left="2580" w:hanging="547"/>
        <w:spacing w:after="0"/>
        <w:tabs>
          <w:tab w:leader="none" w:pos="25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representing Finance Lease Obligations or Attributable Debt in respect of sale and leaseback transactions;</w:t>
      </w:r>
    </w:p>
    <w:p>
      <w:pPr>
        <w:spacing w:after="0" w:line="175" w:lineRule="exact"/>
        <w:rPr>
          <w:rFonts w:ascii="Times New Roman" w:cs="Times New Roman" w:eastAsia="Times New Roman" w:hAnsi="Times New Roman"/>
          <w:sz w:val="20"/>
          <w:szCs w:val="20"/>
          <w:color w:val="auto"/>
        </w:rPr>
      </w:pPr>
    </w:p>
    <w:p>
      <w:pPr>
        <w:ind w:left="1300" w:firstLine="733"/>
        <w:spacing w:after="0" w:line="283" w:lineRule="auto"/>
        <w:tabs>
          <w:tab w:leader="none" w:pos="258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representing the balance deferred and unpaid of the purchase price of any property or services due more than one year after such property is acquired or such services are completed; or</w:t>
      </w:r>
    </w:p>
    <w:p>
      <w:pPr>
        <w:spacing w:after="0" w:line="92" w:lineRule="exact"/>
        <w:rPr>
          <w:rFonts w:ascii="Times New Roman" w:cs="Times New Roman" w:eastAsia="Times New Roman" w:hAnsi="Times New Roman"/>
          <w:sz w:val="20"/>
          <w:szCs w:val="20"/>
          <w:color w:val="auto"/>
        </w:rPr>
      </w:pPr>
    </w:p>
    <w:p>
      <w:pPr>
        <w:ind w:left="2580" w:hanging="547"/>
        <w:spacing w:after="0"/>
        <w:tabs>
          <w:tab w:leader="none" w:pos="25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representing any Hedging Obligations,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The amount of Indebtedness of any Person under the immediately preceding sentence shall (unless such Indebtedness has been assumed by such Person) be deemed to be equal to the lesser of (A) the aggregate unpaid amount of such Indebtedness and (B) the Fair Market Value of the property encumbered thereby. Indebtedness shall be calculated without giving effect to the effects of ASC Topic 815 and related interpretations to the extent such effects would otherwise increase or decrease an amount of Indebtedness for any purpose under this Indenture as a result of accounting for any embedded derivatives created by the terms of such Indebtedness.</w:t>
      </w:r>
    </w:p>
    <w:p>
      <w:pPr>
        <w:spacing w:after="0" w:line="1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the foregoing, “Indebtedness” shall not include (x) CSO Obligations, (y) obligations under or in respect of any Permitted Receivables Financing or (z) any indebtedness that has been defeased in accordance with GAAP or defeased pursuant to the deposit of cash or Cash Equivalents (in an amount sufficient to satisfy all such indebtedness obligations at maturity or redemption, as applicable, and all payments of interest and premium, if any) in a trust or account created or pledged for the benefit of the holders of such indebtedness.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Independent Assets or Operations</w:t>
      </w:r>
      <w:r>
        <w:rPr>
          <w:rFonts w:ascii="Times New Roman" w:cs="Times New Roman" w:eastAsia="Times New Roman" w:hAnsi="Times New Roman"/>
          <w:sz w:val="20"/>
          <w:szCs w:val="20"/>
          <w:color w:val="auto"/>
        </w:rPr>
        <w:t>” means, with respect to any Parent Company, that Parent Company’s total assets, revenues, income from continuing operations before income taxes and cash flows from operating activities (excluding in each case amounts related to its investment in the Company and the Restricted Subsidiaries), determined in accordance with GAAP and as shown on the most recent balance sheet of such Parent Company, is, in each case, more than 3.00% of such Parent Company’s corresponding consolidated amount.</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means this Indenture, as amended, modified or supplemented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bl>
    <w:p>
      <w:pPr>
        <w:sectPr>
          <w:pgSz w:w="11900" w:h="16838" w:orient="portrait"/>
          <w:cols w:equalWidth="0" w:num="1">
            <w:col w:w="11240"/>
          </w:cols>
          <w:pgMar w:left="320" w:top="1440" w:right="339" w:bottom="1440" w:gutter="0" w:footer="0" w:header="0"/>
        </w:sectPr>
      </w:pPr>
    </w:p>
    <w:bookmarkStart w:id="28" w:name="page29"/>
    <w:bookmarkEnd w:id="28"/>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Indirect Participant</w:t>
      </w:r>
      <w:r>
        <w:rPr>
          <w:rFonts w:ascii="Times New Roman" w:cs="Times New Roman" w:eastAsia="Times New Roman" w:hAnsi="Times New Roman"/>
          <w:sz w:val="20"/>
          <w:szCs w:val="20"/>
          <w:color w:val="auto"/>
        </w:rPr>
        <w:t>” means a Person who holds a beneficial interest in a Global Note through a Participant.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Notes</w:t>
      </w:r>
      <w:r>
        <w:rPr>
          <w:rFonts w:ascii="Times New Roman" w:cs="Times New Roman" w:eastAsia="Times New Roman" w:hAnsi="Times New Roman"/>
          <w:sz w:val="20"/>
          <w:szCs w:val="20"/>
          <w:color w:val="auto"/>
        </w:rPr>
        <w:t>” means the first $300.0 million aggregate principal amount of Notes issued under this Indenture on the date hereof.</w:t>
      </w:r>
    </w:p>
    <w:p>
      <w:pPr>
        <w:spacing w:after="0" w:line="16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Purchaser</w:t>
      </w:r>
      <w:r>
        <w:rPr>
          <w:rFonts w:ascii="Times New Roman" w:cs="Times New Roman" w:eastAsia="Times New Roman" w:hAnsi="Times New Roman"/>
          <w:sz w:val="20"/>
          <w:szCs w:val="20"/>
          <w:color w:val="auto"/>
        </w:rPr>
        <w:t>” means any of Jefferies LLC, Canaccord Genuity LLC, BTIG, LLC, TCBI Securities, Inc., doing business as Texas Capital Securities, Citizens JMP Securities, LLC, Roth Capital Partners, LLC and Stephens Inc.</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Institutional Accredited Investor</w:t>
      </w:r>
      <w:r>
        <w:rPr>
          <w:rFonts w:ascii="Times New Roman" w:cs="Times New Roman" w:eastAsia="Times New Roman" w:hAnsi="Times New Roman"/>
          <w:sz w:val="20"/>
          <w:szCs w:val="20"/>
          <w:color w:val="auto"/>
        </w:rPr>
        <w:t>” means an institution that is an “accredited investor” as defined in Rule 501(a)(1), (2), (3) or (7) under the Securities Act, who are not also QIBs.</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Grade Rating</w:t>
      </w:r>
      <w:r>
        <w:rPr>
          <w:rFonts w:ascii="Times New Roman" w:cs="Times New Roman" w:eastAsia="Times New Roman" w:hAnsi="Times New Roman"/>
          <w:sz w:val="20"/>
          <w:szCs w:val="20"/>
          <w:color w:val="auto"/>
        </w:rPr>
        <w:t>” means a rating equal to or higher than Baa3 (or the equivalent) by Moody’s, BBB- (or the equivalent) by S&amp;P and BBB- (or the equivalent) by Fitch, or if any (or all) of Moody’s, S&amp;P and Fitch have been substituted in accordance with the definition of “Rating Agencies,” by each of the then applicable Rating Agencies.</w:t>
      </w:r>
    </w:p>
    <w:p>
      <w:pPr>
        <w:spacing w:after="0" w:line="11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xml:space="preserve">” means, with respect to any Person, all direct or indirect investments by such Person in other Persons (including Affiliates) in the forms of loans (including Guarantees or other obligations), advances or capital contributions (excluding accounts receivable arising in the ordinary course of business on terms customary in the trade, commission, travel, entertainment, relocation and similar advances to directors,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Restricted Subsidiary thereof sells or otherwise disposes of any Equity Interests of any direct or indirect Restricted Subsidiary of the Company such that, after giving effect to any such sale or disposition, such Person is no longer a Restricted Subsidiary of the Company, the Company will be deemed to have made an Investment on the date of any such sale or disposition equal to the Fair Market Value of the Company’s Investments in such Subsidiary that were not sold or disposed of in an amount determined pursuant to </w:t>
      </w:r>
      <w:r>
        <w:rPr>
          <w:rFonts w:ascii="Times New Roman" w:cs="Times New Roman" w:eastAsia="Times New Roman" w:hAnsi="Times New Roman"/>
          <w:sz w:val="20"/>
          <w:szCs w:val="20"/>
          <w:u w:val="single" w:color="auto"/>
          <w:color w:val="auto"/>
        </w:rPr>
        <w:t>Section 4.07(c)</w:t>
      </w:r>
      <w:r>
        <w:rPr>
          <w:rFonts w:ascii="Times New Roman" w:cs="Times New Roman" w:eastAsia="Times New Roman" w:hAnsi="Times New Roman"/>
          <w:sz w:val="20"/>
          <w:szCs w:val="20"/>
          <w:color w:val="auto"/>
        </w:rPr>
        <w:t xml:space="preserve"> hereof. The acquisition by the Company or any Restricted Subsidiary thereof of a Person that holds an Investment in a third Person will be deemed to be an Investment by the Company or such Restricted Subsidiary in such third Person in an amount equal to the Fair Market Value of the Investments held by the acquired Person in such third Person in an amount determined pursuant to </w:t>
      </w:r>
      <w:r>
        <w:rPr>
          <w:rFonts w:ascii="Times New Roman" w:cs="Times New Roman" w:eastAsia="Times New Roman" w:hAnsi="Times New Roman"/>
          <w:sz w:val="20"/>
          <w:szCs w:val="20"/>
          <w:u w:val="single" w:color="auto"/>
          <w:color w:val="auto"/>
        </w:rPr>
        <w:t>Section 4.07(c)</w:t>
      </w:r>
      <w:r>
        <w:rPr>
          <w:rFonts w:ascii="Times New Roman" w:cs="Times New Roman" w:eastAsia="Times New Roman" w:hAnsi="Times New Roman"/>
          <w:sz w:val="20"/>
          <w:szCs w:val="20"/>
          <w:color w:val="auto"/>
        </w:rPr>
        <w:t xml:space="preserve"> hereof. Except as otherwise provided in this Indenture and subject to </w:t>
      </w:r>
      <w:r>
        <w:rPr>
          <w:rFonts w:ascii="Times New Roman" w:cs="Times New Roman" w:eastAsia="Times New Roman" w:hAnsi="Times New Roman"/>
          <w:sz w:val="20"/>
          <w:szCs w:val="20"/>
          <w:u w:val="single" w:color="auto"/>
          <w:color w:val="auto"/>
        </w:rPr>
        <w:t>Section 4.07(a)(iii)(C)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4.07(a)(iii)(D)</w:t>
      </w:r>
      <w:r>
        <w:rPr>
          <w:rFonts w:ascii="Times New Roman" w:cs="Times New Roman" w:eastAsia="Times New Roman" w:hAnsi="Times New Roman"/>
          <w:sz w:val="20"/>
          <w:szCs w:val="20"/>
          <w:color w:val="auto"/>
        </w:rPr>
        <w:t xml:space="preserve"> hereof, the amount of an Investment will be determined at the time the Investment is made and without giving effect to subsequent changes in value, but giving effect (without duplication) to all subsequent reductions in the amount of such Investment as a result of (x) any dividend, distribution, interest payment, return of capital, repayment or other payment or disposition thereof (determined at the time of such sale) or (y) any cancellation of any Investment in the form of a Guarantee without payment therefor by such guarantor, in each case, not to exceed the original amount of such Investment.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by the Company.</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 Date</w:t>
      </w:r>
      <w:r>
        <w:rPr>
          <w:rFonts w:ascii="Times New Roman" w:cs="Times New Roman" w:eastAsia="Times New Roman" w:hAnsi="Times New Roman"/>
          <w:sz w:val="20"/>
          <w:szCs w:val="20"/>
          <w:color w:val="auto"/>
        </w:rPr>
        <w:t>” means March 28, 2025.</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Legal Holiday</w:t>
      </w:r>
      <w:r>
        <w:rPr>
          <w:rFonts w:ascii="Times New Roman" w:cs="Times New Roman" w:eastAsia="Times New Roman" w:hAnsi="Times New Roman"/>
          <w:sz w:val="20"/>
          <w:szCs w:val="20"/>
          <w:color w:val="auto"/>
        </w:rPr>
        <w:t>”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bl>
    <w:p>
      <w:pPr>
        <w:sectPr>
          <w:pgSz w:w="11900" w:h="16838" w:orient="portrait"/>
          <w:cols w:equalWidth="0" w:num="1">
            <w:col w:w="11240"/>
          </w:cols>
          <w:pgMar w:left="320" w:top="1440" w:right="339" w:bottom="1440" w:gutter="0" w:footer="0" w:header="0"/>
        </w:sectPr>
      </w:pPr>
    </w:p>
    <w:bookmarkStart w:id="29" w:name="page30"/>
    <w:bookmarkEnd w:id="29"/>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next succeeding day that is not a Legal Holiday, and no interest shall accrue on such payment for the intervening period.</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 Derivative Instrument</w:t>
      </w:r>
      <w:r>
        <w:rPr>
          <w:rFonts w:ascii="Times New Roman" w:cs="Times New Roman" w:eastAsia="Times New Roman" w:hAnsi="Times New Roman"/>
          <w:sz w:val="20"/>
          <w:szCs w:val="20"/>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to the ratings business thereof.</w:t>
      </w:r>
    </w:p>
    <w:p>
      <w:pPr>
        <w:spacing w:after="0" w:line="17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Proceeds</w:t>
      </w:r>
      <w:r>
        <w:rPr>
          <w:rFonts w:ascii="Times New Roman" w:cs="Times New Roman" w:eastAsia="Times New Roman" w:hAnsi="Times New Roman"/>
          <w:sz w:val="19"/>
          <w:szCs w:val="19"/>
          <w:color w:val="auto"/>
        </w:rPr>
        <w:t>” means the aggregate amount of cash proceeds and Cash Equivalents received by the Company or any of its Restricted Subsidiaries in respect of any Asset Sale (including, without limitation, any cash or Cash Equivalents received upon the sale or other disposition of any non-cash consideration received in any Asset Sale), net of the direct costs relating to such Asset Sale, including, without limitation, legal, accounting and investment banking fees, brokerage and sales commissions, appropriate amounts to be provided by the Company or a Restricted Subsidiary as a reserve required in accordance with GAAP against any adjustment in the sale price of such asset or assets or liabilities associated with such Asset Sale and retained by the Company or any Restricted Subsidiary, as the case may be, after such Asset Sale, payments required to be made to any Person (other than to the Company or its Restricted Subsidiaries) owning a beneficial interest in the assets subject to such Asset Sale, payments of unassumed liabilities (not constituting Indebtedness and not owed to the Company or any Subsidiary) relating to the assets sold at the time of, or within 30 days after the date of, such Asset Sale and any relocation expenses incurred as a result of the Asset Sale, taxes paid or payable as a result of the Asset Sale, in each case, after taking into account any available tax credits or deductions and any tax sharing arrangements, and amounts required to be applied to the repayment of Indebtedness, other than Indebtedness under a Credit Facility, secured by a Lien on the asset or assets that were the subject of such Asset Sale and any reserve for adjustment or indemnification obligations in respect of the sale price of such asset or assets established in accordance with GAAP.</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the foregoing or anything to the contrary in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to the extent that the Company has determined in good faith that repatriation of any or all of the Net Proceeds of any Asset Sales by a Foreign Subsidiary (i) is prohibited, restricted or delayed by applicable local law or (ii) could result in an adverse tax consequence (that is not de minimis) to the Company or its Subsidiaries, an amount equal to the portion of such Net Proceeds so affected will not constitute Net Proceeds or be required to be applied in compliance with the covenant described under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any event, the Company shall use its commercially reasonable efforts to take actions within its reasonable control that are reasonably required to eliminate such tax effects.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Short</w:t>
      </w:r>
      <w:r>
        <w:rPr>
          <w:rFonts w:ascii="Times New Roman" w:cs="Times New Roman" w:eastAsia="Times New Roman" w:hAnsi="Times New Roman"/>
          <w:sz w:val="20"/>
          <w:szCs w:val="20"/>
          <w:color w:val="auto"/>
        </w:rPr>
        <w:t>” means, with respect to a Holder or beneficial owner, as of a date of determination, either (i) the value of its Short Derivative Instruments exceeds the sum of (x) the value of its Notes plus (y) the value of its Long Derivative Instruments as of such date of determination or (ii) it is reasonably expected that such would have been the case were a Failure to Pay or Bankruptcy Credit Event (each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bl>
    <w:p>
      <w:pPr>
        <w:sectPr>
          <w:pgSz w:w="11900" w:h="16838" w:orient="portrait"/>
          <w:cols w:equalWidth="0" w:num="1">
            <w:col w:w="11240"/>
          </w:cols>
          <w:pgMar w:left="320" w:top="1440" w:right="339" w:bottom="1440" w:gutter="0" w:footer="0" w:header="0"/>
        </w:sectPr>
      </w:pPr>
    </w:p>
    <w:bookmarkStart w:id="30" w:name="page31"/>
    <w:bookmarkEnd w:id="30"/>
    <w:p>
      <w:pPr>
        <w:spacing w:after="0" w:line="13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defined in the 2014 International Swaps and Derivatives Association, Inc. Credit Derivatives Definitions) to have occurred with respect to the Company or any Note Guarantor immediately prior to such date of determination.</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Non-Recourse Debt</w:t>
      </w:r>
      <w:r>
        <w:rPr>
          <w:rFonts w:ascii="Times New Roman" w:cs="Times New Roman" w:eastAsia="Times New Roman" w:hAnsi="Times New Roman"/>
          <w:sz w:val="20"/>
          <w:szCs w:val="20"/>
          <w:color w:val="auto"/>
        </w:rPr>
        <w:t>” means Indebtedness:</w:t>
      </w:r>
    </w:p>
    <w:p>
      <w:pPr>
        <w:spacing w:after="0" w:line="175" w:lineRule="exact"/>
        <w:rPr>
          <w:sz w:val="20"/>
          <w:szCs w:val="20"/>
          <w:color w:val="auto"/>
        </w:rPr>
      </w:pPr>
    </w:p>
    <w:p>
      <w:pPr>
        <w:jc w:val="both"/>
        <w:ind w:left="1300" w:firstLine="733"/>
        <w:spacing w:after="0" w:line="261" w:lineRule="auto"/>
        <w:tabs>
          <w:tab w:leader="none" w:pos="258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which neither the Company nor any of its Restricted Subsidiaries (a) provides credit support of any kind (including any undertaking, agreement or instrument that would constitute Indebtedness) or (b) is directly or indirectly liable as a guarantor or otherwise, except for Customary Recourse Exceptions; and</w:t>
      </w:r>
    </w:p>
    <w:p>
      <w:pPr>
        <w:spacing w:after="0" w:line="127" w:lineRule="exact"/>
        <w:rPr>
          <w:rFonts w:ascii="Times New Roman" w:cs="Times New Roman" w:eastAsia="Times New Roman" w:hAnsi="Times New Roman"/>
          <w:sz w:val="20"/>
          <w:szCs w:val="20"/>
          <w:color w:val="auto"/>
        </w:rPr>
      </w:pPr>
    </w:p>
    <w:p>
      <w:pPr>
        <w:jc w:val="both"/>
        <w:ind w:left="1300" w:firstLine="733"/>
        <w:spacing w:after="0" w:line="261" w:lineRule="auto"/>
        <w:tabs>
          <w:tab w:leader="none" w:pos="258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which the lenders have been notified in writing that they will not have any recourse to the stock or assets of the Company or any of its Restricted Subsidiaries (other than the Equity Interests of an Unrestricted Subsidiary), except for Customary Recourse Exceptions;</w:t>
      </w:r>
    </w:p>
    <w:p>
      <w:pPr>
        <w:spacing w:after="0" w:line="11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provided that, notwithstanding the foregoing, such Indebtedness may benefit from (i) any Lien granted by the Company or a Restricted Subsidiary as a “Permitted Lien” pursuant to clause </w:t>
      </w:r>
      <w:r>
        <w:rPr>
          <w:rFonts w:ascii="Times New Roman" w:cs="Times New Roman" w:eastAsia="Times New Roman" w:hAnsi="Times New Roman"/>
          <w:sz w:val="20"/>
          <w:szCs w:val="20"/>
          <w:u w:val="single" w:color="auto"/>
          <w:color w:val="auto"/>
        </w:rPr>
        <w:t>(8)</w:t>
      </w:r>
      <w:r>
        <w:rPr>
          <w:rFonts w:ascii="Times New Roman" w:cs="Times New Roman" w:eastAsia="Times New Roman" w:hAnsi="Times New Roman"/>
          <w:sz w:val="20"/>
          <w:szCs w:val="20"/>
          <w:color w:val="auto"/>
        </w:rPr>
        <w:t xml:space="preserve"> of the definition thereof and/or (ii) a Guarantee provided by the Company or a Restricted Subsidiary as a “Permitted Investment” pursuant to clause </w:t>
      </w:r>
      <w:r>
        <w:rPr>
          <w:rFonts w:ascii="Times New Roman" w:cs="Times New Roman" w:eastAsia="Times New Roman" w:hAnsi="Times New Roman"/>
          <w:sz w:val="20"/>
          <w:szCs w:val="20"/>
          <w:u w:val="single" w:color="auto"/>
          <w:color w:val="auto"/>
        </w:rPr>
        <w:t>(27)</w:t>
      </w:r>
      <w:r>
        <w:rPr>
          <w:rFonts w:ascii="Times New Roman" w:cs="Times New Roman" w:eastAsia="Times New Roman" w:hAnsi="Times New Roman"/>
          <w:sz w:val="20"/>
          <w:szCs w:val="20"/>
          <w:color w:val="auto"/>
        </w:rPr>
        <w:t xml:space="preserve"> of the definition thereof and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hereof.</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Person</w:t>
      </w:r>
      <w:r>
        <w:rPr>
          <w:rFonts w:ascii="Times New Roman" w:cs="Times New Roman" w:eastAsia="Times New Roman" w:hAnsi="Times New Roman"/>
          <w:sz w:val="20"/>
          <w:szCs w:val="20"/>
          <w:color w:val="auto"/>
        </w:rPr>
        <w:t>” means a Person who is not a U.S. Person.</w:t>
      </w:r>
    </w:p>
    <w:p>
      <w:pPr>
        <w:spacing w:after="0" w:line="17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 Guarantee</w:t>
      </w:r>
      <w:r>
        <w:rPr>
          <w:rFonts w:ascii="Times New Roman" w:cs="Times New Roman" w:eastAsia="Times New Roman" w:hAnsi="Times New Roman"/>
          <w:sz w:val="20"/>
          <w:szCs w:val="20"/>
          <w:color w:val="auto"/>
        </w:rPr>
        <w:t>” means the Guarantee by each Guarantor of the Company’s obligations under this Indenture and the Notes, executed pursuant to the provisions of this Indenture.</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2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any principal, interest, penalties, fees, indemnifications, reimbursements, damages and other liabilities payable under the documentation governing any Indebtedness.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Offering Memorandum</w:t>
      </w:r>
      <w:r>
        <w:rPr>
          <w:rFonts w:ascii="Times New Roman" w:cs="Times New Roman" w:eastAsia="Times New Roman" w:hAnsi="Times New Roman"/>
          <w:sz w:val="20"/>
          <w:szCs w:val="20"/>
          <w:color w:val="auto"/>
        </w:rPr>
        <w:t>” means the offering memorandum, dated March 24, 2025, with respect to the offer and sale of the Initial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w:t>
      </w:r>
    </w:p>
    <w:p>
      <w:pPr>
        <w:spacing w:after="0" w:line="1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Officer</w:t>
      </w:r>
      <w:r>
        <w:rPr>
          <w:rFonts w:ascii="Times New Roman" w:cs="Times New Roman" w:eastAsia="Times New Roman" w:hAnsi="Times New Roman"/>
          <w:sz w:val="20"/>
          <w:szCs w:val="20"/>
          <w:color w:val="auto"/>
        </w:rPr>
        <w:t>” means, with respect to any Person, the Chairman of the Board of Directors, the Chief Executive Officer, the President, the Chief Operating Officer, the Chief Legal Officer, the Chief Financial Officer, the Treasurer, any Assistant Treasurer, the Controller, the Secretary or any Vice-President of such Person.</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xml:space="preserve">” means a certificate signed on behalf of the Company by two Officers of the Company, one of whom must be the principal executive officer, the principal financial officer, the treasurer or the principal accounting officer of the Company, that meets the requirements of </w:t>
      </w:r>
      <w:r>
        <w:rPr>
          <w:rFonts w:ascii="Times New Roman" w:cs="Times New Roman" w:eastAsia="Times New Roman" w:hAnsi="Times New Roman"/>
          <w:sz w:val="20"/>
          <w:szCs w:val="20"/>
          <w:u w:val="single" w:color="auto"/>
          <w:color w:val="auto"/>
        </w:rPr>
        <w:t>Section 12.05</w:t>
      </w:r>
      <w:r>
        <w:rPr>
          <w:rFonts w:ascii="Times New Roman" w:cs="Times New Roman" w:eastAsia="Times New Roman" w:hAnsi="Times New Roman"/>
          <w:sz w:val="20"/>
          <w:szCs w:val="20"/>
          <w:color w:val="auto"/>
        </w:rPr>
        <w:t xml:space="preserve"> hereof.</w:t>
      </w:r>
    </w:p>
    <w:p>
      <w:pPr>
        <w:spacing w:after="0" w:line="12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Opinion of Counsel</w:t>
      </w:r>
      <w:r>
        <w:rPr>
          <w:rFonts w:ascii="Times New Roman" w:cs="Times New Roman" w:eastAsia="Times New Roman" w:hAnsi="Times New Roman"/>
          <w:sz w:val="19"/>
          <w:szCs w:val="19"/>
          <w:color w:val="auto"/>
        </w:rPr>
        <w:t xml:space="preserve">” means an opinion from legal counsel who is reasonably acceptable to the Trustee, that meets the requirements of </w:t>
      </w:r>
      <w:r>
        <w:rPr>
          <w:rFonts w:ascii="Times New Roman" w:cs="Times New Roman" w:eastAsia="Times New Roman" w:hAnsi="Times New Roman"/>
          <w:sz w:val="19"/>
          <w:szCs w:val="19"/>
          <w:u w:val="single" w:color="auto"/>
          <w:color w:val="auto"/>
        </w:rPr>
        <w:t>Section 12.05</w:t>
      </w:r>
      <w:r>
        <w:rPr>
          <w:rFonts w:ascii="Times New Roman" w:cs="Times New Roman" w:eastAsia="Times New Roman" w:hAnsi="Times New Roman"/>
          <w:sz w:val="19"/>
          <w:szCs w:val="19"/>
          <w:color w:val="auto"/>
        </w:rPr>
        <w:t xml:space="preserve"> hereof. The counsel may be an employee of or counsel to the Company any Subsidiary of the Company or the Trustee.</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 Company</w:t>
      </w:r>
      <w:r>
        <w:rPr>
          <w:rFonts w:ascii="Times New Roman" w:cs="Times New Roman" w:eastAsia="Times New Roman" w:hAnsi="Times New Roman"/>
          <w:sz w:val="20"/>
          <w:szCs w:val="20"/>
          <w:color w:val="auto"/>
        </w:rPr>
        <w:t>” means any Person that is or becomes after the Issue Date a direct or indirect parent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bl>
    <w:p>
      <w:pPr>
        <w:sectPr>
          <w:pgSz w:w="11900" w:h="16838" w:orient="portrait"/>
          <w:cols w:equalWidth="0" w:num="1">
            <w:col w:w="11240"/>
          </w:cols>
          <w:pgMar w:left="320" w:top="1440" w:right="339" w:bottom="1440" w:gutter="0" w:footer="0" w:header="0"/>
        </w:sectPr>
      </w:pPr>
    </w:p>
    <w:bookmarkStart w:id="31" w:name="page32"/>
    <w:bookmarkEnd w:id="31"/>
    <w:p>
      <w:pPr>
        <w:spacing w:after="0" w:line="13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means, with respect to the Depositary, Euroclear or Clearstream, a Person who has an account with the Depositary, Euroclear or Clearstream, respectively (and, with respect to DTC, shall include Euroclear and Clearstream).</w:t>
      </w:r>
    </w:p>
    <w:p>
      <w:pPr>
        <w:spacing w:after="0" w:line="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Bond Hedge Transaction</w:t>
      </w:r>
      <w:r>
        <w:rPr>
          <w:rFonts w:ascii="Times New Roman" w:cs="Times New Roman" w:eastAsia="Times New Roman" w:hAnsi="Times New Roman"/>
          <w:sz w:val="20"/>
          <w:szCs w:val="20"/>
          <w:color w:val="auto"/>
        </w:rPr>
        <w:t xml:space="preserve">” means any call or capped call option (or substantially equivalent derivative transaction) on the Company’s common equity purchased by the Company in connection with the issuance of any Convertible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purchase price for such Permitted Bond Hedge Transaction, less the proceeds received by the Company from the sale of any related Permitted Warrant Transaction, does not exceed the net proceeds received by the Company from the sale of such Convertible Indebtedness issued in connection with the Permitted Bond Hedge Transaction.</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Business</w:t>
      </w:r>
      <w:r>
        <w:rPr>
          <w:rFonts w:ascii="Times New Roman" w:cs="Times New Roman" w:eastAsia="Times New Roman" w:hAnsi="Times New Roman"/>
          <w:sz w:val="20"/>
          <w:szCs w:val="20"/>
          <w:color w:val="auto"/>
        </w:rPr>
        <w:t>” means any business that is the same as, or reasonably related, ancillary or complementary to, any of the businesses in which the Company and its Restricted Subsidiaries are engaged on the date of this Indenture, and reasonable extensions, developments or expansions of such businesses.</w:t>
      </w:r>
    </w:p>
    <w:p>
      <w:pPr>
        <w:spacing w:after="0" w:line="12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Convertible Indebtedness Call Transaction</w:t>
      </w:r>
      <w:r>
        <w:rPr>
          <w:rFonts w:ascii="Times New Roman" w:cs="Times New Roman" w:eastAsia="Times New Roman" w:hAnsi="Times New Roman"/>
          <w:sz w:val="20"/>
          <w:szCs w:val="20"/>
          <w:color w:val="auto"/>
        </w:rPr>
        <w:t>” means any Permitted Bond Hedge Transaction and any Permitted Warrant Transaction.</w:t>
      </w:r>
    </w:p>
    <w:p>
      <w:pPr>
        <w:spacing w:after="0" w:line="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Holder</w:t>
      </w:r>
      <w:r>
        <w:rPr>
          <w:rFonts w:ascii="Times New Roman" w:cs="Times New Roman" w:eastAsia="Times New Roman" w:hAnsi="Times New Roman"/>
          <w:sz w:val="20"/>
          <w:szCs w:val="20"/>
          <w:color w:val="auto"/>
        </w:rPr>
        <w:t>” means (a) Phillip E. Cohen, (b) the spouse and lineal descendants and spouses of lineal descendants of Phillip E. Cohen, (c) the estates or legal representatives of any person named in clauses (a) or (b), (d) trusts established for the benefit of any person named in clauses (a) or (b), and (e) any entity solely owned and controlled, directly or indirectly, by one or more of the foregoing.</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175" w:lineRule="exact"/>
        <w:rPr>
          <w:sz w:val="20"/>
          <w:szCs w:val="20"/>
          <w:color w:val="auto"/>
        </w:rPr>
      </w:pPr>
    </w:p>
    <w:p>
      <w:pPr>
        <w:ind w:left="2580" w:hanging="547"/>
        <w:spacing w:after="0"/>
        <w:tabs>
          <w:tab w:leader="none" w:pos="258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in the Company or in a Restricted Subsidiary thereof;</w:t>
      </w:r>
    </w:p>
    <w:p>
      <w:pPr>
        <w:spacing w:after="0" w:line="161" w:lineRule="exact"/>
        <w:rPr>
          <w:rFonts w:ascii="Times New Roman" w:cs="Times New Roman" w:eastAsia="Times New Roman" w:hAnsi="Times New Roman"/>
          <w:sz w:val="20"/>
          <w:szCs w:val="20"/>
          <w:color w:val="auto"/>
        </w:rPr>
      </w:pPr>
    </w:p>
    <w:p>
      <w:pPr>
        <w:ind w:left="2580" w:hanging="547"/>
        <w:spacing w:after="0"/>
        <w:tabs>
          <w:tab w:leader="none" w:pos="258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in cash and Cash Equivalents;</w:t>
      </w:r>
    </w:p>
    <w:p>
      <w:pPr>
        <w:spacing w:after="0" w:line="175" w:lineRule="exact"/>
        <w:rPr>
          <w:rFonts w:ascii="Times New Roman" w:cs="Times New Roman" w:eastAsia="Times New Roman" w:hAnsi="Times New Roman"/>
          <w:sz w:val="20"/>
          <w:szCs w:val="20"/>
          <w:color w:val="auto"/>
        </w:rPr>
      </w:pPr>
    </w:p>
    <w:p>
      <w:pPr>
        <w:ind w:left="2580" w:hanging="547"/>
        <w:spacing w:after="0"/>
        <w:tabs>
          <w:tab w:leader="none" w:pos="258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by the Company or any Restricted Subsidiary thereof in a Person, if as a result of such</w:t>
      </w:r>
    </w:p>
    <w:p>
      <w:pPr>
        <w:spacing w:after="0" w:line="2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w:t>
      </w:r>
    </w:p>
    <w:p>
      <w:pPr>
        <w:spacing w:after="0" w:line="153"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becomes a Restricted Subsidiary of the Company; or</w:t>
      </w:r>
    </w:p>
    <w:p>
      <w:pPr>
        <w:spacing w:after="0" w:line="161" w:lineRule="exact"/>
        <w:rPr>
          <w:rFonts w:ascii="Times New Roman" w:cs="Times New Roman" w:eastAsia="Times New Roman" w:hAnsi="Times New Roman"/>
          <w:sz w:val="20"/>
          <w:szCs w:val="20"/>
          <w:color w:val="auto"/>
        </w:rPr>
      </w:pPr>
    </w:p>
    <w:p>
      <w:pPr>
        <w:ind w:left="1300" w:firstLine="652"/>
        <w:spacing w:after="0" w:line="283" w:lineRule="auto"/>
        <w:tabs>
          <w:tab w:leader="none" w:pos="258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is merged, consolidated or amalgamated with or into, or transfers or conveys substantially all of its assets to, or is liquidated into, the Company or a Restricted Subsidiary thereof;</w:t>
      </w:r>
    </w:p>
    <w:p>
      <w:pPr>
        <w:spacing w:after="0" w:line="105" w:lineRule="exact"/>
        <w:rPr>
          <w:rFonts w:ascii="Times New Roman" w:cs="Times New Roman" w:eastAsia="Times New Roman" w:hAnsi="Times New Roman"/>
          <w:sz w:val="20"/>
          <w:szCs w:val="20"/>
          <w:color w:val="auto"/>
        </w:rPr>
      </w:pPr>
    </w:p>
    <w:p>
      <w:pPr>
        <w:jc w:val="both"/>
        <w:ind w:left="1300" w:firstLine="733"/>
        <w:spacing w:after="0" w:line="261" w:lineRule="auto"/>
        <w:tabs>
          <w:tab w:leader="none" w:pos="258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consideration received in connection with a sale or disposition of assets permitted under this Indenture, including any Investment made as a result of the receipt of non-cash consideration from an Asset Sale that was made pursuant to and in compliance with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hereof;</w:t>
      </w:r>
    </w:p>
    <w:p>
      <w:pPr>
        <w:spacing w:after="0" w:line="113" w:lineRule="exact"/>
        <w:rPr>
          <w:rFonts w:ascii="Times New Roman" w:cs="Times New Roman" w:eastAsia="Times New Roman" w:hAnsi="Times New Roman"/>
          <w:sz w:val="20"/>
          <w:szCs w:val="20"/>
          <w:color w:val="auto"/>
        </w:rPr>
      </w:pPr>
    </w:p>
    <w:p>
      <w:pPr>
        <w:ind w:left="1300" w:firstLine="733"/>
        <w:spacing w:after="0" w:line="283" w:lineRule="auto"/>
        <w:tabs>
          <w:tab w:leader="none" w:pos="258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acquisition of assets or Capital Stock solely in exchange for the issuance of Equity Interests (other than Disqualified Stock) of the Company;</w:t>
      </w:r>
    </w:p>
    <w:p>
      <w:pPr>
        <w:spacing w:after="0" w:line="105" w:lineRule="exact"/>
        <w:rPr>
          <w:rFonts w:ascii="Times New Roman" w:cs="Times New Roman" w:eastAsia="Times New Roman" w:hAnsi="Times New Roman"/>
          <w:sz w:val="20"/>
          <w:szCs w:val="20"/>
          <w:color w:val="auto"/>
        </w:rPr>
      </w:pPr>
    </w:p>
    <w:p>
      <w:pPr>
        <w:jc w:val="both"/>
        <w:ind w:left="1300" w:firstLine="733"/>
        <w:spacing w:after="0" w:line="254" w:lineRule="auto"/>
        <w:tabs>
          <w:tab w:leader="none" w:pos="258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Investments received (a)(i) in exchange for any other Investment or accounts receivable held by the Company or any of its Restricted Subsidiaries in connection with or as a result of a bankruptcy, workout, reorganization or recapitalization of the issuer of such other Investment or accounts receivable (including any trade creditor or customer) or (ii) in good faith settlement of delinquent obligations of,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bl>
    <w:p>
      <w:pPr>
        <w:sectPr>
          <w:pgSz w:w="11900" w:h="16838" w:orient="portrait"/>
          <w:cols w:equalWidth="0" w:num="1">
            <w:col w:w="11240"/>
          </w:cols>
          <w:pgMar w:left="320" w:top="1440" w:right="339" w:bottom="1440" w:gutter="0" w:footer="0" w:header="0"/>
        </w:sectPr>
      </w:pPr>
    </w:p>
    <w:bookmarkStart w:id="32" w:name="page33"/>
    <w:bookmarkEnd w:id="32"/>
    <w:p>
      <w:pPr>
        <w:spacing w:after="0" w:line="135" w:lineRule="exact"/>
        <w:rPr>
          <w:sz w:val="20"/>
          <w:szCs w:val="20"/>
          <w:color w:val="auto"/>
        </w:rPr>
      </w:pPr>
    </w:p>
    <w:p>
      <w:pPr>
        <w:jc w:val="both"/>
        <w:ind w:left="1220"/>
        <w:spacing w:after="0" w:line="258" w:lineRule="auto"/>
        <w:rPr>
          <w:sz w:val="20"/>
          <w:szCs w:val="20"/>
          <w:color w:val="auto"/>
        </w:rPr>
      </w:pPr>
      <w:r>
        <w:rPr>
          <w:rFonts w:ascii="Times New Roman" w:cs="Times New Roman" w:eastAsia="Times New Roman" w:hAnsi="Times New Roman"/>
          <w:sz w:val="20"/>
          <w:szCs w:val="20"/>
          <w:color w:val="auto"/>
        </w:rPr>
        <w:t>disputes with, customers, trade debtors, licensors, licensees and suppliers arising in the ordinary course; (b) as a result of a foreclosure by the Company or any of the Restricted Subsidiaries with respect to any secured Investment or other transfer of title with respect to any secured Investment in default; or (c) in compromise or resolution of litigation, arbitration or other disputes;</w:t>
      </w:r>
    </w:p>
    <w:p>
      <w:pPr>
        <w:spacing w:after="0" w:line="118" w:lineRule="exact"/>
        <w:rPr>
          <w:sz w:val="20"/>
          <w:szCs w:val="20"/>
          <w:color w:val="auto"/>
        </w:rPr>
      </w:pPr>
    </w:p>
    <w:p>
      <w:pPr>
        <w:ind w:left="2500" w:hanging="547"/>
        <w:spacing w:after="0"/>
        <w:tabs>
          <w:tab w:leader="none" w:pos="25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represented by Hedging Obligations;</w:t>
      </w:r>
    </w:p>
    <w:p>
      <w:pPr>
        <w:spacing w:after="0" w:line="175" w:lineRule="exact"/>
        <w:rPr>
          <w:rFonts w:ascii="Times New Roman" w:cs="Times New Roman" w:eastAsia="Times New Roman" w:hAnsi="Times New Roman"/>
          <w:sz w:val="20"/>
          <w:szCs w:val="20"/>
          <w:color w:val="auto"/>
        </w:rPr>
      </w:pPr>
    </w:p>
    <w:p>
      <w:pPr>
        <w:ind w:left="1220" w:right="20" w:firstLine="733"/>
        <w:spacing w:after="0" w:line="283" w:lineRule="auto"/>
        <w:tabs>
          <w:tab w:leader="none" w:pos="250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or advances to employees made in the ordinary course of business of the Company or any Restricted Subsidiary thereof in an aggregate principal amount not to exceed $5.0 million at any time outstanding;</w:t>
      </w:r>
    </w:p>
    <w:p>
      <w:pPr>
        <w:spacing w:after="0" w:line="92" w:lineRule="exact"/>
        <w:rPr>
          <w:rFonts w:ascii="Times New Roman" w:cs="Times New Roman" w:eastAsia="Times New Roman" w:hAnsi="Times New Roman"/>
          <w:sz w:val="20"/>
          <w:szCs w:val="20"/>
          <w:color w:val="auto"/>
        </w:rPr>
      </w:pPr>
    </w:p>
    <w:p>
      <w:pPr>
        <w:ind w:left="2500" w:hanging="547"/>
        <w:spacing w:after="0"/>
        <w:tabs>
          <w:tab w:leader="none" w:pos="25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repurchases of the Notes;</w:t>
      </w:r>
    </w:p>
    <w:p>
      <w:pPr>
        <w:spacing w:after="0" w:line="175" w:lineRule="exact"/>
        <w:rPr>
          <w:rFonts w:ascii="Times New Roman" w:cs="Times New Roman" w:eastAsia="Times New Roman" w:hAnsi="Times New Roman"/>
          <w:sz w:val="20"/>
          <w:szCs w:val="20"/>
          <w:color w:val="auto"/>
        </w:rPr>
      </w:pPr>
    </w:p>
    <w:p>
      <w:pPr>
        <w:ind w:left="2520" w:hanging="567"/>
        <w:spacing w:after="0"/>
        <w:tabs>
          <w:tab w:leader="none" w:pos="25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guarantee permitted to be incurred by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hereof;</w:t>
      </w:r>
    </w:p>
    <w:p>
      <w:pPr>
        <w:spacing w:after="0" w:line="161" w:lineRule="exact"/>
        <w:rPr>
          <w:rFonts w:ascii="Times New Roman" w:cs="Times New Roman" w:eastAsia="Times New Roman" w:hAnsi="Times New Roman"/>
          <w:sz w:val="20"/>
          <w:szCs w:val="20"/>
          <w:color w:val="auto"/>
        </w:rPr>
      </w:pPr>
    </w:p>
    <w:p>
      <w:pPr>
        <w:ind w:left="2500" w:hanging="547"/>
        <w:spacing w:after="0"/>
        <w:tabs>
          <w:tab w:leader="none" w:pos="25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consisting of earnest money deposits required in connection with a purchase agreement or other</w:t>
      </w:r>
    </w:p>
    <w:p>
      <w:pPr>
        <w:spacing w:after="0" w:line="39" w:lineRule="exact"/>
        <w:rPr>
          <w:rFonts w:ascii="Times New Roman" w:cs="Times New Roman" w:eastAsia="Times New Roman" w:hAnsi="Times New Roman"/>
          <w:sz w:val="19"/>
          <w:szCs w:val="19"/>
          <w:color w:val="auto"/>
        </w:rPr>
      </w:pPr>
    </w:p>
    <w:p>
      <w:pPr>
        <w:ind w:left="12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acquisition;</w:t>
      </w:r>
    </w:p>
    <w:p>
      <w:pPr>
        <w:spacing w:after="0" w:line="159" w:lineRule="exact"/>
        <w:rPr>
          <w:rFonts w:ascii="Times New Roman" w:cs="Times New Roman" w:eastAsia="Times New Roman" w:hAnsi="Times New Roman"/>
          <w:sz w:val="19"/>
          <w:szCs w:val="19"/>
          <w:color w:val="auto"/>
        </w:rPr>
      </w:pPr>
    </w:p>
    <w:p>
      <w:pPr>
        <w:ind w:left="1220" w:firstLine="733"/>
        <w:spacing w:after="0" w:line="269" w:lineRule="auto"/>
        <w:tabs>
          <w:tab w:leader="none" w:pos="250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loans, rebates or extensions of trade credit to customers or suppliers in the ordinary course of business by the Company or any of its Restricted Subsidiaries</w:t>
      </w:r>
    </w:p>
    <w:p>
      <w:pPr>
        <w:spacing w:after="0" w:line="118" w:lineRule="exact"/>
        <w:rPr>
          <w:rFonts w:ascii="Times New Roman" w:cs="Times New Roman" w:eastAsia="Times New Roman" w:hAnsi="Times New Roman"/>
          <w:sz w:val="20"/>
          <w:szCs w:val="20"/>
          <w:color w:val="auto"/>
        </w:rPr>
      </w:pPr>
    </w:p>
    <w:p>
      <w:pPr>
        <w:jc w:val="both"/>
        <w:ind w:left="1220" w:firstLine="733"/>
        <w:spacing w:after="0" w:line="253" w:lineRule="auto"/>
        <w:tabs>
          <w:tab w:leader="none" w:pos="250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existing on, or made pursuant to binding commitments existing on, the date of this Indenture and any Investment consisting of an extension, modification or renewal of any Investment existing on, or made pursuant to a binding commitment existing on, the date of this Indenture;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such Investment may be increased (a) as required by the terms of such Investment as in existence on the date of this Indenture or (b) as otherwise permitted under this Indenture;</w:t>
      </w:r>
    </w:p>
    <w:p>
      <w:pPr>
        <w:spacing w:after="0" w:line="137" w:lineRule="exact"/>
        <w:rPr>
          <w:rFonts w:ascii="Times New Roman" w:cs="Times New Roman" w:eastAsia="Times New Roman" w:hAnsi="Times New Roman"/>
          <w:sz w:val="20"/>
          <w:szCs w:val="20"/>
          <w:color w:val="auto"/>
        </w:rPr>
      </w:pPr>
    </w:p>
    <w:p>
      <w:pPr>
        <w:jc w:val="both"/>
        <w:ind w:left="1220" w:firstLine="733"/>
        <w:spacing w:after="0" w:line="253" w:lineRule="auto"/>
        <w:tabs>
          <w:tab w:leader="none" w:pos="250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acquired after the date of this Indenture as a result of the acquisition by the Company or any Restricted Subsidiary thereof of another Person, including by way of a merger, amalgamation or consolidation with or into the Company or any of its Restricted Subsidiaries, or all or substantially all of the assets of another Person, in each case, in a transaction that is not prohibited by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hereof after the date of this Indenture to the extent that such Investments were not made in contemplation of such acquisition, merger, amalgamation or consolidation and were in existence on the date of such acquisition, merger, amalgamation or consolidation;</w:t>
      </w:r>
    </w:p>
    <w:p>
      <w:pPr>
        <w:spacing w:after="0" w:line="124" w:lineRule="exact"/>
        <w:rPr>
          <w:rFonts w:ascii="Times New Roman" w:cs="Times New Roman" w:eastAsia="Times New Roman" w:hAnsi="Times New Roman"/>
          <w:sz w:val="20"/>
          <w:szCs w:val="20"/>
          <w:color w:val="auto"/>
        </w:rPr>
      </w:pPr>
    </w:p>
    <w:p>
      <w:pPr>
        <w:ind w:left="1220" w:firstLine="733"/>
        <w:spacing w:after="0" w:line="283" w:lineRule="auto"/>
        <w:tabs>
          <w:tab w:leader="none" w:pos="250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constituting deposits, prepayments and other credits to suppliers or lessors made in the ordinary course of business;</w:t>
      </w:r>
    </w:p>
    <w:p>
      <w:pPr>
        <w:spacing w:after="0" w:line="92" w:lineRule="exact"/>
        <w:rPr>
          <w:rFonts w:ascii="Times New Roman" w:cs="Times New Roman" w:eastAsia="Times New Roman" w:hAnsi="Times New Roman"/>
          <w:sz w:val="20"/>
          <w:szCs w:val="20"/>
          <w:color w:val="auto"/>
        </w:rPr>
      </w:pPr>
    </w:p>
    <w:p>
      <w:pPr>
        <w:ind w:left="2520" w:hanging="567"/>
        <w:spacing w:after="0"/>
        <w:tabs>
          <w:tab w:leader="none" w:pos="25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of cash made in the ordinary course of business to secure performance of operating leases;</w:t>
      </w:r>
    </w:p>
    <w:p>
      <w:pPr>
        <w:spacing w:after="0" w:line="175" w:lineRule="exact"/>
        <w:rPr>
          <w:rFonts w:ascii="Times New Roman" w:cs="Times New Roman" w:eastAsia="Times New Roman" w:hAnsi="Times New Roman"/>
          <w:sz w:val="20"/>
          <w:szCs w:val="20"/>
          <w:color w:val="auto"/>
        </w:rPr>
      </w:pPr>
    </w:p>
    <w:p>
      <w:pPr>
        <w:ind w:left="1220" w:firstLine="733"/>
        <w:spacing w:after="0" w:line="283" w:lineRule="auto"/>
        <w:tabs>
          <w:tab w:leader="none" w:pos="250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pawn transactions, pawn loans and other consumer loans or participations therein in the ordinary course of the day-to-day business of the Company and its Restricted Subsidiaries;</w:t>
      </w:r>
    </w:p>
    <w:p>
      <w:pPr>
        <w:spacing w:after="0" w:line="92" w:lineRule="exact"/>
        <w:rPr>
          <w:rFonts w:ascii="Times New Roman" w:cs="Times New Roman" w:eastAsia="Times New Roman" w:hAnsi="Times New Roman"/>
          <w:sz w:val="20"/>
          <w:szCs w:val="20"/>
          <w:color w:val="auto"/>
        </w:rPr>
      </w:pPr>
    </w:p>
    <w:p>
      <w:pPr>
        <w:jc w:val="both"/>
        <w:ind w:left="1220" w:firstLine="733"/>
        <w:spacing w:after="0" w:line="261" w:lineRule="auto"/>
        <w:tabs>
          <w:tab w:leader="none" w:pos="250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licensing or contribution of intellectual property to another Person pursuant to any distribution, service, license, joint marketing, co-branding, co-distribution or other similar arrangements with other Persons, however denominated;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bl>
    <w:p>
      <w:pPr>
        <w:sectPr>
          <w:pgSz w:w="11900" w:h="16838" w:orient="portrait"/>
          <w:cols w:equalWidth="0" w:num="1">
            <w:col w:w="11160"/>
          </w:cols>
          <w:pgMar w:left="400" w:top="1440" w:right="339" w:bottom="1440" w:gutter="0" w:footer="0" w:header="0"/>
        </w:sectPr>
      </w:pPr>
    </w:p>
    <w:bookmarkStart w:id="33" w:name="page34"/>
    <w:bookmarkEnd w:id="33"/>
    <w:p>
      <w:pPr>
        <w:spacing w:after="0" w:line="135" w:lineRule="exact"/>
        <w:rPr>
          <w:sz w:val="20"/>
          <w:szCs w:val="20"/>
          <w:color w:val="auto"/>
        </w:rPr>
      </w:pPr>
    </w:p>
    <w:p>
      <w:pPr>
        <w:ind w:left="2520" w:hanging="567"/>
        <w:spacing w:after="0"/>
        <w:tabs>
          <w:tab w:leader="none" w:pos="25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letters of credit issued in connection with CSO Obligations;</w:t>
      </w:r>
    </w:p>
    <w:p>
      <w:pPr>
        <w:spacing w:after="0" w:line="175" w:lineRule="exact"/>
        <w:rPr>
          <w:rFonts w:ascii="Times New Roman" w:cs="Times New Roman" w:eastAsia="Times New Roman" w:hAnsi="Times New Roman"/>
          <w:sz w:val="20"/>
          <w:szCs w:val="20"/>
          <w:color w:val="auto"/>
        </w:rPr>
      </w:pPr>
    </w:p>
    <w:p>
      <w:pPr>
        <w:jc w:val="both"/>
        <w:ind w:left="1220" w:firstLine="733"/>
        <w:spacing w:after="0" w:line="261" w:lineRule="auto"/>
        <w:tabs>
          <w:tab w:leader="none" w:pos="250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any Person to the extent such Investments consist of prepaid expenses, and lease, utility, workers’ compensation and other deposits made in the ordinary course of business by the Company or any of its Restricted Subsidiaries;</w:t>
      </w:r>
    </w:p>
    <w:p>
      <w:pPr>
        <w:spacing w:after="0" w:line="113" w:lineRule="exact"/>
        <w:rPr>
          <w:rFonts w:ascii="Times New Roman" w:cs="Times New Roman" w:eastAsia="Times New Roman" w:hAnsi="Times New Roman"/>
          <w:sz w:val="20"/>
          <w:szCs w:val="20"/>
          <w:color w:val="auto"/>
        </w:rPr>
      </w:pPr>
    </w:p>
    <w:p>
      <w:pPr>
        <w:ind w:left="1220" w:firstLine="733"/>
        <w:spacing w:after="0" w:line="283" w:lineRule="auto"/>
        <w:tabs>
          <w:tab w:leader="none" w:pos="250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obligations or securities received in settlement of debts created in the ordinary course of business and owing to the Company or any Restricted Subsidiary or in satisfaction of judgments;</w:t>
      </w:r>
    </w:p>
    <w:p>
      <w:pPr>
        <w:spacing w:after="0" w:line="105" w:lineRule="exact"/>
        <w:rPr>
          <w:rFonts w:ascii="Times New Roman" w:cs="Times New Roman" w:eastAsia="Times New Roman" w:hAnsi="Times New Roman"/>
          <w:sz w:val="20"/>
          <w:szCs w:val="20"/>
          <w:color w:val="auto"/>
        </w:rPr>
      </w:pPr>
    </w:p>
    <w:p>
      <w:pPr>
        <w:jc w:val="both"/>
        <w:ind w:left="1220" w:firstLine="733"/>
        <w:spacing w:after="0" w:line="261" w:lineRule="auto"/>
        <w:tabs>
          <w:tab w:leader="none" w:pos="250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commissions, payroll, travel and similar advances to cover matters that are expected at the time of such advances ultimately to be treated as operating expenses for accounting purposes and that are made in the ordinary course of business;</w:t>
      </w:r>
    </w:p>
    <w:p>
      <w:pPr>
        <w:spacing w:after="0" w:line="113" w:lineRule="exact"/>
        <w:rPr>
          <w:rFonts w:ascii="Times New Roman" w:cs="Times New Roman" w:eastAsia="Times New Roman" w:hAnsi="Times New Roman"/>
          <w:sz w:val="20"/>
          <w:szCs w:val="20"/>
          <w:color w:val="auto"/>
        </w:rPr>
      </w:pPr>
    </w:p>
    <w:p>
      <w:pPr>
        <w:ind w:left="2520" w:hanging="567"/>
        <w:spacing w:after="0"/>
        <w:tabs>
          <w:tab w:leader="none" w:pos="25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CSO Obligations of the Company or any Restricted Subsidiary;</w:t>
      </w:r>
    </w:p>
    <w:p>
      <w:pPr>
        <w:spacing w:after="0" w:line="175" w:lineRule="exact"/>
        <w:rPr>
          <w:rFonts w:ascii="Times New Roman" w:cs="Times New Roman" w:eastAsia="Times New Roman" w:hAnsi="Times New Roman"/>
          <w:sz w:val="20"/>
          <w:szCs w:val="20"/>
          <w:color w:val="auto"/>
        </w:rPr>
      </w:pPr>
    </w:p>
    <w:p>
      <w:pPr>
        <w:ind w:left="1220" w:firstLine="733"/>
        <w:spacing w:after="0" w:line="283" w:lineRule="auto"/>
        <w:tabs>
          <w:tab w:leader="none" w:pos="250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 Securitization Subsidiary that are necessary or desirable to effect any Permitted Receivables Financing or any repurchases in connection therewith;</w:t>
      </w:r>
    </w:p>
    <w:p>
      <w:pPr>
        <w:spacing w:after="0" w:line="92" w:lineRule="exact"/>
        <w:rPr>
          <w:rFonts w:ascii="Times New Roman" w:cs="Times New Roman" w:eastAsia="Times New Roman" w:hAnsi="Times New Roman"/>
          <w:sz w:val="20"/>
          <w:szCs w:val="20"/>
          <w:color w:val="auto"/>
        </w:rPr>
      </w:pPr>
    </w:p>
    <w:p>
      <w:pPr>
        <w:jc w:val="both"/>
        <w:ind w:left="1220" w:firstLine="733"/>
        <w:spacing w:after="0" w:line="258" w:lineRule="auto"/>
        <w:tabs>
          <w:tab w:leader="none" w:pos="250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Investments in any Person having an aggregate Fair Market Value (measured on the date each such Investment was made and without giving effect to subsequent changes in value), when taken together with all other Investments made pursuant to this clause </w:t>
      </w:r>
      <w:r>
        <w:rPr>
          <w:rFonts w:ascii="Times New Roman" w:cs="Times New Roman" w:eastAsia="Times New Roman" w:hAnsi="Times New Roman"/>
          <w:sz w:val="20"/>
          <w:szCs w:val="20"/>
          <w:u w:val="single" w:color="auto"/>
          <w:color w:val="auto"/>
        </w:rPr>
        <w:t>(25)</w:t>
      </w:r>
      <w:r>
        <w:rPr>
          <w:rFonts w:ascii="Times New Roman" w:cs="Times New Roman" w:eastAsia="Times New Roman" w:hAnsi="Times New Roman"/>
          <w:sz w:val="20"/>
          <w:szCs w:val="20"/>
          <w:color w:val="auto"/>
        </w:rPr>
        <w:t xml:space="preserve"> that are at the time outstanding not to exceed the greater of (i) $125.0 million or (ii) 8.00% of Consolidated Total Assets;</w:t>
      </w:r>
    </w:p>
    <w:p>
      <w:pPr>
        <w:spacing w:after="0" w:line="131" w:lineRule="exact"/>
        <w:rPr>
          <w:rFonts w:ascii="Times New Roman" w:cs="Times New Roman" w:eastAsia="Times New Roman" w:hAnsi="Times New Roman"/>
          <w:sz w:val="20"/>
          <w:szCs w:val="20"/>
          <w:color w:val="auto"/>
        </w:rPr>
      </w:pPr>
    </w:p>
    <w:p>
      <w:pPr>
        <w:ind w:left="1220" w:firstLine="733"/>
        <w:spacing w:after="0" w:line="269" w:lineRule="auto"/>
        <w:tabs>
          <w:tab w:leader="none" w:pos="250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in any Person that is not a Subsidiary that is engaged in a Permitted Business made for bona fide business purposes as determined in good faith by the Board of Directors of the Company;</w:t>
      </w:r>
    </w:p>
    <w:p>
      <w:pPr>
        <w:spacing w:after="0" w:line="118" w:lineRule="exact"/>
        <w:rPr>
          <w:rFonts w:ascii="Times New Roman" w:cs="Times New Roman" w:eastAsia="Times New Roman" w:hAnsi="Times New Roman"/>
          <w:sz w:val="20"/>
          <w:szCs w:val="20"/>
          <w:color w:val="auto"/>
        </w:rPr>
      </w:pPr>
    </w:p>
    <w:p>
      <w:pPr>
        <w:jc w:val="both"/>
        <w:ind w:left="1220" w:firstLine="733"/>
        <w:spacing w:after="0" w:line="254" w:lineRule="auto"/>
        <w:tabs>
          <w:tab w:leader="none" w:pos="250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joint ventures and Unrestricted Subsidiaries having an aggregate Fair Market Value (measured on the date each such Investment was made and without giving effect to subsequent changes in value), when taken together with all other Investments made pursuant to this clause </w:t>
      </w:r>
      <w:r>
        <w:rPr>
          <w:rFonts w:ascii="Times New Roman" w:cs="Times New Roman" w:eastAsia="Times New Roman" w:hAnsi="Times New Roman"/>
          <w:sz w:val="20"/>
          <w:szCs w:val="20"/>
          <w:u w:val="single" w:color="auto"/>
          <w:color w:val="auto"/>
        </w:rPr>
        <w:t>(27)</w:t>
      </w:r>
      <w:r>
        <w:rPr>
          <w:rFonts w:ascii="Times New Roman" w:cs="Times New Roman" w:eastAsia="Times New Roman" w:hAnsi="Times New Roman"/>
          <w:sz w:val="20"/>
          <w:szCs w:val="20"/>
          <w:color w:val="auto"/>
        </w:rPr>
        <w:t xml:space="preserve"> that are at the time outstanding, not to exceed the greater of (i) $100.0 million and (ii) 6.50% of Consolidated Total Assets;</w:t>
      </w:r>
    </w:p>
    <w:p>
      <w:pPr>
        <w:spacing w:after="0" w:line="133" w:lineRule="exact"/>
        <w:rPr>
          <w:rFonts w:ascii="Times New Roman" w:cs="Times New Roman" w:eastAsia="Times New Roman" w:hAnsi="Times New Roman"/>
          <w:sz w:val="20"/>
          <w:szCs w:val="20"/>
          <w:color w:val="auto"/>
        </w:rPr>
      </w:pPr>
    </w:p>
    <w:p>
      <w:pPr>
        <w:ind w:left="1220" w:firstLine="733"/>
        <w:spacing w:after="0" w:line="283" w:lineRule="auto"/>
        <w:tabs>
          <w:tab w:leader="none" w:pos="250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made after the Issue Date, so long as after giving pro forma effect to the making of such Investment, the Consolidated Total Debt Ratio shall be less than 3.00 to 1.00; and</w:t>
      </w:r>
    </w:p>
    <w:p>
      <w:pPr>
        <w:spacing w:after="0" w:line="92" w:lineRule="exact"/>
        <w:rPr>
          <w:rFonts w:ascii="Times New Roman" w:cs="Times New Roman" w:eastAsia="Times New Roman" w:hAnsi="Times New Roman"/>
          <w:sz w:val="20"/>
          <w:szCs w:val="20"/>
          <w:color w:val="auto"/>
        </w:rPr>
      </w:pPr>
    </w:p>
    <w:p>
      <w:pPr>
        <w:ind w:left="2520" w:hanging="567"/>
        <w:spacing w:after="0"/>
        <w:tabs>
          <w:tab w:leader="none" w:pos="25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Bond Hedge Transactions.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w:t>
      </w:r>
    </w:p>
    <w:p>
      <w:pPr>
        <w:spacing w:after="0" w:line="162" w:lineRule="exact"/>
        <w:rPr>
          <w:sz w:val="20"/>
          <w:szCs w:val="20"/>
          <w:color w:val="auto"/>
        </w:rPr>
      </w:pPr>
    </w:p>
    <w:p>
      <w:pPr>
        <w:jc w:val="both"/>
        <w:ind w:left="1220" w:firstLine="733"/>
        <w:spacing w:after="0" w:line="268" w:lineRule="auto"/>
        <w:tabs>
          <w:tab w:leader="none" w:pos="250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assets of the Company or any Guarantor or any of its Restricted Subsidiaries securing Indebtedness and other Obligations under Credit Facilities that was permitted by the terms of this Indenture to be incurred pursuant to clause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of the definition of Permitted Debt;</w:t>
      </w:r>
    </w:p>
    <w:p>
      <w:pPr>
        <w:spacing w:after="0" w:line="107" w:lineRule="exact"/>
        <w:rPr>
          <w:rFonts w:ascii="Times New Roman" w:cs="Times New Roman" w:eastAsia="Times New Roman" w:hAnsi="Times New Roman"/>
          <w:sz w:val="20"/>
          <w:szCs w:val="20"/>
          <w:color w:val="auto"/>
        </w:rPr>
      </w:pPr>
    </w:p>
    <w:p>
      <w:pPr>
        <w:ind w:left="1220" w:firstLine="733"/>
        <w:spacing w:after="0" w:line="283" w:lineRule="auto"/>
        <w:tabs>
          <w:tab w:leader="none" w:pos="250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to secure Hedging Obligations and/or Obligations with respect to Treasury Management Arrangements incurred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bl>
    <w:p>
      <w:pPr>
        <w:sectPr>
          <w:pgSz w:w="11900" w:h="16838" w:orient="portrait"/>
          <w:cols w:equalWidth="0" w:num="1">
            <w:col w:w="11160"/>
          </w:cols>
          <w:pgMar w:left="400" w:top="1440" w:right="339" w:bottom="1440" w:gutter="0" w:footer="0" w:header="0"/>
        </w:sectPr>
      </w:pPr>
    </w:p>
    <w:bookmarkStart w:id="34" w:name="page35"/>
    <w:bookmarkEnd w:id="34"/>
    <w:p>
      <w:pPr>
        <w:spacing w:after="0" w:line="135" w:lineRule="exact"/>
        <w:rPr>
          <w:sz w:val="20"/>
          <w:szCs w:val="20"/>
          <w:color w:val="auto"/>
        </w:rPr>
      </w:pPr>
    </w:p>
    <w:p>
      <w:pPr>
        <w:jc w:val="both"/>
        <w:ind w:left="1220" w:firstLine="733"/>
        <w:spacing w:after="0" w:line="253" w:lineRule="auto"/>
        <w:tabs>
          <w:tab w:leader="none" w:pos="25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of a Person (including Equity Interests) existing at the time such Person becomes a Restricted Subsidiary of the Company or is merged with or into or consolidated with the Company or any Restricted Subsidiary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were in existence prior to the contemplation of such Person becoming a Restricted Subsidiary of the Company or such merger or consolidation and do not extend to any assets other than those of the Person that becomes a Restricted Subsidiary of the Company or is merged with or into or consolidated with the Company or any Restricted Subsidiary of the Company (and assets and property affixed or appurtenant thereto);</w:t>
      </w:r>
    </w:p>
    <w:p>
      <w:pPr>
        <w:spacing w:after="0" w:line="138" w:lineRule="exact"/>
        <w:rPr>
          <w:rFonts w:ascii="Times New Roman" w:cs="Times New Roman" w:eastAsia="Times New Roman" w:hAnsi="Times New Roman"/>
          <w:sz w:val="20"/>
          <w:szCs w:val="20"/>
          <w:color w:val="auto"/>
        </w:rPr>
      </w:pPr>
    </w:p>
    <w:p>
      <w:pPr>
        <w:jc w:val="both"/>
        <w:ind w:left="1220" w:firstLine="733"/>
        <w:spacing w:after="0" w:line="261" w:lineRule="auto"/>
        <w:tabs>
          <w:tab w:leader="none" w:pos="25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(including Capital Stock) existing at the time of acquisition of such property by the Company or any Subsidiary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were in existence prior to such acquisition and not incurred in contemplation of, such acquisition;</w:t>
      </w:r>
    </w:p>
    <w:p>
      <w:pPr>
        <w:spacing w:after="0" w:line="113" w:lineRule="exact"/>
        <w:rPr>
          <w:rFonts w:ascii="Times New Roman" w:cs="Times New Roman" w:eastAsia="Times New Roman" w:hAnsi="Times New Roman"/>
          <w:sz w:val="20"/>
          <w:szCs w:val="20"/>
          <w:color w:val="auto"/>
        </w:rPr>
      </w:pPr>
    </w:p>
    <w:p>
      <w:pPr>
        <w:jc w:val="both"/>
        <w:ind w:left="1220" w:firstLine="733"/>
        <w:spacing w:after="0" w:line="253" w:lineRule="auto"/>
        <w:tabs>
          <w:tab w:leader="none" w:pos="25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incurred or deposits made to secure the performance of tenders, insurance, workers compensation obligations, unemployment insurance and other types of social security legislation, statutory obligations (other than excise taxes), surety, stay, customs and appeal bonds, statutory bonds, bids, leases, government contracts, trade contracts, performance and return of money bonds or other obligations of a like nature incurred in the ordinary course of business (including Liens to secure letters of credit issued to assure payment of such obligations and Liens to secure pledges or deposits with respect to such obligations) or arising by virtue of deposits made in the ordinary course of business to secure liability for premiums to insurance carriers;</w:t>
      </w:r>
    </w:p>
    <w:p>
      <w:pPr>
        <w:spacing w:after="0" w:line="138" w:lineRule="exact"/>
        <w:rPr>
          <w:rFonts w:ascii="Times New Roman" w:cs="Times New Roman" w:eastAsia="Times New Roman" w:hAnsi="Times New Roman"/>
          <w:sz w:val="20"/>
          <w:szCs w:val="20"/>
          <w:color w:val="auto"/>
        </w:rPr>
      </w:pPr>
    </w:p>
    <w:p>
      <w:pPr>
        <w:ind w:left="1220" w:right="20" w:firstLine="733"/>
        <w:spacing w:after="0" w:line="269" w:lineRule="auto"/>
        <w:tabs>
          <w:tab w:leader="none" w:pos="25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to secure Indebtedness (including Finance Lease Obligations) permitted by </w:t>
      </w:r>
      <w:r>
        <w:rPr>
          <w:rFonts w:ascii="Times New Roman" w:cs="Times New Roman" w:eastAsia="Times New Roman" w:hAnsi="Times New Roman"/>
          <w:sz w:val="20"/>
          <w:szCs w:val="20"/>
          <w:u w:val="single" w:color="auto"/>
          <w:color w:val="auto"/>
        </w:rPr>
        <w:t>Section 4.09(b)(4)</w:t>
      </w:r>
      <w:r>
        <w:rPr>
          <w:rFonts w:ascii="Times New Roman" w:cs="Times New Roman" w:eastAsia="Times New Roman" w:hAnsi="Times New Roman"/>
          <w:sz w:val="20"/>
          <w:szCs w:val="20"/>
          <w:color w:val="auto"/>
        </w:rPr>
        <w:t xml:space="preserve"> hereof covering only the assets acquired with or financed by such Indebtedness and proceeds and products thereof;</w:t>
      </w:r>
    </w:p>
    <w:p>
      <w:pPr>
        <w:spacing w:after="0" w:line="118" w:lineRule="exact"/>
        <w:rPr>
          <w:rFonts w:ascii="Times New Roman" w:cs="Times New Roman" w:eastAsia="Times New Roman" w:hAnsi="Times New Roman"/>
          <w:sz w:val="20"/>
          <w:szCs w:val="20"/>
          <w:color w:val="auto"/>
        </w:rPr>
      </w:pPr>
    </w:p>
    <w:p>
      <w:pPr>
        <w:jc w:val="both"/>
        <w:ind w:left="1220" w:firstLine="733"/>
        <w:spacing w:after="0" w:line="261" w:lineRule="auto"/>
        <w:tabs>
          <w:tab w:leader="none" w:pos="25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to secure Indebtedness of Restricted Subsidiaries that are not Guarantors or the Company permitted under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may not extend to any property or assets of the Company or any Guarantor other than the property or assets of such non-Guarantor Restricted Subsidiaries;</w:t>
      </w:r>
    </w:p>
    <w:p>
      <w:pPr>
        <w:spacing w:after="0" w:line="113" w:lineRule="exact"/>
        <w:rPr>
          <w:rFonts w:ascii="Times New Roman" w:cs="Times New Roman" w:eastAsia="Times New Roman" w:hAnsi="Times New Roman"/>
          <w:sz w:val="20"/>
          <w:szCs w:val="20"/>
          <w:color w:val="auto"/>
        </w:rPr>
      </w:pPr>
    </w:p>
    <w:p>
      <w:pPr>
        <w:ind w:left="1220" w:firstLine="733"/>
        <w:spacing w:after="0" w:line="283" w:lineRule="auto"/>
        <w:tabs>
          <w:tab w:leader="none" w:pos="25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Capital Stock, Indebtedness or other securities of an Unrestricted Subsidiary that secure Indebtedness or other obligations of such Unrestricted Subsidiary;</w:t>
      </w:r>
    </w:p>
    <w:p>
      <w:pPr>
        <w:spacing w:after="0" w:line="105" w:lineRule="exact"/>
        <w:rPr>
          <w:rFonts w:ascii="Times New Roman" w:cs="Times New Roman" w:eastAsia="Times New Roman" w:hAnsi="Times New Roman"/>
          <w:sz w:val="20"/>
          <w:szCs w:val="20"/>
          <w:color w:val="auto"/>
        </w:rPr>
      </w:pPr>
    </w:p>
    <w:p>
      <w:pPr>
        <w:ind w:left="1220" w:firstLine="733"/>
        <w:spacing w:after="0" w:line="269" w:lineRule="auto"/>
        <w:tabs>
          <w:tab w:leader="none" w:pos="25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existing on the date of this Indenture (and replacement Liens that do not encumber additional assets, unless such encumbrance is otherwise permitted by this Indenture);</w:t>
      </w:r>
    </w:p>
    <w:p>
      <w:pPr>
        <w:spacing w:after="0" w:line="118" w:lineRule="exact"/>
        <w:rPr>
          <w:rFonts w:ascii="Times New Roman" w:cs="Times New Roman" w:eastAsia="Times New Roman" w:hAnsi="Times New Roman"/>
          <w:sz w:val="20"/>
          <w:szCs w:val="20"/>
          <w:color w:val="auto"/>
        </w:rPr>
      </w:pPr>
    </w:p>
    <w:p>
      <w:pPr>
        <w:jc w:val="both"/>
        <w:ind w:left="1220" w:right="20" w:firstLine="733"/>
        <w:spacing w:after="0" w:line="261" w:lineRule="auto"/>
        <w:tabs>
          <w:tab w:leader="none" w:pos="250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for taxes, assessments or governmental charges or claims that are not yet delinquent for more than 60 days or that are being contested in good faith by appropriate proceedings promptly instituted and diligently conducted;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reserve or other appropriate provision as is required in conformity with GAAP has been made therefor;</w:t>
      </w:r>
    </w:p>
    <w:p>
      <w:pPr>
        <w:spacing w:after="0" w:line="127" w:lineRule="exact"/>
        <w:rPr>
          <w:rFonts w:ascii="Times New Roman" w:cs="Times New Roman" w:eastAsia="Times New Roman" w:hAnsi="Times New Roman"/>
          <w:sz w:val="20"/>
          <w:szCs w:val="20"/>
          <w:color w:val="auto"/>
        </w:rPr>
      </w:pPr>
    </w:p>
    <w:p>
      <w:pPr>
        <w:ind w:left="1220" w:firstLine="733"/>
        <w:spacing w:after="0" w:line="295" w:lineRule="auto"/>
        <w:tabs>
          <w:tab w:leader="none" w:pos="2501"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imposed by law, such as carriers’, warehousemen’s, materialmen’s, landlords’, workmen’s, suppliers’, repairmen’s and mechanics’ Liens and other similar Liens, in each case, incurred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bl>
    <w:p>
      <w:pPr>
        <w:sectPr>
          <w:pgSz w:w="11900" w:h="16838" w:orient="portrait"/>
          <w:cols w:equalWidth="0" w:num="1">
            <w:col w:w="11160"/>
          </w:cols>
          <w:pgMar w:left="400" w:top="1440" w:right="339" w:bottom="1440" w:gutter="0" w:footer="0" w:header="0"/>
        </w:sectPr>
      </w:pPr>
    </w:p>
    <w:bookmarkStart w:id="35" w:name="page36"/>
    <w:bookmarkEnd w:id="35"/>
    <w:p>
      <w:pPr>
        <w:spacing w:after="0" w:line="135" w:lineRule="exact"/>
        <w:rPr>
          <w:sz w:val="20"/>
          <w:szCs w:val="20"/>
          <w:color w:val="auto"/>
        </w:rPr>
      </w:pPr>
    </w:p>
    <w:p>
      <w:pPr>
        <w:jc w:val="both"/>
        <w:ind w:left="1220" w:firstLine="733"/>
        <w:spacing w:after="0" w:line="253" w:lineRule="auto"/>
        <w:tabs>
          <w:tab w:leader="none" w:pos="250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survey exceptions, ground leases, easements, servitudes, covenants, protrusions, or reservations of, or rights of others for, licenses, rights-of-way, encroachments, sewers, electric lines, telegraph and telephone lines and other similar purposes, or zoning, building codes or other restrictions (including, without limitation, minor defects or irregularities in title and similar encumbrances) as to the use of real property or Liens incidental to the conduct of the business of such Person or to the ownership of its properties that were not incurred in connection with Indebtedness and that do not in the aggregate materially adversely affect the value of said properties or materially impair their use in the operation of the business of such Person;</w:t>
      </w:r>
    </w:p>
    <w:p>
      <w:pPr>
        <w:spacing w:after="0" w:line="125" w:lineRule="exact"/>
        <w:rPr>
          <w:rFonts w:ascii="Times New Roman" w:cs="Times New Roman" w:eastAsia="Times New Roman" w:hAnsi="Times New Roman"/>
          <w:sz w:val="20"/>
          <w:szCs w:val="20"/>
          <w:color w:val="auto"/>
        </w:rPr>
      </w:pPr>
    </w:p>
    <w:p>
      <w:pPr>
        <w:ind w:left="2520" w:hanging="567"/>
        <w:spacing w:after="0"/>
        <w:tabs>
          <w:tab w:leader="none" w:pos="252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for the benefit of (or to secure) the Notes or the Note Guarantees;</w:t>
      </w:r>
    </w:p>
    <w:p>
      <w:pPr>
        <w:spacing w:after="0" w:line="175" w:lineRule="exact"/>
        <w:rPr>
          <w:rFonts w:ascii="Times New Roman" w:cs="Times New Roman" w:eastAsia="Times New Roman" w:hAnsi="Times New Roman"/>
          <w:sz w:val="20"/>
          <w:szCs w:val="20"/>
          <w:color w:val="auto"/>
        </w:rPr>
      </w:pPr>
    </w:p>
    <w:p>
      <w:pPr>
        <w:ind w:left="1220" w:firstLine="733"/>
        <w:spacing w:after="0" w:line="269" w:lineRule="auto"/>
        <w:tabs>
          <w:tab w:leader="none" w:pos="250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to secure any Permitted Refinancing Indebtedness permitted to be incurred under this Indenture;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w:t>
      </w:r>
    </w:p>
    <w:p>
      <w:pPr>
        <w:spacing w:after="0" w:line="118" w:lineRule="exact"/>
        <w:rPr>
          <w:rFonts w:ascii="Times New Roman" w:cs="Times New Roman" w:eastAsia="Times New Roman" w:hAnsi="Times New Roman"/>
          <w:sz w:val="20"/>
          <w:szCs w:val="20"/>
          <w:color w:val="auto"/>
        </w:rPr>
      </w:pPr>
    </w:p>
    <w:p>
      <w:pPr>
        <w:jc w:val="both"/>
        <w:ind w:left="1220" w:right="20" w:firstLine="652"/>
        <w:spacing w:after="0" w:line="261" w:lineRule="auto"/>
        <w:tabs>
          <w:tab w:leader="none" w:pos="250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Lien is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spacing w:after="0" w:line="127" w:lineRule="exact"/>
        <w:rPr>
          <w:rFonts w:ascii="Times New Roman" w:cs="Times New Roman" w:eastAsia="Times New Roman" w:hAnsi="Times New Roman"/>
          <w:sz w:val="20"/>
          <w:szCs w:val="20"/>
          <w:color w:val="auto"/>
        </w:rPr>
      </w:pPr>
    </w:p>
    <w:p>
      <w:pPr>
        <w:jc w:val="both"/>
        <w:ind w:left="1220" w:firstLine="652"/>
        <w:spacing w:after="0" w:line="276" w:lineRule="auto"/>
        <w:tabs>
          <w:tab w:leader="none" w:pos="2504"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Indebtedness secured by the new Lien is not increased to any amount greater than the sum of (x) the outstanding principal amount, or, if greater, committed amount, of the Indebtedness renewed, refunded, refinanced, replaced, defeased or discharged with such Permitted Refinancing Indebtedness and (y) an amount necessary to pay any fees and expenses, including premiums, related to such renewal, refunding, refinancing, replacement, defeasance or discharge;</w:t>
      </w:r>
    </w:p>
    <w:p>
      <w:pPr>
        <w:spacing w:after="0" w:line="102" w:lineRule="exact"/>
        <w:rPr>
          <w:rFonts w:ascii="Times New Roman" w:cs="Times New Roman" w:eastAsia="Times New Roman" w:hAnsi="Times New Roman"/>
          <w:sz w:val="19"/>
          <w:szCs w:val="19"/>
          <w:color w:val="auto"/>
        </w:rPr>
      </w:pPr>
    </w:p>
    <w:p>
      <w:pPr>
        <w:ind w:left="2520" w:hanging="567"/>
        <w:spacing w:after="0"/>
        <w:tabs>
          <w:tab w:leader="none" w:pos="252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insurance policies and proceeds thereof, or other deposits, to secure insurance premium financings;</w:t>
      </w:r>
    </w:p>
    <w:p>
      <w:pPr>
        <w:spacing w:after="0" w:line="186" w:lineRule="exact"/>
        <w:rPr>
          <w:rFonts w:ascii="Times New Roman" w:cs="Times New Roman" w:eastAsia="Times New Roman" w:hAnsi="Times New Roman"/>
          <w:sz w:val="19"/>
          <w:szCs w:val="19"/>
          <w:color w:val="auto"/>
        </w:rPr>
      </w:pPr>
    </w:p>
    <w:p>
      <w:pPr>
        <w:jc w:val="both"/>
        <w:ind w:left="1220" w:firstLine="733"/>
        <w:spacing w:after="0" w:line="254" w:lineRule="auto"/>
        <w:tabs>
          <w:tab w:leader="none" w:pos="250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licensor, sublicensor or sublessor under any lease, license, sublicense or sublease entered into by the Company or any of its Restricted Subsidiaries in the ordinary course of business and covering only the assets so leased, licensed, sublicensed or subleased, including the filing of Uniform Commercial Code financing statements as a precautionary measure in connection with operating leases;</w:t>
      </w:r>
    </w:p>
    <w:p>
      <w:pPr>
        <w:spacing w:after="0" w:line="133" w:lineRule="exact"/>
        <w:rPr>
          <w:rFonts w:ascii="Times New Roman" w:cs="Times New Roman" w:eastAsia="Times New Roman" w:hAnsi="Times New Roman"/>
          <w:sz w:val="20"/>
          <w:szCs w:val="20"/>
          <w:color w:val="auto"/>
        </w:rPr>
      </w:pPr>
    </w:p>
    <w:p>
      <w:pPr>
        <w:jc w:val="both"/>
        <w:ind w:left="1220" w:firstLine="733"/>
        <w:spacing w:after="0" w:line="261" w:lineRule="auto"/>
        <w:tabs>
          <w:tab w:leader="none" w:pos="250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bankers’ Liens, rights of setoff, Liens arising out of judgments, decrees, orders or awards not constituting an Event of Default and notices of </w:t>
      </w:r>
      <w:r>
        <w:rPr>
          <w:rFonts w:ascii="Times New Roman" w:cs="Times New Roman" w:eastAsia="Times New Roman" w:hAnsi="Times New Roman"/>
          <w:sz w:val="20"/>
          <w:szCs w:val="20"/>
          <w:u w:val="single" w:color="auto"/>
          <w:color w:val="auto"/>
        </w:rPr>
        <w:t>lis pendens</w:t>
      </w:r>
      <w:r>
        <w:rPr>
          <w:rFonts w:ascii="Times New Roman" w:cs="Times New Roman" w:eastAsia="Times New Roman" w:hAnsi="Times New Roman"/>
          <w:sz w:val="20"/>
          <w:szCs w:val="20"/>
          <w:color w:val="auto"/>
        </w:rPr>
        <w:t xml:space="preserve"> and associated rights related to litigation being contested in good faith by appropriate proceedings and for which adequate reserves have been made;</w:t>
      </w:r>
    </w:p>
    <w:p>
      <w:pPr>
        <w:spacing w:after="0" w:line="127" w:lineRule="exact"/>
        <w:rPr>
          <w:rFonts w:ascii="Times New Roman" w:cs="Times New Roman" w:eastAsia="Times New Roman" w:hAnsi="Times New Roman"/>
          <w:sz w:val="20"/>
          <w:szCs w:val="20"/>
          <w:color w:val="auto"/>
        </w:rPr>
      </w:pPr>
    </w:p>
    <w:p>
      <w:pPr>
        <w:ind w:left="1220" w:firstLine="733"/>
        <w:spacing w:after="0" w:line="269" w:lineRule="auto"/>
        <w:tabs>
          <w:tab w:leader="none" w:pos="250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Cash Equivalents or other property arising in connection with the defeasance, discharge or redemption of Indebtedness;</w:t>
      </w:r>
    </w:p>
    <w:p>
      <w:pPr>
        <w:spacing w:after="0" w:line="118" w:lineRule="exact"/>
        <w:rPr>
          <w:rFonts w:ascii="Times New Roman" w:cs="Times New Roman" w:eastAsia="Times New Roman" w:hAnsi="Times New Roman"/>
          <w:sz w:val="20"/>
          <w:szCs w:val="20"/>
          <w:color w:val="auto"/>
        </w:rPr>
      </w:pPr>
    </w:p>
    <w:p>
      <w:pPr>
        <w:jc w:val="both"/>
        <w:ind w:left="1220" w:firstLine="733"/>
        <w:spacing w:after="0" w:line="261" w:lineRule="auto"/>
        <w:tabs>
          <w:tab w:leader="none" w:pos="250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specific items of inventory or other goods (and the proceeds thereof) of any Person securing such Person’s obligations in respect of bankers’ acceptances issued or created in the ordinary course of business for the account of such Person to facilitate the purchase, shipment or storage of such inventory or other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bl>
    <w:p>
      <w:pPr>
        <w:sectPr>
          <w:pgSz w:w="11900" w:h="16838" w:orient="portrait"/>
          <w:cols w:equalWidth="0" w:num="1">
            <w:col w:w="11160"/>
          </w:cols>
          <w:pgMar w:left="400" w:top="1440" w:right="339" w:bottom="1440" w:gutter="0" w:footer="0" w:header="0"/>
        </w:sectPr>
      </w:pPr>
    </w:p>
    <w:bookmarkStart w:id="36" w:name="page37"/>
    <w:bookmarkEnd w:id="36"/>
    <w:p>
      <w:pPr>
        <w:spacing w:after="0" w:line="135" w:lineRule="exact"/>
        <w:rPr>
          <w:sz w:val="20"/>
          <w:szCs w:val="20"/>
          <w:color w:val="auto"/>
        </w:rPr>
      </w:pPr>
    </w:p>
    <w:p>
      <w:pPr>
        <w:ind w:left="2520" w:hanging="567"/>
        <w:spacing w:after="0"/>
        <w:tabs>
          <w:tab w:leader="none" w:pos="25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grants of software and other technology licenses in the ordinary course of business;</w:t>
      </w:r>
    </w:p>
    <w:p>
      <w:pPr>
        <w:spacing w:after="0" w:line="175" w:lineRule="exact"/>
        <w:rPr>
          <w:rFonts w:ascii="Times New Roman" w:cs="Times New Roman" w:eastAsia="Times New Roman" w:hAnsi="Times New Roman"/>
          <w:sz w:val="20"/>
          <w:szCs w:val="20"/>
          <w:color w:val="auto"/>
        </w:rPr>
      </w:pPr>
    </w:p>
    <w:p>
      <w:pPr>
        <w:ind w:left="1220" w:firstLine="733"/>
        <w:spacing w:after="0" w:line="269" w:lineRule="auto"/>
        <w:tabs>
          <w:tab w:leader="none" w:pos="25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the sale of goods entered into in the ordinary course of business;</w:t>
      </w:r>
    </w:p>
    <w:p>
      <w:pPr>
        <w:spacing w:after="0" w:line="118" w:lineRule="exact"/>
        <w:rPr>
          <w:rFonts w:ascii="Times New Roman" w:cs="Times New Roman" w:eastAsia="Times New Roman" w:hAnsi="Times New Roman"/>
          <w:sz w:val="20"/>
          <w:szCs w:val="20"/>
          <w:color w:val="auto"/>
        </w:rPr>
      </w:pPr>
    </w:p>
    <w:p>
      <w:pPr>
        <w:jc w:val="both"/>
        <w:ind w:left="1220" w:firstLine="733"/>
        <w:spacing w:after="0" w:line="295" w:lineRule="auto"/>
        <w:tabs>
          <w:tab w:leader="none" w:pos="250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 favor of customs and revenue authorities to secure payment of customs duties in connection with the importation of goods in the ordinary course of business and other similar Liens arising in the ordinary course of business;</w:t>
      </w:r>
    </w:p>
    <w:p>
      <w:pPr>
        <w:spacing w:after="0" w:line="97" w:lineRule="exact"/>
        <w:rPr>
          <w:rFonts w:ascii="Times New Roman" w:cs="Times New Roman" w:eastAsia="Times New Roman" w:hAnsi="Times New Roman"/>
          <w:sz w:val="19"/>
          <w:szCs w:val="19"/>
          <w:color w:val="auto"/>
        </w:rPr>
      </w:pPr>
    </w:p>
    <w:p>
      <w:pPr>
        <w:ind w:left="2520" w:hanging="567"/>
        <w:spacing w:after="0"/>
        <w:tabs>
          <w:tab w:leader="none" w:pos="25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the Company or any of the Guarantors;</w:t>
      </w:r>
    </w:p>
    <w:p>
      <w:pPr>
        <w:spacing w:after="0" w:line="175" w:lineRule="exact"/>
        <w:rPr>
          <w:rFonts w:ascii="Times New Roman" w:cs="Times New Roman" w:eastAsia="Times New Roman" w:hAnsi="Times New Roman"/>
          <w:sz w:val="20"/>
          <w:szCs w:val="20"/>
          <w:color w:val="auto"/>
        </w:rPr>
      </w:pPr>
    </w:p>
    <w:p>
      <w:pPr>
        <w:ind w:left="1220" w:firstLine="733"/>
        <w:spacing w:after="0" w:line="269" w:lineRule="auto"/>
        <w:tabs>
          <w:tab w:leader="none" w:pos="25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of insurance or condemnation proceeds provided to landlords (or their mortgagees) pursuant to the terms of any lease and Liens or rights reserved in any lease for rent or for compliance with the terms of such lease;</w:t>
      </w:r>
    </w:p>
    <w:p>
      <w:pPr>
        <w:spacing w:after="0" w:line="118" w:lineRule="exact"/>
        <w:rPr>
          <w:rFonts w:ascii="Times New Roman" w:cs="Times New Roman" w:eastAsia="Times New Roman" w:hAnsi="Times New Roman"/>
          <w:sz w:val="20"/>
          <w:szCs w:val="20"/>
          <w:color w:val="auto"/>
        </w:rPr>
      </w:pPr>
    </w:p>
    <w:p>
      <w:pPr>
        <w:jc w:val="both"/>
        <w:ind w:left="1220" w:firstLine="733"/>
        <w:spacing w:after="0" w:line="253" w:lineRule="auto"/>
        <w:tabs>
          <w:tab w:leader="none" w:pos="25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of a collection bank arising under Section 4-210 of the Uniform Commercial Code on the items in the course of collection, (ii) attaching to commodity trading accounts or other commodities brokerage accounts incurred in the ordinary course of business and not for speculative purposes, and (iii) in favor of a banking or other financial institution arising as a matter of law encumbering deposits or other funds maintained with a financial institution (including the right of setoff) and that are within the general parameters customary in the banking industry;</w:t>
      </w:r>
    </w:p>
    <w:p>
      <w:pPr>
        <w:spacing w:after="0" w:line="137" w:lineRule="exact"/>
        <w:rPr>
          <w:rFonts w:ascii="Times New Roman" w:cs="Times New Roman" w:eastAsia="Times New Roman" w:hAnsi="Times New Roman"/>
          <w:sz w:val="20"/>
          <w:szCs w:val="20"/>
          <w:color w:val="auto"/>
        </w:rPr>
      </w:pPr>
    </w:p>
    <w:p>
      <w:pPr>
        <w:ind w:left="1220" w:firstLine="733"/>
        <w:spacing w:after="0" w:line="269" w:lineRule="auto"/>
        <w:tabs>
          <w:tab w:leader="none" w:pos="25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Equity Interests in joint ventures held by the Company or its Restricted Subsidiaries securing the obligations of such joint ventures;</w:t>
      </w:r>
    </w:p>
    <w:p>
      <w:pPr>
        <w:spacing w:after="0" w:line="118" w:lineRule="exact"/>
        <w:rPr>
          <w:rFonts w:ascii="Times New Roman" w:cs="Times New Roman" w:eastAsia="Times New Roman" w:hAnsi="Times New Roman"/>
          <w:sz w:val="20"/>
          <w:szCs w:val="20"/>
          <w:color w:val="auto"/>
        </w:rPr>
      </w:pPr>
    </w:p>
    <w:p>
      <w:pPr>
        <w:ind w:left="1220" w:firstLine="733"/>
        <w:spacing w:after="0" w:line="283" w:lineRule="auto"/>
        <w:tabs>
          <w:tab w:leader="none" w:pos="25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options, put and call arrangements, rights of first refusal and similar rights to Investments in joint ventures, partnerships or other similar Permitted Investments;</w:t>
      </w:r>
    </w:p>
    <w:p>
      <w:pPr>
        <w:spacing w:after="0" w:line="92" w:lineRule="exact"/>
        <w:rPr>
          <w:rFonts w:ascii="Times New Roman" w:cs="Times New Roman" w:eastAsia="Times New Roman" w:hAnsi="Times New Roman"/>
          <w:sz w:val="20"/>
          <w:szCs w:val="20"/>
          <w:color w:val="auto"/>
        </w:rPr>
      </w:pPr>
    </w:p>
    <w:p>
      <w:pPr>
        <w:jc w:val="both"/>
        <w:ind w:left="1220" w:firstLine="733"/>
        <w:spacing w:after="0" w:line="261" w:lineRule="auto"/>
        <w:tabs>
          <w:tab w:leader="none" w:pos="25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in connection with cash earnest money deposits made by the Company or any of its Restricted Subsidiaries in connection with any acquisition of assets or (ii) consisting of an agreement to consummate an asset sale permitted to be made by the terms of this Indenture;</w:t>
      </w:r>
    </w:p>
    <w:p>
      <w:pPr>
        <w:spacing w:after="0" w:line="127" w:lineRule="exact"/>
        <w:rPr>
          <w:rFonts w:ascii="Times New Roman" w:cs="Times New Roman" w:eastAsia="Times New Roman" w:hAnsi="Times New Roman"/>
          <w:sz w:val="20"/>
          <w:szCs w:val="20"/>
          <w:color w:val="auto"/>
        </w:rPr>
      </w:pPr>
    </w:p>
    <w:p>
      <w:pPr>
        <w:jc w:val="both"/>
        <w:ind w:left="1220" w:firstLine="733"/>
        <w:spacing w:after="0" w:line="258" w:lineRule="auto"/>
        <w:tabs>
          <w:tab w:leader="none" w:pos="25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resulting from any zoning or similar law or right reserved to or vested in any governmental office or agency to control or regulate the use of any real property, in each case, which do not and will not interfere with or affect in any material respect the use, value or operations of any real estate asset of the Company or any of its Restricted Subsidiaries or the ordinary conduct of the business of the Company or any of its Restricted Subsidiaries;</w:t>
      </w:r>
    </w:p>
    <w:p>
      <w:pPr>
        <w:spacing w:after="0" w:line="118" w:lineRule="exact"/>
        <w:rPr>
          <w:rFonts w:ascii="Times New Roman" w:cs="Times New Roman" w:eastAsia="Times New Roman" w:hAnsi="Times New Roman"/>
          <w:sz w:val="20"/>
          <w:szCs w:val="20"/>
          <w:color w:val="auto"/>
        </w:rPr>
      </w:pPr>
    </w:p>
    <w:p>
      <w:pPr>
        <w:ind w:left="1220" w:firstLine="733"/>
        <w:spacing w:after="0" w:line="283" w:lineRule="auto"/>
        <w:tabs>
          <w:tab w:leader="none" w:pos="25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incurred with respect to obligations that do not exceed the greater of (i) $50.0 million and (ii) 3.00% of Consolidated Total Assets at any time outstanding, measured as of the date of incurrence of any such Lien;</w:t>
      </w:r>
    </w:p>
    <w:p>
      <w:pPr>
        <w:spacing w:after="0" w:line="92" w:lineRule="exact"/>
        <w:rPr>
          <w:rFonts w:ascii="Times New Roman" w:cs="Times New Roman" w:eastAsia="Times New Roman" w:hAnsi="Times New Roman"/>
          <w:sz w:val="20"/>
          <w:szCs w:val="20"/>
          <w:color w:val="auto"/>
        </w:rPr>
      </w:pPr>
    </w:p>
    <w:p>
      <w:pPr>
        <w:ind w:left="1220" w:firstLine="733"/>
        <w:spacing w:after="0" w:line="283" w:lineRule="auto"/>
        <w:tabs>
          <w:tab w:leader="none" w:pos="25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encumbering deposits made to secure obligations arising from statutory, regulatory, contractual or warranty requirements of the Company or any of its Restricted Subsidiaries, including rights of offset and set-off;</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bl>
    <w:p>
      <w:pPr>
        <w:sectPr>
          <w:pgSz w:w="11900" w:h="16838" w:orient="portrait"/>
          <w:cols w:equalWidth="0" w:num="1">
            <w:col w:w="11160"/>
          </w:cols>
          <w:pgMar w:left="400" w:top="1440" w:right="339" w:bottom="1440" w:gutter="0" w:footer="0" w:header="0"/>
        </w:sectPr>
      </w:pPr>
    </w:p>
    <w:bookmarkStart w:id="37" w:name="page38"/>
    <w:bookmarkEnd w:id="37"/>
    <w:p>
      <w:pPr>
        <w:spacing w:after="0" w:line="135" w:lineRule="exact"/>
        <w:rPr>
          <w:sz w:val="20"/>
          <w:szCs w:val="20"/>
          <w:color w:val="auto"/>
        </w:rPr>
      </w:pPr>
    </w:p>
    <w:p>
      <w:pPr>
        <w:jc w:val="both"/>
        <w:ind w:left="1300" w:firstLine="733"/>
        <w:spacing w:after="0" w:line="250" w:lineRule="auto"/>
        <w:tabs>
          <w:tab w:leader="none" w:pos="258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Liens securing Acquired Debt incurred in accordance with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in connection with any Investment as a result of which a Specified Entity becomes a Restricted Subsidiary of the Company and (y) other Liens securing Acquired Debt incurred in accordance with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sub-clause (y), (A) such Liens were not created in connection with, or in anticipation of, the incurrence of such Acquired Debt by the Company or a Restricted Subsidiary and (B) such Liens do not extend to or cover any property or assets of the Company or of any of the Restricted Subsidiaries other than the property or assets that secured the Acquired Debt prior to the time such Indebtedness became Acquired Debt of the Company or a Restricted Subsidiary (other than after acquired property that is (i) affixed or incorporated into the property covered by such Lien, (ii) after acquired property subject to a Lien securing such Indebtedness, the terms of which require or include a pledge of after acquired property (it being understood that such requirement shall not be permitted to apply to any property to which such requirement would not have applied but for such acquisition) and (iii) the proceeds and products thereof);</w:t>
      </w:r>
    </w:p>
    <w:p>
      <w:pPr>
        <w:spacing w:after="0" w:line="145" w:lineRule="exact"/>
        <w:rPr>
          <w:rFonts w:ascii="Times New Roman" w:cs="Times New Roman" w:eastAsia="Times New Roman" w:hAnsi="Times New Roman"/>
          <w:sz w:val="20"/>
          <w:szCs w:val="20"/>
          <w:color w:val="auto"/>
        </w:rPr>
      </w:pPr>
    </w:p>
    <w:p>
      <w:pPr>
        <w:jc w:val="both"/>
        <w:ind w:left="1300" w:firstLine="733"/>
        <w:spacing w:after="0" w:line="254" w:lineRule="auto"/>
        <w:tabs>
          <w:tab w:leader="none" w:pos="258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subleases, non-exclusive licenses or non-exclusive sublicenses granted to other Persons (including with respect to intellectual property) by the Company or any of its Restricted Subsidiaries in the ordinary course of business and not interfering in any material respect with the ordinary conduct of the business of the Company and its Restricted Subsidiaries taken as a whole;</w:t>
      </w:r>
    </w:p>
    <w:p>
      <w:pPr>
        <w:spacing w:after="0" w:line="133" w:lineRule="exact"/>
        <w:rPr>
          <w:rFonts w:ascii="Times New Roman" w:cs="Times New Roman" w:eastAsia="Times New Roman" w:hAnsi="Times New Roman"/>
          <w:sz w:val="20"/>
          <w:szCs w:val="20"/>
          <w:color w:val="auto"/>
        </w:rPr>
      </w:pPr>
    </w:p>
    <w:p>
      <w:pPr>
        <w:ind w:left="1300" w:right="20" w:firstLine="733"/>
        <w:spacing w:after="0" w:line="283" w:lineRule="auto"/>
        <w:tabs>
          <w:tab w:leader="none" w:pos="258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accounts receivable and related assets and proceeds thereof arising in connection with a Permitted Receivables Financing; and</w:t>
      </w:r>
    </w:p>
    <w:p>
      <w:pPr>
        <w:spacing w:after="0" w:line="92" w:lineRule="exact"/>
        <w:rPr>
          <w:rFonts w:ascii="Times New Roman" w:cs="Times New Roman" w:eastAsia="Times New Roman" w:hAnsi="Times New Roman"/>
          <w:sz w:val="20"/>
          <w:szCs w:val="20"/>
          <w:color w:val="auto"/>
        </w:rPr>
      </w:pPr>
    </w:p>
    <w:p>
      <w:pPr>
        <w:jc w:val="both"/>
        <w:ind w:left="1300" w:firstLine="733"/>
        <w:spacing w:after="0" w:line="253" w:lineRule="auto"/>
        <w:tabs>
          <w:tab w:leader="none" w:pos="258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Escrowed Proceeds for the benefit of the related holders of debt securities or other Indebtedness (or the underwriters, trustee, escrow agent or arrangers thereof) or on cash set aside at the time of the incurrence of any Indebtedness or government securities purchased with such cash, in either case to the extent such cash or government securities prefund the payment of interest on such Indebtedness and are held in an escrow account or similar arrangement to be applied for such purpose.</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Financing</w:t>
      </w:r>
      <w:r>
        <w:rPr>
          <w:rFonts w:ascii="Times New Roman" w:cs="Times New Roman" w:eastAsia="Times New Roman" w:hAnsi="Times New Roman"/>
          <w:sz w:val="20"/>
          <w:szCs w:val="20"/>
          <w:color w:val="auto"/>
        </w:rPr>
        <w:t>” means any receivables financing facility or arrangement pursuant to which a Securitization Subsidiary purchases or otherwise acquires accounts receivable of the Company or any Restricted Subsidiary and enters into a third party financing thereof on terms that the Board of Directors of the Company has concluded are customary and market terms that are fair to the Company and the Restricted Subsidiaries.</w:t>
      </w:r>
    </w:p>
    <w:p>
      <w:pPr>
        <w:spacing w:after="0" w:line="11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 Indebtedness</w:t>
      </w:r>
      <w:r>
        <w:rPr>
          <w:rFonts w:ascii="Times New Roman" w:cs="Times New Roman" w:eastAsia="Times New Roman" w:hAnsi="Times New Roman"/>
          <w:sz w:val="20"/>
          <w:szCs w:val="20"/>
          <w:color w:val="auto"/>
        </w:rPr>
        <w:t xml:space="preserve">” means any Indebtedness of the Company or any of its Restricted Subsidiaries, Disqualified Stock of the Company, or preferred stock of any of the Company’s Restricted Subsidiaries, in each case issued in exchange for, or the net proceeds of which are used to renew, refund, refinance, replace, extend, defease or discharge other Indebtedness of the Company or any of its Restricted Subsidiaries, Disqualified Stock of the Company, or preferred stock of any of the Company’s Restricted Subsidiaries (in each case other than intercompany Indebtedness, Disqualified Stock or preferred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19" w:lineRule="exact"/>
        <w:rPr>
          <w:sz w:val="20"/>
          <w:szCs w:val="20"/>
          <w:color w:val="auto"/>
        </w:rPr>
      </w:pPr>
    </w:p>
    <w:p>
      <w:pPr>
        <w:jc w:val="both"/>
        <w:ind w:left="1300" w:firstLine="733"/>
        <w:spacing w:after="0" w:line="258" w:lineRule="auto"/>
        <w:tabs>
          <w:tab w:leader="none" w:pos="258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(or accreted value or liquidation preference, if applicable) of such Permitted Refinancing Indebtedness does not exceed the principal amount (or accreted value or liquidation preference, if applicable) of the Indebtedness, Disqualified Stock or preferred stock renewed, refunded, refinanced, replaced, extended, defeased or discharged (plus all accrued interest on the Indebtedness and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bl>
    <w:p>
      <w:pPr>
        <w:sectPr>
          <w:pgSz w:w="11900" w:h="16838" w:orient="portrait"/>
          <w:cols w:equalWidth="0" w:num="1">
            <w:col w:w="11240"/>
          </w:cols>
          <w:pgMar w:left="320" w:top="1440" w:right="339" w:bottom="1440" w:gutter="0" w:footer="0" w:header="0"/>
        </w:sectPr>
      </w:pPr>
    </w:p>
    <w:bookmarkStart w:id="38" w:name="page39"/>
    <w:bookmarkEnd w:id="38"/>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all fees and expenses, including premiums and defeasance costs, incurred in connection therewith);</w:t>
      </w:r>
    </w:p>
    <w:p>
      <w:pPr>
        <w:spacing w:after="0" w:line="175" w:lineRule="exact"/>
        <w:rPr>
          <w:sz w:val="20"/>
          <w:szCs w:val="20"/>
          <w:color w:val="auto"/>
        </w:rPr>
      </w:pPr>
    </w:p>
    <w:p>
      <w:pPr>
        <w:jc w:val="both"/>
        <w:ind w:left="1300" w:firstLine="733"/>
        <w:spacing w:after="0" w:line="261" w:lineRule="auto"/>
        <w:tabs>
          <w:tab w:leader="none" w:pos="258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Permitted Refinancing Indebtedness has a final maturity date no earlier than the later of (a) the final maturity date of the Indebtedness being renewed, refunded, refinanced, replaced, extended, defeased or discharged or (b) 91 days after the final maturity date of the Notes;</w:t>
      </w:r>
    </w:p>
    <w:p>
      <w:pPr>
        <w:spacing w:after="0" w:line="113" w:lineRule="exact"/>
        <w:rPr>
          <w:rFonts w:ascii="Times New Roman" w:cs="Times New Roman" w:eastAsia="Times New Roman" w:hAnsi="Times New Roman"/>
          <w:sz w:val="20"/>
          <w:szCs w:val="20"/>
          <w:color w:val="auto"/>
        </w:rPr>
      </w:pPr>
    </w:p>
    <w:p>
      <w:pPr>
        <w:jc w:val="both"/>
        <w:ind w:left="1300" w:firstLine="733"/>
        <w:spacing w:after="0" w:line="268" w:lineRule="auto"/>
        <w:tabs>
          <w:tab w:leader="none" w:pos="258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Permitted Refinancing Indebtedness has a Weighted Average Life to Maturity at the time such Permitted Refinancing Indebtedness is incurred that is no shorter than the Weighted Average Life to Maturity of the portion of the Indebtedness being renewed, refunded, refinanced, replaced, extended, defeased or discharged;</w:t>
      </w:r>
    </w:p>
    <w:p>
      <w:pPr>
        <w:spacing w:after="0" w:line="107" w:lineRule="exact"/>
        <w:rPr>
          <w:rFonts w:ascii="Times New Roman" w:cs="Times New Roman" w:eastAsia="Times New Roman" w:hAnsi="Times New Roman"/>
          <w:sz w:val="20"/>
          <w:szCs w:val="20"/>
          <w:color w:val="auto"/>
        </w:rPr>
      </w:pPr>
    </w:p>
    <w:p>
      <w:pPr>
        <w:jc w:val="both"/>
        <w:ind w:left="1300" w:firstLine="733"/>
        <w:spacing w:after="0" w:line="258" w:lineRule="auto"/>
        <w:tabs>
          <w:tab w:leader="none" w:pos="258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Indebtedness being renewed, refunded, refinanced, replaced, defeased or discharged is subordinated in right of payment to the Notes, such Permitted Refinancing Indebtedness is subordinated in right of payment to the Notes on terms at least as favorable to the Holders of Notes, taken as a whole, as those contained in the documentation governing the Indebtedness being renewed, refunded, refinanced, replaced, extended, defeased or discharged; and</w:t>
      </w:r>
    </w:p>
    <w:p>
      <w:pPr>
        <w:spacing w:after="0" w:line="131" w:lineRule="exact"/>
        <w:rPr>
          <w:rFonts w:ascii="Times New Roman" w:cs="Times New Roman" w:eastAsia="Times New Roman" w:hAnsi="Times New Roman"/>
          <w:sz w:val="20"/>
          <w:szCs w:val="20"/>
          <w:color w:val="auto"/>
        </w:rPr>
      </w:pPr>
    </w:p>
    <w:p>
      <w:pPr>
        <w:jc w:val="both"/>
        <w:ind w:left="1300" w:firstLine="733"/>
        <w:spacing w:after="0" w:line="254" w:lineRule="auto"/>
        <w:tabs>
          <w:tab w:leader="none" w:pos="258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is incurred either by the Company or a Guarantor or by the Restricted Subsidiary of the Company that was the obligor on the Indebtedness being renewed, refunded, refinanced, replaced, defeased or discharged and is guaranteed only by Persons who were obligors on the Indebtedness being renewed, refunded, refinanced, replaced, extended, defeased or discharged.</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For the avoidance of doubt, it is understood that such Indebtedness, Disqualified Stock or preferred stock incurred in connection with such renewal, refunding, refinancing, extension, replacement, defeasance or discharge may constitute an issuance of Indebtedness, Disqualified Stock or preferred stock in excess of the amount permitted under this definition of “Permitted Refinancing Indebtedness” to the extent that such excess amount is otherwise permitted under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hereof.</w:t>
      </w:r>
    </w:p>
    <w:p>
      <w:pPr>
        <w:spacing w:after="0" w:line="11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Warrant Transaction</w:t>
      </w:r>
      <w:r>
        <w:rPr>
          <w:rFonts w:ascii="Times New Roman" w:cs="Times New Roman" w:eastAsia="Times New Roman" w:hAnsi="Times New Roman"/>
          <w:sz w:val="20"/>
          <w:szCs w:val="20"/>
          <w:color w:val="auto"/>
        </w:rPr>
        <w:t>” means any call option, warrant or right to purchase (or substantially equivalent derivative transaction) on the Company’s or a Parent Company’s common equity sold by the Company or a Parent Company substantially concurrently with a related Permitted Bond Hedge Transaction.</w:t>
      </w:r>
    </w:p>
    <w:p>
      <w:pPr>
        <w:spacing w:after="0" w:line="12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individual, corporation, partnership, joint venture, association, joint-stock company, trust, unincorporated organization, limited liability company or government or other entity.</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Debt Securities</w:t>
      </w:r>
      <w:r>
        <w:rPr>
          <w:rFonts w:ascii="Times New Roman" w:cs="Times New Roman" w:eastAsia="Times New Roman" w:hAnsi="Times New Roman"/>
          <w:sz w:val="20"/>
          <w:szCs w:val="20"/>
          <w:color w:val="auto"/>
        </w:rPr>
        <w:t>” means any debt securities issued in an offering registered under the Securities Act or an offering exempt from registration under the Securities Act but eligible for resale under Rule 144A thereunder.</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Private Placement Legend</w:t>
      </w:r>
      <w:r>
        <w:rPr>
          <w:rFonts w:ascii="Times New Roman" w:cs="Times New Roman" w:eastAsia="Times New Roman" w:hAnsi="Times New Roman"/>
          <w:sz w:val="20"/>
          <w:szCs w:val="20"/>
          <w:color w:val="auto"/>
        </w:rPr>
        <w:t xml:space="preserve">” means the legend set forth in </w:t>
      </w:r>
      <w:r>
        <w:rPr>
          <w:rFonts w:ascii="Times New Roman" w:cs="Times New Roman" w:eastAsia="Times New Roman" w:hAnsi="Times New Roman"/>
          <w:sz w:val="20"/>
          <w:szCs w:val="20"/>
          <w:u w:val="single" w:color="auto"/>
          <w:color w:val="auto"/>
        </w:rPr>
        <w:t>Section 2.06(g)(1)</w:t>
      </w:r>
      <w:r>
        <w:rPr>
          <w:rFonts w:ascii="Times New Roman" w:cs="Times New Roman" w:eastAsia="Times New Roman" w:hAnsi="Times New Roman"/>
          <w:sz w:val="20"/>
          <w:szCs w:val="20"/>
          <w:color w:val="auto"/>
        </w:rPr>
        <w:t xml:space="preserve"> hereof to be placed on all Notes issued under this Indenture except where otherwise permitted by the provisions of this Indenture.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QIB</w:t>
      </w:r>
      <w:r>
        <w:rPr>
          <w:rFonts w:ascii="Times New Roman" w:cs="Times New Roman" w:eastAsia="Times New Roman" w:hAnsi="Times New Roman"/>
          <w:sz w:val="20"/>
          <w:szCs w:val="20"/>
          <w:color w:val="auto"/>
        </w:rPr>
        <w:t>” means a “qualified institutional buyer” as defined in Rule 144A.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Qualifying Equity Interests</w:t>
      </w:r>
      <w:r>
        <w:rPr>
          <w:rFonts w:ascii="Times New Roman" w:cs="Times New Roman" w:eastAsia="Times New Roman" w:hAnsi="Times New Roman"/>
          <w:sz w:val="20"/>
          <w:szCs w:val="20"/>
          <w:color w:val="auto"/>
        </w:rPr>
        <w:t>” means Equity Interests of the Company other than Disqualified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bl>
    <w:p>
      <w:pPr>
        <w:sectPr>
          <w:pgSz w:w="11900" w:h="16838" w:orient="portrait"/>
          <w:cols w:equalWidth="0" w:num="1">
            <w:col w:w="11240"/>
          </w:cols>
          <w:pgMar w:left="320" w:top="1440" w:right="339" w:bottom="1440" w:gutter="0" w:footer="0" w:header="0"/>
        </w:sectPr>
      </w:pPr>
    </w:p>
    <w:bookmarkStart w:id="39" w:name="page40"/>
    <w:bookmarkEnd w:id="39"/>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 Agencies</w:t>
      </w:r>
      <w:r>
        <w:rPr>
          <w:rFonts w:ascii="Times New Roman" w:cs="Times New Roman" w:eastAsia="Times New Roman" w:hAnsi="Times New Roman"/>
          <w:sz w:val="20"/>
          <w:szCs w:val="20"/>
          <w:color w:val="auto"/>
        </w:rPr>
        <w:t xml:space="preserve">” means any of S&amp;P, Moody’s and Fitch;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of Moody’s, S&amp;P or Fitch (or all of them) shall cease issuing a rating on the Notes for reasons outside the control of the Company, then the Company may select a nationally recognized statistical rating agency to substitute for Moody’s, S&amp;P or Fitch (or all of them).</w:t>
      </w:r>
    </w:p>
    <w:p>
      <w:pPr>
        <w:spacing w:after="0" w:line="12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 Date</w:t>
      </w:r>
      <w:r>
        <w:rPr>
          <w:rFonts w:ascii="Times New Roman" w:cs="Times New Roman" w:eastAsia="Times New Roman" w:hAnsi="Times New Roman"/>
          <w:sz w:val="20"/>
          <w:szCs w:val="20"/>
          <w:color w:val="auto"/>
        </w:rPr>
        <w:t>” means the earlier of (1) the date of the consummation of a Change of Control and (2) the date of the public announcement of the occurrence of a Change of Control or of the intention of the Company to effect a Change of Control.</w:t>
      </w:r>
    </w:p>
    <w:p>
      <w:pPr>
        <w:spacing w:after="0" w:line="11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 Decline</w:t>
      </w:r>
      <w:r>
        <w:rPr>
          <w:rFonts w:ascii="Times New Roman" w:cs="Times New Roman" w:eastAsia="Times New Roman" w:hAnsi="Times New Roman"/>
          <w:sz w:val="20"/>
          <w:szCs w:val="20"/>
          <w:color w:val="auto"/>
        </w:rPr>
        <w:t>” means the decrease in the rating of the Notes by two or more Rating Agencies by one or more gradations (including gradations within rating categories as well as between rating categories) from its rating on the Rating Date, or the withdrawal of a rating of the Notes by one or more Rating Agencies, in each case on, or within 60 days after, the Rating Date (which period shall be extended so long as the rating of the Notes is under publicly announced consideration by any of the Rating Agencies); provided that such Rating Agencies have confirmed that such decrease in or withdrawal of rating is a result of the Change of Control, and provided further, that no Rating Decline shall occur if following such decrease in rating, (x) the Notes are rated Investment Grade by at least two Rating Agencies or (y) the ratings of the Notes by at least two Rating Agencies are equal to or better than their respective ratings on the Issue Date. The Trustee shall have no obligation to determine if and when a Rating Decline has occurred.</w:t>
      </w:r>
    </w:p>
    <w:p>
      <w:pPr>
        <w:spacing w:after="0" w:line="1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Fees</w:t>
      </w:r>
      <w:r>
        <w:rPr>
          <w:rFonts w:ascii="Times New Roman" w:cs="Times New Roman" w:eastAsia="Times New Roman" w:hAnsi="Times New Roman"/>
          <w:sz w:val="20"/>
          <w:szCs w:val="20"/>
          <w:color w:val="auto"/>
        </w:rPr>
        <w:t>” means distributions or payments made directly or by means of discounts with respect to any accounts receivable or participation interest therein issued or sold in connection with, and other fees paid to a Person that is not a Restricted Subsidiary in connection with, any Permitted Receivables Financing.</w:t>
      </w:r>
    </w:p>
    <w:p>
      <w:pPr>
        <w:spacing w:after="0" w:line="1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Regulated Bank</w:t>
      </w:r>
      <w:r>
        <w:rPr>
          <w:rFonts w:ascii="Times New Roman" w:cs="Times New Roman" w:eastAsia="Times New Roman" w:hAnsi="Times New Roman"/>
          <w:sz w:val="19"/>
          <w:szCs w:val="19"/>
          <w:color w:val="auto"/>
        </w:rPr>
        <w:t>” means a commercial bank with a consolidated combined capital surplus of at least $5,000,000,000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of the Federal Reserve System of the U.S.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S</w:t>
      </w:r>
      <w:r>
        <w:rPr>
          <w:rFonts w:ascii="Times New Roman" w:cs="Times New Roman" w:eastAsia="Times New Roman" w:hAnsi="Times New Roman"/>
          <w:sz w:val="20"/>
          <w:szCs w:val="20"/>
          <w:color w:val="auto"/>
        </w:rPr>
        <w:t>” means Regulation S promulgated under the Securities Act.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S Global Note</w:t>
      </w:r>
      <w:r>
        <w:rPr>
          <w:rFonts w:ascii="Times New Roman" w:cs="Times New Roman" w:eastAsia="Times New Roman" w:hAnsi="Times New Roman"/>
          <w:sz w:val="20"/>
          <w:szCs w:val="20"/>
          <w:color w:val="auto"/>
        </w:rPr>
        <w:t xml:space="preserve">” means a Global Note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Notes sold in reliance on Rule 903 of Regulation S.</w:t>
      </w:r>
    </w:p>
    <w:p>
      <w:pPr>
        <w:spacing w:after="0" w:line="1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when used with respect to the Trustee, means any officer within the Corporate Trust Administration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and who, in each case, shall have direct responsibility for the administration of this Indenture.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Definitive Note</w:t>
      </w:r>
      <w:r>
        <w:rPr>
          <w:rFonts w:ascii="Times New Roman" w:cs="Times New Roman" w:eastAsia="Times New Roman" w:hAnsi="Times New Roman"/>
          <w:sz w:val="20"/>
          <w:szCs w:val="20"/>
          <w:color w:val="auto"/>
        </w:rPr>
        <w:t>” means a Definitive Note bearing the Private Placement 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bl>
    <w:p>
      <w:pPr>
        <w:sectPr>
          <w:pgSz w:w="11900" w:h="16838" w:orient="portrait"/>
          <w:cols w:equalWidth="0" w:num="1">
            <w:col w:w="11240"/>
          </w:cols>
          <w:pgMar w:left="320" w:top="1440" w:right="339" w:bottom="1440" w:gutter="0" w:footer="0" w:header="0"/>
        </w:sectPr>
      </w:pPr>
    </w:p>
    <w:bookmarkStart w:id="40" w:name="page41"/>
    <w:bookmarkEnd w:id="40"/>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Global Note</w:t>
      </w:r>
      <w:r>
        <w:rPr>
          <w:rFonts w:ascii="Times New Roman" w:cs="Times New Roman" w:eastAsia="Times New Roman" w:hAnsi="Times New Roman"/>
          <w:sz w:val="20"/>
          <w:szCs w:val="20"/>
          <w:color w:val="auto"/>
        </w:rPr>
        <w:t>” means a Global Note bearing the Private Placement Legend.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Investment</w:t>
      </w:r>
      <w:r>
        <w:rPr>
          <w:rFonts w:ascii="Times New Roman" w:cs="Times New Roman" w:eastAsia="Times New Roman" w:hAnsi="Times New Roman"/>
          <w:sz w:val="20"/>
          <w:szCs w:val="20"/>
          <w:color w:val="auto"/>
        </w:rPr>
        <w:t>” means an Investment other than a Permitted Investment.</w:t>
      </w:r>
    </w:p>
    <w:p>
      <w:pPr>
        <w:spacing w:after="0" w:line="16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means the period from the date the Notes were first offered through and including the 40th day after the later of the commencement of such offering and the Issue Date.</w:t>
      </w:r>
    </w:p>
    <w:p>
      <w:pPr>
        <w:spacing w:after="0" w:line="9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of a Person means any Subsidiary of the referent Person that is not an Unrestricted Subsidiary. Unless the context otherwise requires, references to a “Restricted Subsidiary” refer to Restricted Subsidiaries of the Company.</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144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means Rule 144 promulgated under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144A</w:t>
      </w:r>
      <w:r>
        <w:rPr>
          <w:rFonts w:ascii="Times New Roman" w:cs="Times New Roman" w:eastAsia="Times New Roman" w:hAnsi="Times New Roman"/>
          <w:sz w:val="20"/>
          <w:szCs w:val="20"/>
          <w:color w:val="auto"/>
        </w:rPr>
        <w:t>” means Rule 144A promulgated under the Securities Act.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903</w:t>
      </w:r>
      <w:r>
        <w:rPr>
          <w:rFonts w:ascii="Times New Roman" w:cs="Times New Roman" w:eastAsia="Times New Roman" w:hAnsi="Times New Roman"/>
          <w:sz w:val="20"/>
          <w:szCs w:val="20"/>
          <w:color w:val="auto"/>
        </w:rPr>
        <w:t>” means Rule 903 promulgated under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904</w:t>
      </w:r>
      <w:r>
        <w:rPr>
          <w:rFonts w:ascii="Times New Roman" w:cs="Times New Roman" w:eastAsia="Times New Roman" w:hAnsi="Times New Roman"/>
          <w:sz w:val="20"/>
          <w:szCs w:val="20"/>
          <w:color w:val="auto"/>
        </w:rPr>
        <w:t>” means Rule 904 promulgated under the Securities Act.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S&amp;P Global Ratings, a division of S&amp;P Global Inc. and any successor to the ratings business thereof.</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Screened Affiliate</w:t>
      </w:r>
      <w:r>
        <w:rPr>
          <w:rFonts w:ascii="Times New Roman" w:cs="Times New Roman" w:eastAsia="Times New Roman" w:hAnsi="Times New Roman"/>
          <w:sz w:val="20"/>
          <w:szCs w:val="20"/>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Company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 in connection with its investment in the Notes.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Subsidiary</w:t>
      </w:r>
      <w:r>
        <w:rPr>
          <w:rFonts w:ascii="Times New Roman" w:cs="Times New Roman" w:eastAsia="Times New Roman" w:hAnsi="Times New Roman"/>
          <w:sz w:val="20"/>
          <w:szCs w:val="20"/>
          <w:color w:val="auto"/>
        </w:rPr>
        <w:t>” means any Subsidiary of the Company:</w:t>
      </w:r>
    </w:p>
    <w:p>
      <w:pPr>
        <w:spacing w:after="0" w:line="162" w:lineRule="exact"/>
        <w:rPr>
          <w:sz w:val="20"/>
          <w:szCs w:val="20"/>
          <w:color w:val="auto"/>
        </w:rPr>
      </w:pPr>
    </w:p>
    <w:p>
      <w:pPr>
        <w:ind w:left="2580" w:hanging="547"/>
        <w:spacing w:after="0"/>
        <w:tabs>
          <w:tab w:leader="none" w:pos="25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designated a “Securitization Subsidiary” by the Board of Directors of the Company;</w:t>
      </w:r>
    </w:p>
    <w:p>
      <w:pPr>
        <w:spacing w:after="0" w:line="175" w:lineRule="exact"/>
        <w:rPr>
          <w:rFonts w:ascii="Times New Roman" w:cs="Times New Roman" w:eastAsia="Times New Roman" w:hAnsi="Times New Roman"/>
          <w:sz w:val="20"/>
          <w:szCs w:val="20"/>
          <w:color w:val="auto"/>
        </w:rPr>
      </w:pPr>
    </w:p>
    <w:p>
      <w:pPr>
        <w:jc w:val="both"/>
        <w:ind w:left="1300" w:firstLine="733"/>
        <w:spacing w:after="0" w:line="261" w:lineRule="auto"/>
        <w:tabs>
          <w:tab w:leader="none" w:pos="258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does not engage in, and whose charter, bylaws, operating agreement or similar governing or constitutional document prohibits it from engaging in, any activities other than Permitted Receivables Financings and any activity necessary, incidental or related thereto;</w:t>
      </w:r>
    </w:p>
    <w:p>
      <w:pPr>
        <w:spacing w:after="0" w:line="127" w:lineRule="exact"/>
        <w:rPr>
          <w:rFonts w:ascii="Times New Roman" w:cs="Times New Roman" w:eastAsia="Times New Roman" w:hAnsi="Times New Roman"/>
          <w:sz w:val="20"/>
          <w:szCs w:val="20"/>
          <w:color w:val="auto"/>
        </w:rPr>
      </w:pPr>
    </w:p>
    <w:p>
      <w:pPr>
        <w:jc w:val="both"/>
        <w:ind w:left="1300" w:firstLine="733"/>
        <w:spacing w:after="0" w:line="258" w:lineRule="auto"/>
        <w:tabs>
          <w:tab w:leader="none" w:pos="258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the Indebtedness or any other obligations (contingent or otherwise) of such entity (i) is Guaranteed by the Company or any Restricted Subsidiary, (ii) is recourse to or obligates the Company or any Restricted Subsidiary in any way or (iii) subjects any property or asset of the Company or any Restricted Subsidiary, directly or indirectly, contingently or otherwise, to the satisfaction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bl>
    <w:p>
      <w:pPr>
        <w:sectPr>
          <w:pgSz w:w="11900" w:h="16838" w:orient="portrait"/>
          <w:cols w:equalWidth="0" w:num="1">
            <w:col w:w="11240"/>
          </w:cols>
          <w:pgMar w:left="320" w:top="1440" w:right="339" w:bottom="1440" w:gutter="0" w:footer="0" w:header="0"/>
        </w:sectPr>
      </w:pPr>
    </w:p>
    <w:bookmarkStart w:id="41" w:name="page42"/>
    <w:bookmarkEnd w:id="41"/>
    <w:p>
      <w:pPr>
        <w:spacing w:after="0" w:line="135" w:lineRule="exact"/>
        <w:rPr>
          <w:sz w:val="20"/>
          <w:szCs w:val="20"/>
          <w:color w:val="auto"/>
        </w:rPr>
      </w:pPr>
    </w:p>
    <w:p>
      <w:pPr>
        <w:ind w:left="1300" w:firstLine="733"/>
        <w:spacing w:after="0" w:line="283" w:lineRule="auto"/>
        <w:tabs>
          <w:tab w:leader="none" w:pos="258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which none of the Company nor any Restricted Subsidiary has any obligation to maintain or preserve its financial condition or cause it to achieve certain levels of operating results;</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other than, in respect of clauses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pursuant to customary representations, warranties, covenants and indemnities entered into in connection with a Permitted Receivables Financing.</w:t>
      </w:r>
    </w:p>
    <w:p>
      <w:pPr>
        <w:spacing w:after="0" w:line="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Short Derivative Instrument</w:t>
      </w:r>
      <w:r>
        <w:rPr>
          <w:rFonts w:ascii="Times New Roman" w:cs="Times New Roman" w:eastAsia="Times New Roman" w:hAnsi="Times New Roman"/>
          <w:sz w:val="20"/>
          <w:szCs w:val="20"/>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3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Significant Subsidiary</w:t>
      </w:r>
      <w:r>
        <w:rPr>
          <w:rFonts w:ascii="Times New Roman" w:cs="Times New Roman" w:eastAsia="Times New Roman" w:hAnsi="Times New Roman"/>
          <w:sz w:val="20"/>
          <w:szCs w:val="20"/>
          <w:color w:val="auto"/>
        </w:rPr>
        <w:t xml:space="preserve">” means any Restricted Subsidiary that would be a “significant subsidiary” as defined in Rule 1-02 of Regulation S-X, promulgated pursuant to the Securities Act, as such Regulation is in effect on the date of this Indenture. For purposes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the term “Significant Subsidiary” shall also include any group of Restricted Subsidiaries that together would constitute a Significant Subsidiary. Notwithstanding the foregoing, for purposes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in no event shall any Specified Entity or any of its subsidiaries constitute a “Significant Subsidiary” of the Company unless, as of the relevant time of determination, the Company owns, directly or indirectly, 80% or more of the voting power of the outstanding Capital Stock (other than directors’ qualifying shares) of such Specified Entity or any of its subsidiaries.</w:t>
      </w:r>
    </w:p>
    <w:p>
      <w:pPr>
        <w:spacing w:after="0" w:line="13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Entity</w:t>
      </w:r>
      <w:r>
        <w:rPr>
          <w:rFonts w:ascii="Times New Roman" w:cs="Times New Roman" w:eastAsia="Times New Roman" w:hAnsi="Times New Roman"/>
          <w:sz w:val="20"/>
          <w:szCs w:val="20"/>
          <w:color w:val="auto"/>
        </w:rPr>
        <w:t>” means (1) Cash Converters International, Limited, or its successors and (2) Simple Group Management, Inc., or its successors.</w:t>
      </w:r>
    </w:p>
    <w:p>
      <w:pPr>
        <w:spacing w:after="0" w:line="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Stated Maturity</w:t>
      </w:r>
      <w:r>
        <w:rPr>
          <w:rFonts w:ascii="Times New Roman" w:cs="Times New Roman" w:eastAsia="Times New Roman" w:hAnsi="Times New Roman"/>
          <w:sz w:val="20"/>
          <w:szCs w:val="20"/>
          <w:color w:val="auto"/>
        </w:rPr>
        <w:t xml:space="preserve">” means, with respect to any installment of interest or principal on any series of Indebtedness, the date on which the payment of interest or principal was scheduled to be paid in the documentation governing such Indebtedness as of the first date it was incurred in compliance with the terms of this Indenture, and will not include any contingent obligations to repay, redeem or repurchase any such interest or principal prior to the date originally scheduled for the payment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debt securities that are by their terms convertible into Capital Stock (or cash or a combination of cash and Capital Stock based on the value of the Capital Stock) of the Company, any obligation to offer to repurchase such debt securities on a date(s) specified in the original terms of such securities, which obligation is not subject to any condition or contingency, will be treated as a Stated Maturity date of such convertible debt securities.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specified Person:</w:t>
      </w:r>
    </w:p>
    <w:p>
      <w:pPr>
        <w:spacing w:after="0" w:line="175" w:lineRule="exact"/>
        <w:rPr>
          <w:sz w:val="20"/>
          <w:szCs w:val="20"/>
          <w:color w:val="auto"/>
        </w:rPr>
      </w:pPr>
    </w:p>
    <w:p>
      <w:pPr>
        <w:jc w:val="both"/>
        <w:ind w:left="1300" w:firstLine="733"/>
        <w:spacing w:after="0" w:line="261" w:lineRule="auto"/>
        <w:tabs>
          <w:tab w:leader="none" w:pos="258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corporation, association or other business entity of which more than 50% of the total voting power of shares of its Voting Stock is at the time owned or controlled, directly or indirectly, by that Person or one or more of the other Subsidiaries of that Person (or a combination thereof); or</w:t>
      </w:r>
    </w:p>
    <w:p>
      <w:pPr>
        <w:spacing w:after="0" w:line="127" w:lineRule="exact"/>
        <w:rPr>
          <w:rFonts w:ascii="Times New Roman" w:cs="Times New Roman" w:eastAsia="Times New Roman" w:hAnsi="Times New Roman"/>
          <w:sz w:val="20"/>
          <w:szCs w:val="20"/>
          <w:color w:val="auto"/>
        </w:rPr>
      </w:pPr>
    </w:p>
    <w:p>
      <w:pPr>
        <w:jc w:val="both"/>
        <w:ind w:left="1300" w:firstLine="733"/>
        <w:spacing w:after="0" w:line="253" w:lineRule="auto"/>
        <w:tabs>
          <w:tab w:leader="none" w:pos="258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partnership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(b) such Person or any Subsidiary of such Person is a controlling general partner or otherwise controls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bl>
    <w:p>
      <w:pPr>
        <w:sectPr>
          <w:pgSz w:w="11900" w:h="16838" w:orient="portrait"/>
          <w:cols w:equalWidth="0" w:num="1">
            <w:col w:w="11240"/>
          </w:cols>
          <w:pgMar w:left="320" w:top="1440" w:right="339" w:bottom="1440" w:gutter="0" w:footer="0" w:header="0"/>
        </w:sectPr>
      </w:pPr>
    </w:p>
    <w:bookmarkStart w:id="42" w:name="page43"/>
    <w:bookmarkEnd w:id="42"/>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Texas Pawnshop Act</w:t>
      </w:r>
      <w:r>
        <w:rPr>
          <w:rFonts w:ascii="Times New Roman" w:cs="Times New Roman" w:eastAsia="Times New Roman" w:hAnsi="Times New Roman"/>
          <w:sz w:val="20"/>
          <w:szCs w:val="20"/>
          <w:color w:val="auto"/>
        </w:rPr>
        <w:t>” means Section 371.072 of the Texas Finance Code, as amended.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TIA</w:t>
      </w:r>
      <w:r>
        <w:rPr>
          <w:rFonts w:ascii="Times New Roman" w:cs="Times New Roman" w:eastAsia="Times New Roman" w:hAnsi="Times New Roman"/>
          <w:sz w:val="20"/>
          <w:szCs w:val="20"/>
          <w:color w:val="auto"/>
        </w:rPr>
        <w:t>” means the Trust Indenture Act of 1939, as amended (15 U.S.C. §§ 77aaa-77bbbb).</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Management Arrangement</w:t>
      </w:r>
      <w:r>
        <w:rPr>
          <w:rFonts w:ascii="Times New Roman" w:cs="Times New Roman" w:eastAsia="Times New Roman" w:hAnsi="Times New Roman"/>
          <w:sz w:val="20"/>
          <w:szCs w:val="20"/>
          <w:color w:val="auto"/>
        </w:rPr>
        <w:t>” means any agreement or other arrangement governing the provision of treasury or cash management services, including deposit accounts, overdraft, credit or debit card, funds transfer, automated clearinghouse, zero balance accounts, returned check concentration, controlled disbursement, lockbox, account reconciliation and reporting and trade finance services and other cash management services.</w:t>
      </w:r>
    </w:p>
    <w:p>
      <w:pPr>
        <w:spacing w:after="0" w:line="13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Rate</w:t>
      </w:r>
      <w:r>
        <w:rPr>
          <w:rFonts w:ascii="Times New Roman" w:cs="Times New Roman" w:eastAsia="Times New Roman" w:hAnsi="Times New Roman"/>
          <w:sz w:val="20"/>
          <w:szCs w:val="20"/>
          <w:color w:val="auto"/>
        </w:rPr>
        <w:t xml:space="preserve">” means, as of any redemption date, the yield to maturity as of the earlier of (a) such redemption date or (b) the date on which such Notes are defeased or satisfied and discharged, of the most recently issued United States Treasury securities with a constant maturity (as compiled and published in the most recent Federal Reserve Statistical Release H.15 that has become publicly available at least two Business Days prior to such date (or, if such Statistical Release is no longer published, any publicly available source of similar market data)) most nearly equal to the period from the redemption date to April 1, 2028;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period from the redemption date to April 1, 2028, is less than one year, the weekly average yield on actually traded United States Treasury securities adjusted to a constant maturity of one year will be used. Any such Treasury Rate shall be obtained by the Company. The Company will (1) calculate the Treasury Rate on the second Business Day preceding the applicable redemption date and (2) prior to such redemption date file with the Trustee an Officers’ Certificate setting forth the Applicable Premium and showing the calculation thereof in reasonable detail.</w:t>
      </w:r>
    </w:p>
    <w:p>
      <w:pPr>
        <w:spacing w:after="0" w:line="13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 means Truist Bank, until a successor replaces it in accordance with the applicable provisions of this Indenture and thereafter means the successor serving hereunder.</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Uniform Commercial Code</w:t>
      </w:r>
      <w:r>
        <w:rPr>
          <w:rFonts w:ascii="Times New Roman" w:cs="Times New Roman" w:eastAsia="Times New Roman" w:hAnsi="Times New Roman"/>
          <w:sz w:val="20"/>
          <w:szCs w:val="20"/>
          <w:color w:val="auto"/>
        </w:rPr>
        <w:t>” means the Uniform Commercial Code or any successor provision thereof as the same may from time to time be in effect in the State of New York.</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Definitive Note</w:t>
      </w:r>
      <w:r>
        <w:rPr>
          <w:rFonts w:ascii="Times New Roman" w:cs="Times New Roman" w:eastAsia="Times New Roman" w:hAnsi="Times New Roman"/>
          <w:sz w:val="20"/>
          <w:szCs w:val="20"/>
          <w:color w:val="auto"/>
        </w:rPr>
        <w:t>” means a Definitive Note that does not bear and is not required to bear the Private Placement Legend.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Global Note</w:t>
      </w:r>
      <w:r>
        <w:rPr>
          <w:rFonts w:ascii="Times New Roman" w:cs="Times New Roman" w:eastAsia="Times New Roman" w:hAnsi="Times New Roman"/>
          <w:sz w:val="20"/>
          <w:szCs w:val="20"/>
          <w:color w:val="auto"/>
        </w:rPr>
        <w:t>” means a Global Note that does not bear and is not required to bear the Private Placement Legend.</w:t>
      </w:r>
    </w:p>
    <w:p>
      <w:pPr>
        <w:spacing w:after="0" w:line="16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means any Subsidiary of the Company that is designated by the Board of Directors of the Company as an Unrestricted Subsidiary pursuant to a resolution of the Board of Directors and each Subsidiary of any Subsidiary so designated, but only to the extent that such Subsidiary:</w:t>
      </w:r>
    </w:p>
    <w:p>
      <w:pPr>
        <w:spacing w:after="0" w:line="107" w:lineRule="exact"/>
        <w:rPr>
          <w:sz w:val="20"/>
          <w:szCs w:val="20"/>
          <w:color w:val="auto"/>
        </w:rPr>
      </w:pPr>
    </w:p>
    <w:p>
      <w:pPr>
        <w:ind w:left="1300" w:firstLine="733"/>
        <w:spacing w:after="0" w:line="283" w:lineRule="auto"/>
        <w:tabs>
          <w:tab w:leader="none" w:pos="258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no Indebtedness other than Non-Recourse Debt and other obligations arising by operation of law, including joint and several liability for taxes, ERISA obligations and similar items;</w:t>
      </w:r>
    </w:p>
    <w:p>
      <w:pPr>
        <w:spacing w:after="0" w:line="92" w:lineRule="exact"/>
        <w:rPr>
          <w:rFonts w:ascii="Times New Roman" w:cs="Times New Roman" w:eastAsia="Times New Roman" w:hAnsi="Times New Roman"/>
          <w:sz w:val="20"/>
          <w:szCs w:val="20"/>
          <w:color w:val="auto"/>
        </w:rPr>
      </w:pPr>
    </w:p>
    <w:p>
      <w:pPr>
        <w:jc w:val="both"/>
        <w:ind w:left="1300" w:firstLine="733"/>
        <w:spacing w:after="0" w:line="258" w:lineRule="auto"/>
        <w:tabs>
          <w:tab w:leader="none" w:pos="258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permitted by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is not party to any agreement, contract, arrangement or understanding with the Company or any Restricted Subsidiary thereof unless the terms of any such agreement, contract, arrangement or understanding are no less favorable to the Company or such Restricted Subsidiary than those that might be obtained at the time from Persons who are not Affiliates of the Company; and</w:t>
      </w:r>
    </w:p>
    <w:p>
      <w:pPr>
        <w:spacing w:after="0" w:line="131" w:lineRule="exact"/>
        <w:rPr>
          <w:rFonts w:ascii="Times New Roman" w:cs="Times New Roman" w:eastAsia="Times New Roman" w:hAnsi="Times New Roman"/>
          <w:sz w:val="20"/>
          <w:szCs w:val="20"/>
          <w:color w:val="auto"/>
        </w:rPr>
      </w:pPr>
    </w:p>
    <w:p>
      <w:pPr>
        <w:ind w:left="1300" w:firstLine="733"/>
        <w:spacing w:after="0" w:line="269" w:lineRule="auto"/>
        <w:tabs>
          <w:tab w:leader="none" w:pos="258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Person with respect to which neither the Company nor any of its Restricted Subsidiaries has any direct or indirect obligation (a) to subscribe for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bl>
    <w:p>
      <w:pPr>
        <w:sectPr>
          <w:pgSz w:w="11900" w:h="16838" w:orient="portrait"/>
          <w:cols w:equalWidth="0" w:num="1">
            <w:col w:w="11240"/>
          </w:cols>
          <w:pgMar w:left="320" w:top="1440" w:right="339" w:bottom="1440" w:gutter="0" w:footer="0" w:header="0"/>
        </w:sectPr>
      </w:pPr>
    </w:p>
    <w:bookmarkStart w:id="43" w:name="page44"/>
    <w:bookmarkEnd w:id="43"/>
    <w:p>
      <w:pPr>
        <w:spacing w:after="0" w:line="135" w:lineRule="exact"/>
        <w:rPr>
          <w:sz w:val="20"/>
          <w:szCs w:val="20"/>
          <w:color w:val="auto"/>
        </w:rPr>
      </w:pPr>
    </w:p>
    <w:p>
      <w:pPr>
        <w:ind w:left="1300"/>
        <w:spacing w:after="0" w:line="283" w:lineRule="auto"/>
        <w:rPr>
          <w:sz w:val="20"/>
          <w:szCs w:val="20"/>
          <w:color w:val="auto"/>
        </w:rPr>
      </w:pPr>
      <w:r>
        <w:rPr>
          <w:rFonts w:ascii="Times New Roman" w:cs="Times New Roman" w:eastAsia="Times New Roman" w:hAnsi="Times New Roman"/>
          <w:sz w:val="20"/>
          <w:szCs w:val="20"/>
          <w:color w:val="auto"/>
        </w:rPr>
        <w:t>Equity Interests or (b) to maintain or preserve such Person’s financial condition or to cause such Person to achieve any specified levels of operating results.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 U.S. Person as defined in Rule 902(k) promulgated under the Securities Act.</w:t>
      </w:r>
    </w:p>
    <w:p>
      <w:pPr>
        <w:spacing w:after="0" w:line="17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of any specified Person as of any date means the Capital Stock of such Person that is at the time entitled to vote in the election of the Board of Directors of such Person.</w:t>
      </w:r>
    </w:p>
    <w:p>
      <w:pPr>
        <w:spacing w:after="0" w:line="11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 obtained by dividing:</w:t>
      </w:r>
    </w:p>
    <w:p>
      <w:pPr>
        <w:spacing w:after="0" w:line="92" w:lineRule="exact"/>
        <w:rPr>
          <w:sz w:val="20"/>
          <w:szCs w:val="20"/>
          <w:color w:val="auto"/>
        </w:rPr>
      </w:pPr>
    </w:p>
    <w:p>
      <w:pPr>
        <w:jc w:val="both"/>
        <w:ind w:left="1300" w:firstLine="733"/>
        <w:spacing w:after="0" w:line="258" w:lineRule="auto"/>
        <w:tabs>
          <w:tab w:leader="none" w:pos="258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131" w:lineRule="exact"/>
        <w:rPr>
          <w:rFonts w:ascii="Times New Roman" w:cs="Times New Roman" w:eastAsia="Times New Roman" w:hAnsi="Times New Roman"/>
          <w:sz w:val="20"/>
          <w:szCs w:val="20"/>
          <w:color w:val="auto"/>
        </w:rPr>
      </w:pPr>
    </w:p>
    <w:p>
      <w:pPr>
        <w:ind w:left="2580" w:hanging="547"/>
        <w:spacing w:after="0"/>
        <w:tabs>
          <w:tab w:leader="none" w:pos="25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 outstanding principal amount of such Indebtedness.</w:t>
      </w:r>
    </w:p>
    <w:p>
      <w:pPr>
        <w:spacing w:after="0" w:line="161" w:lineRule="exact"/>
        <w:rPr>
          <w:rFonts w:ascii="Times New Roman" w:cs="Times New Roman" w:eastAsia="Times New Roman" w:hAnsi="Times New Roman"/>
          <w:sz w:val="20"/>
          <w:szCs w:val="20"/>
          <w:color w:val="auto"/>
        </w:rPr>
      </w:pPr>
    </w:p>
    <w:p>
      <w:pPr>
        <w:jc w:val="both"/>
        <w:ind w:left="1300" w:firstLine="733"/>
        <w:spacing w:after="0" w:line="261" w:lineRule="auto"/>
        <w:tabs>
          <w:tab w:leader="none" w:pos="258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 Subsidiary</w:t>
      </w:r>
      <w:r>
        <w:rPr>
          <w:rFonts w:ascii="Times New Roman" w:cs="Times New Roman" w:eastAsia="Times New Roman" w:hAnsi="Times New Roman"/>
          <w:sz w:val="20"/>
          <w:szCs w:val="20"/>
          <w:color w:val="auto"/>
        </w:rPr>
        <w:t>” means any Subsidiary of the Company of which all the outstanding Equity Interests of such Subsidiary (other than directors’ qualifying shares) are owned by the Company and/or one or more Wholly Owned Subsidiaries of the Company.</w:t>
      </w:r>
    </w:p>
    <w:p>
      <w:pPr>
        <w:spacing w:after="0" w:line="10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460" w:type="dxa"/>
            <w:vAlign w:val="bottom"/>
            <w:gridSpan w:val="16"/>
          </w:tcPr>
          <w:p>
            <w:pPr>
              <w:spacing w:after="0"/>
              <w:rPr>
                <w:sz w:val="20"/>
                <w:szCs w:val="20"/>
                <w:color w:val="auto"/>
              </w:rPr>
            </w:pPr>
            <w:r>
              <w:rPr>
                <w:rFonts w:ascii="Times New Roman" w:cs="Times New Roman" w:eastAsia="Times New Roman" w:hAnsi="Times New Roman"/>
                <w:sz w:val="20"/>
                <w:szCs w:val="20"/>
                <w:b w:val="1"/>
                <w:bCs w:val="1"/>
                <w:color w:val="auto"/>
              </w:rPr>
              <w:t>Section 1.02   Other Definitions</w:t>
            </w:r>
            <w:r>
              <w:rPr>
                <w:rFonts w:ascii="Times New Roman" w:cs="Times New Roman" w:eastAsia="Times New Roman" w:hAnsi="Times New Roman"/>
                <w:sz w:val="20"/>
                <w:szCs w:val="20"/>
                <w:color w:val="auto"/>
              </w:rPr>
              <w:t>.</w:t>
            </w: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6"/>
        </w:trPr>
        <w:tc>
          <w:tcPr>
            <w:tcW w:w="13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Term</w:t>
            </w:r>
          </w:p>
        </w:tc>
        <w:tc>
          <w:tcPr>
            <w:tcW w:w="1460" w:type="dxa"/>
            <w:vAlign w:val="bottom"/>
            <w:tcBorders>
              <w:top w:val="single" w:sz="8" w:color="auto"/>
              <w:bottom w:val="single" w:sz="8" w:color="auto"/>
            </w:tcBorders>
            <w:gridSpan w:val="9"/>
          </w:tcPr>
          <w:p>
            <w:pPr>
              <w:spacing w:after="0"/>
              <w:rPr>
                <w:sz w:val="24"/>
                <w:szCs w:val="24"/>
                <w:color w:val="auto"/>
              </w:rPr>
            </w:pPr>
          </w:p>
        </w:tc>
        <w:tc>
          <w:tcPr>
            <w:tcW w:w="2700" w:type="dxa"/>
            <w:vAlign w:val="bottom"/>
            <w:tcBorders>
              <w:bottom w:val="single" w:sz="8" w:color="auto"/>
            </w:tcBorders>
            <w:gridSpan w:val="2"/>
          </w:tcPr>
          <w:p>
            <w:pPr>
              <w:spacing w:after="0"/>
              <w:rPr>
                <w:sz w:val="24"/>
                <w:szCs w:val="24"/>
                <w:color w:val="auto"/>
              </w:rPr>
            </w:pPr>
          </w:p>
        </w:tc>
        <w:tc>
          <w:tcPr>
            <w:tcW w:w="4280" w:type="dxa"/>
            <w:vAlign w:val="bottom"/>
            <w:tcBorders>
              <w:bottom w:val="single" w:sz="8" w:color="auto"/>
            </w:tcBorders>
            <w:gridSpan w:val="5"/>
          </w:tcPr>
          <w:p>
            <w:pPr>
              <w:ind w:left="2580"/>
              <w:spacing w:after="0"/>
              <w:rPr>
                <w:sz w:val="20"/>
                <w:szCs w:val="20"/>
                <w:color w:val="auto"/>
              </w:rPr>
            </w:pPr>
            <w:r>
              <w:rPr>
                <w:rFonts w:ascii="Times New Roman" w:cs="Times New Roman" w:eastAsia="Times New Roman" w:hAnsi="Times New Roman"/>
                <w:sz w:val="20"/>
                <w:szCs w:val="20"/>
                <w:color w:val="auto"/>
              </w:rPr>
              <w:t>Defined in Section</w:t>
            </w:r>
          </w:p>
        </w:tc>
      </w:tr>
      <w:tr>
        <w:trPr>
          <w:trHeight w:val="213"/>
        </w:trPr>
        <w:tc>
          <w:tcPr>
            <w:tcW w:w="5460" w:type="dxa"/>
            <w:vAlign w:val="bottom"/>
            <w:gridSpan w:val="16"/>
          </w:tcPr>
          <w:p>
            <w:pPr>
              <w:ind w:left="60"/>
              <w:spacing w:after="0" w:line="213" w:lineRule="exact"/>
              <w:rPr>
                <w:sz w:val="20"/>
                <w:szCs w:val="20"/>
                <w:color w:val="auto"/>
              </w:rPr>
            </w:pPr>
            <w:r>
              <w:rPr>
                <w:rFonts w:ascii="Times New Roman" w:cs="Times New Roman" w:eastAsia="Times New Roman" w:hAnsi="Times New Roman"/>
                <w:sz w:val="20"/>
                <w:szCs w:val="20"/>
                <w:color w:val="auto"/>
              </w:rPr>
              <w:t>“Affiliate Transaction”</w:t>
            </w:r>
          </w:p>
        </w:tc>
        <w:tc>
          <w:tcPr>
            <w:tcW w:w="3500" w:type="dxa"/>
            <w:vAlign w:val="bottom"/>
            <w:gridSpan w:val="3"/>
          </w:tcPr>
          <w:p>
            <w:pPr>
              <w:jc w:val="center"/>
              <w:ind w:left="3061"/>
              <w:spacing w:after="0" w:line="213" w:lineRule="exact"/>
              <w:rPr>
                <w:sz w:val="20"/>
                <w:szCs w:val="20"/>
                <w:color w:val="auto"/>
              </w:rPr>
            </w:pPr>
            <w:r>
              <w:rPr>
                <w:rFonts w:ascii="Times New Roman" w:cs="Times New Roman" w:eastAsia="Times New Roman" w:hAnsi="Times New Roman"/>
                <w:sz w:val="20"/>
                <w:szCs w:val="20"/>
                <w:color w:val="auto"/>
                <w:w w:val="96"/>
              </w:rPr>
              <w:t>4.</w:t>
            </w:r>
            <w:r>
              <w:rPr>
                <w:rFonts w:ascii="Times New Roman" w:cs="Times New Roman" w:eastAsia="Times New Roman" w:hAnsi="Times New Roman"/>
                <w:sz w:val="20"/>
                <w:szCs w:val="20"/>
                <w:u w:val="single" w:color="auto"/>
                <w:color w:val="auto"/>
                <w:w w:val="96"/>
              </w:rPr>
              <w:t>11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64"/>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“Alternate Offer”</w:t>
            </w:r>
          </w:p>
        </w:tc>
        <w:tc>
          <w:tcPr>
            <w:tcW w:w="3060" w:type="dxa"/>
            <w:vAlign w:val="bottom"/>
          </w:tcPr>
          <w:p>
            <w:pPr>
              <w:spacing w:after="0"/>
              <w:rPr>
                <w:sz w:val="22"/>
                <w:szCs w:val="22"/>
                <w:color w:val="auto"/>
              </w:rPr>
            </w:pPr>
          </w:p>
        </w:tc>
        <w:tc>
          <w:tcPr>
            <w:tcW w:w="1220" w:type="dxa"/>
            <w:vAlign w:val="bottom"/>
            <w:gridSpan w:val="4"/>
          </w:tcPr>
          <w:p>
            <w:pPr>
              <w:jc w:val="center"/>
              <w:ind w:right="660"/>
              <w:spacing w:after="0"/>
              <w:rPr>
                <w:sz w:val="20"/>
                <w:szCs w:val="20"/>
                <w:color w:val="auto"/>
              </w:rPr>
            </w:pPr>
            <w:r>
              <w:rPr>
                <w:rFonts w:ascii="Times New Roman" w:cs="Times New Roman" w:eastAsia="Times New Roman" w:hAnsi="Times New Roman"/>
                <w:sz w:val="20"/>
                <w:szCs w:val="20"/>
                <w:color w:val="auto"/>
                <w:w w:val="95"/>
              </w:rPr>
              <w:t>4.</w:t>
            </w:r>
            <w:r>
              <w:rPr>
                <w:rFonts w:ascii="Times New Roman" w:cs="Times New Roman" w:eastAsia="Times New Roman" w:hAnsi="Times New Roman"/>
                <w:sz w:val="20"/>
                <w:szCs w:val="20"/>
                <w:u w:val="single" w:color="auto"/>
                <w:color w:val="auto"/>
                <w:w w:val="95"/>
              </w:rPr>
              <w:t>15(d)</w:t>
            </w:r>
          </w:p>
        </w:tc>
      </w:tr>
      <w:tr>
        <w:trPr>
          <w:trHeight w:val="27"/>
        </w:trPr>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left w:val="single" w:sz="8" w:color="auto"/>
            </w:tcBorders>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680" w:type="dxa"/>
            <w:vAlign w:val="bottom"/>
          </w:tcPr>
          <w:p>
            <w:pPr>
              <w:spacing w:after="0"/>
              <w:rPr>
                <w:sz w:val="2"/>
                <w:szCs w:val="2"/>
                <w:color w:val="auto"/>
              </w:rPr>
            </w:pPr>
          </w:p>
        </w:tc>
        <w:tc>
          <w:tcPr>
            <w:tcW w:w="30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r>
      <w:tr>
        <w:trPr>
          <w:trHeight w:val="284"/>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“Asset Sale Offer”</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3.</w:t>
            </w:r>
            <w:r>
              <w:rPr>
                <w:rFonts w:ascii="Times New Roman" w:cs="Times New Roman" w:eastAsia="Times New Roman" w:hAnsi="Times New Roman"/>
                <w:sz w:val="20"/>
                <w:szCs w:val="20"/>
                <w:u w:val="single" w:color="auto"/>
                <w:color w:val="auto"/>
                <w:w w:val="96"/>
              </w:rPr>
              <w:t>09</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“Authentication Order”</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2.</w:t>
            </w:r>
            <w:r>
              <w:rPr>
                <w:rFonts w:ascii="Times New Roman" w:cs="Times New Roman" w:eastAsia="Times New Roman" w:hAnsi="Times New Roman"/>
                <w:sz w:val="20"/>
                <w:szCs w:val="20"/>
                <w:u w:val="single" w:color="auto"/>
                <w:color w:val="auto"/>
                <w:w w:val="96"/>
              </w:rPr>
              <w:t>02</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“Change of Control Offer”</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4.</w:t>
            </w:r>
            <w:r>
              <w:rPr>
                <w:rFonts w:ascii="Times New Roman" w:cs="Times New Roman" w:eastAsia="Times New Roman" w:hAnsi="Times New Roman"/>
                <w:sz w:val="20"/>
                <w:szCs w:val="20"/>
                <w:u w:val="single" w:color="auto"/>
                <w:color w:val="auto"/>
                <w:w w:val="96"/>
              </w:rPr>
              <w:t>15</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“Change of Control Payment”</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4.</w:t>
            </w:r>
            <w:r>
              <w:rPr>
                <w:rFonts w:ascii="Times New Roman" w:cs="Times New Roman" w:eastAsia="Times New Roman" w:hAnsi="Times New Roman"/>
                <w:sz w:val="20"/>
                <w:szCs w:val="20"/>
                <w:u w:val="single" w:color="auto"/>
                <w:color w:val="auto"/>
                <w:w w:val="96"/>
              </w:rPr>
              <w:t>15</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“Change of Control Payment Date”</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4.</w:t>
            </w:r>
            <w:r>
              <w:rPr>
                <w:rFonts w:ascii="Times New Roman" w:cs="Times New Roman" w:eastAsia="Times New Roman" w:hAnsi="Times New Roman"/>
                <w:sz w:val="20"/>
                <w:szCs w:val="20"/>
                <w:u w:val="single" w:color="auto"/>
                <w:color w:val="auto"/>
                <w:w w:val="96"/>
              </w:rPr>
              <w:t>15</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760" w:type="dxa"/>
            <w:vAlign w:val="bottom"/>
            <w:tcBorders>
              <w:left w:val="single" w:sz="8" w:color="auto"/>
            </w:tcBorders>
            <w:gridSpan w:val="3"/>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“Covenant Defeasance”</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8.</w:t>
            </w:r>
            <w:r>
              <w:rPr>
                <w:rFonts w:ascii="Times New Roman" w:cs="Times New Roman" w:eastAsia="Times New Roman" w:hAnsi="Times New Roman"/>
                <w:sz w:val="20"/>
                <w:szCs w:val="20"/>
                <w:u w:val="single" w:color="auto"/>
                <w:color w:val="auto"/>
                <w:w w:val="96"/>
              </w:rPr>
              <w:t>03</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760" w:type="dxa"/>
            <w:vAlign w:val="bottom"/>
            <w:tcBorders>
              <w:left w:val="single" w:sz="8" w:color="auto"/>
            </w:tcBorders>
            <w:gridSpan w:val="3"/>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“DTC”</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2.</w:t>
            </w:r>
            <w:r>
              <w:rPr>
                <w:rFonts w:ascii="Times New Roman" w:cs="Times New Roman" w:eastAsia="Times New Roman" w:hAnsi="Times New Roman"/>
                <w:sz w:val="20"/>
                <w:szCs w:val="20"/>
                <w:u w:val="single" w:color="auto"/>
                <w:color w:val="auto"/>
                <w:w w:val="96"/>
              </w:rPr>
              <w:t>03</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“Deemed Date”</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4.</w:t>
            </w:r>
            <w:r>
              <w:rPr>
                <w:rFonts w:ascii="Times New Roman" w:cs="Times New Roman" w:eastAsia="Times New Roman" w:hAnsi="Times New Roman"/>
                <w:sz w:val="20"/>
                <w:szCs w:val="20"/>
                <w:u w:val="single" w:color="auto"/>
                <w:color w:val="auto"/>
                <w:w w:val="96"/>
              </w:rPr>
              <w:t>09</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“Directing Holder”</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6.</w:t>
            </w:r>
            <w:r>
              <w:rPr>
                <w:rFonts w:ascii="Times New Roman" w:cs="Times New Roman" w:eastAsia="Times New Roman" w:hAnsi="Times New Roman"/>
                <w:sz w:val="20"/>
                <w:szCs w:val="20"/>
                <w:u w:val="single" w:color="auto"/>
                <w:color w:val="auto"/>
                <w:w w:val="96"/>
              </w:rPr>
              <w:t>02</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“Election Date”</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4.</w:t>
            </w:r>
            <w:r>
              <w:rPr>
                <w:rFonts w:ascii="Times New Roman" w:cs="Times New Roman" w:eastAsia="Times New Roman" w:hAnsi="Times New Roman"/>
                <w:sz w:val="20"/>
                <w:szCs w:val="20"/>
                <w:u w:val="single" w:color="auto"/>
                <w:color w:val="auto"/>
                <w:w w:val="96"/>
              </w:rPr>
              <w:t>07</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“Event of Default”</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6.</w:t>
            </w:r>
            <w:r>
              <w:rPr>
                <w:rFonts w:ascii="Times New Roman" w:cs="Times New Roman" w:eastAsia="Times New Roman" w:hAnsi="Times New Roman"/>
                <w:sz w:val="20"/>
                <w:szCs w:val="20"/>
                <w:u w:val="single" w:color="auto"/>
                <w:color w:val="auto"/>
                <w:w w:val="96"/>
              </w:rPr>
              <w:t>01</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“Excess Proceeds”</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4.</w:t>
            </w:r>
            <w:r>
              <w:rPr>
                <w:rFonts w:ascii="Times New Roman" w:cs="Times New Roman" w:eastAsia="Times New Roman" w:hAnsi="Times New Roman"/>
                <w:sz w:val="20"/>
                <w:szCs w:val="20"/>
                <w:u w:val="single" w:color="auto"/>
                <w:color w:val="auto"/>
                <w:w w:val="96"/>
              </w:rPr>
              <w:t>10</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“incur”</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4.</w:t>
            </w:r>
            <w:r>
              <w:rPr>
                <w:rFonts w:ascii="Times New Roman" w:cs="Times New Roman" w:eastAsia="Times New Roman" w:hAnsi="Times New Roman"/>
                <w:sz w:val="20"/>
                <w:szCs w:val="20"/>
                <w:u w:val="single" w:color="auto"/>
                <w:color w:val="auto"/>
                <w:w w:val="96"/>
              </w:rPr>
              <w:t>09</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“Increased Amount”</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4.</w:t>
            </w:r>
            <w:r>
              <w:rPr>
                <w:rFonts w:ascii="Times New Roman" w:cs="Times New Roman" w:eastAsia="Times New Roman" w:hAnsi="Times New Roman"/>
                <w:sz w:val="20"/>
                <w:szCs w:val="20"/>
                <w:u w:val="single" w:color="auto"/>
                <w:color w:val="auto"/>
                <w:w w:val="96"/>
              </w:rPr>
              <w:t>12</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32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“Legal Defeasance”</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8.</w:t>
            </w:r>
            <w:r>
              <w:rPr>
                <w:rFonts w:ascii="Times New Roman" w:cs="Times New Roman" w:eastAsia="Times New Roman" w:hAnsi="Times New Roman"/>
                <w:sz w:val="20"/>
                <w:szCs w:val="20"/>
                <w:u w:val="single" w:color="auto"/>
                <w:color w:val="auto"/>
                <w:w w:val="96"/>
              </w:rPr>
              <w:t>02</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32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64"/>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“Limited Condition Transaction”</w:t>
            </w:r>
          </w:p>
        </w:tc>
        <w:tc>
          <w:tcPr>
            <w:tcW w:w="3060" w:type="dxa"/>
            <w:vAlign w:val="bottom"/>
          </w:tcPr>
          <w:p>
            <w:pPr>
              <w:spacing w:after="0"/>
              <w:rPr>
                <w:sz w:val="22"/>
                <w:szCs w:val="22"/>
                <w:color w:val="auto"/>
              </w:rPr>
            </w:pPr>
          </w:p>
        </w:tc>
        <w:tc>
          <w:tcPr>
            <w:tcW w:w="1220" w:type="dxa"/>
            <w:vAlign w:val="bottom"/>
            <w:gridSpan w:val="4"/>
          </w:tcPr>
          <w:p>
            <w:pPr>
              <w:jc w:val="center"/>
              <w:ind w:right="680"/>
              <w:spacing w:after="0"/>
              <w:rPr>
                <w:sz w:val="20"/>
                <w:szCs w:val="20"/>
                <w:color w:val="auto"/>
              </w:rPr>
            </w:pPr>
            <w:r>
              <w:rPr>
                <w:rFonts w:ascii="Times New Roman" w:cs="Times New Roman" w:eastAsia="Times New Roman" w:hAnsi="Times New Roman"/>
                <w:sz w:val="20"/>
                <w:szCs w:val="20"/>
                <w:color w:val="auto"/>
                <w:w w:val="94"/>
              </w:rPr>
              <w:t>1.</w:t>
            </w:r>
            <w:r>
              <w:rPr>
                <w:rFonts w:ascii="Times New Roman" w:cs="Times New Roman" w:eastAsia="Times New Roman" w:hAnsi="Times New Roman"/>
                <w:sz w:val="20"/>
                <w:szCs w:val="20"/>
                <w:u w:val="single" w:color="auto"/>
                <w:color w:val="auto"/>
                <w:w w:val="94"/>
              </w:rPr>
              <w:t>05(a)</w:t>
            </w:r>
          </w:p>
        </w:tc>
      </w:tr>
      <w:tr>
        <w:trPr>
          <w:trHeight w:val="27"/>
        </w:trPr>
        <w:tc>
          <w:tcPr>
            <w:tcW w:w="160" w:type="dxa"/>
            <w:vAlign w:val="bottom"/>
          </w:tcPr>
          <w:p>
            <w:pPr>
              <w:spacing w:after="0"/>
              <w:rPr>
                <w:sz w:val="2"/>
                <w:szCs w:val="2"/>
                <w:color w:val="auto"/>
              </w:rPr>
            </w:pPr>
          </w:p>
        </w:tc>
        <w:tc>
          <w:tcPr>
            <w:tcW w:w="1080" w:type="dxa"/>
            <w:vAlign w:val="bottom"/>
            <w:gridSpan w:val="3"/>
            <w:shd w:val="clear" w:color="auto" w:fill="000000"/>
          </w:tcPr>
          <w:p>
            <w:pPr>
              <w:spacing w:after="0"/>
              <w:rPr>
                <w:sz w:val="2"/>
                <w:szCs w:val="2"/>
                <w:color w:val="auto"/>
              </w:rPr>
            </w:pPr>
          </w:p>
        </w:tc>
        <w:tc>
          <w:tcPr>
            <w:tcW w:w="600" w:type="dxa"/>
            <w:vAlign w:val="bottom"/>
            <w:tcBorders>
              <w:left w:val="single" w:sz="8" w:color="auto"/>
            </w:tcBorders>
            <w:gridSpan w:val="6"/>
            <w:shd w:val="clear" w:color="auto" w:fill="000000"/>
          </w:tcPr>
          <w:p>
            <w:pPr>
              <w:spacing w:after="0"/>
              <w:rPr>
                <w:sz w:val="2"/>
                <w:szCs w:val="2"/>
                <w:color w:val="auto"/>
              </w:rPr>
            </w:pPr>
          </w:p>
        </w:tc>
        <w:tc>
          <w:tcPr>
            <w:tcW w:w="760" w:type="dxa"/>
            <w:vAlign w:val="bottom"/>
            <w:tcBorders>
              <w:left w:val="single" w:sz="8" w:color="auto"/>
            </w:tcBorders>
            <w:gridSpan w:val="3"/>
            <w:shd w:val="clear" w:color="auto" w:fill="000000"/>
          </w:tcPr>
          <w:p>
            <w:pPr>
              <w:spacing w:after="0"/>
              <w:rPr>
                <w:sz w:val="2"/>
                <w:szCs w:val="2"/>
                <w:color w:val="auto"/>
              </w:rPr>
            </w:pPr>
          </w:p>
        </w:tc>
        <w:tc>
          <w:tcPr>
            <w:tcW w:w="2860" w:type="dxa"/>
            <w:vAlign w:val="bottom"/>
            <w:gridSpan w:val="3"/>
          </w:tcPr>
          <w:p>
            <w:pPr>
              <w:spacing w:after="0"/>
              <w:rPr>
                <w:sz w:val="2"/>
                <w:szCs w:val="2"/>
                <w:color w:val="auto"/>
              </w:rPr>
            </w:pPr>
          </w:p>
        </w:tc>
        <w:tc>
          <w:tcPr>
            <w:tcW w:w="3060" w:type="dxa"/>
            <w:vAlign w:val="bottom"/>
          </w:tcPr>
          <w:p>
            <w:pPr>
              <w:spacing w:after="0"/>
              <w:rPr>
                <w:sz w:val="2"/>
                <w:szCs w:val="2"/>
                <w:color w:val="auto"/>
              </w:rPr>
            </w:pPr>
          </w:p>
        </w:tc>
        <w:tc>
          <w:tcPr>
            <w:tcW w:w="540" w:type="dxa"/>
            <w:vAlign w:val="bottom"/>
            <w:gridSpan w:val="3"/>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283"/>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“Noteholder Direction”</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6.</w:t>
            </w:r>
            <w:r>
              <w:rPr>
                <w:rFonts w:ascii="Times New Roman" w:cs="Times New Roman" w:eastAsia="Times New Roman" w:hAnsi="Times New Roman"/>
                <w:sz w:val="20"/>
                <w:szCs w:val="20"/>
                <w:u w:val="single" w:color="auto"/>
                <w:color w:val="auto"/>
                <w:w w:val="96"/>
              </w:rPr>
              <w:t>02</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600" w:type="dxa"/>
            <w:vAlign w:val="bottom"/>
            <w:tcBorders>
              <w:left w:val="single" w:sz="8" w:color="auto"/>
            </w:tcBorders>
            <w:gridSpan w:val="6"/>
            <w:shd w:val="clear" w:color="auto" w:fill="000000"/>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4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rPr>
              <w:t>“Offer Amount”</w:t>
            </w:r>
          </w:p>
        </w:tc>
        <w:tc>
          <w:tcPr>
            <w:tcW w:w="3600" w:type="dxa"/>
            <w:vAlign w:val="bottom"/>
            <w:gridSpan w:val="4"/>
          </w:tcPr>
          <w:p>
            <w:pPr>
              <w:jc w:val="center"/>
              <w:ind w:left="2961"/>
              <w:spacing w:after="0"/>
              <w:rPr>
                <w:sz w:val="20"/>
                <w:szCs w:val="20"/>
                <w:color w:val="auto"/>
              </w:rPr>
            </w:pPr>
            <w:r>
              <w:rPr>
                <w:rFonts w:ascii="Times New Roman" w:cs="Times New Roman" w:eastAsia="Times New Roman" w:hAnsi="Times New Roman"/>
                <w:sz w:val="20"/>
                <w:szCs w:val="20"/>
                <w:color w:val="auto"/>
                <w:w w:val="96"/>
              </w:rPr>
              <w:t>3.</w:t>
            </w:r>
            <w:r>
              <w:rPr>
                <w:rFonts w:ascii="Times New Roman" w:cs="Times New Roman" w:eastAsia="Times New Roman" w:hAnsi="Times New Roman"/>
                <w:sz w:val="20"/>
                <w:szCs w:val="20"/>
                <w:u w:val="single" w:color="auto"/>
                <w:color w:val="auto"/>
                <w:w w:val="96"/>
              </w:rPr>
              <w:t>09</w:t>
            </w:r>
          </w:p>
        </w:tc>
        <w:tc>
          <w:tcPr>
            <w:tcW w:w="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0"/>
        <w:spacing w:after="0"/>
        <w:tabs>
          <w:tab w:leader="none" w:pos="5520" w:val="left"/>
        </w:tabs>
        <w:rPr>
          <w:sz w:val="20"/>
          <w:szCs w:val="20"/>
          <w:color w:val="auto"/>
        </w:rPr>
      </w:pPr>
      <w:r>
        <w:rPr>
          <w:rFonts w:ascii="Times New Roman" w:cs="Times New Roman" w:eastAsia="Times New Roman" w:hAnsi="Times New Roman"/>
          <w:sz w:val="11"/>
          <w:szCs w:val="11"/>
          <w:color w:val="auto"/>
        </w:rPr>
        <w:t>AMERICAS 129712752</w:t>
      </w:r>
      <w:r>
        <w:rPr>
          <w:sz w:val="20"/>
          <w:szCs w:val="20"/>
          <w:color w:val="auto"/>
        </w:rPr>
        <w:tab/>
      </w: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40" w:right="339" w:bottom="1440" w:gutter="0" w:footer="0" w:header="0"/>
          <w:type w:val="continuous"/>
        </w:sectPr>
      </w:pPr>
    </w:p>
    <w:bookmarkStart w:id="44" w:name="page45"/>
    <w:bookmarkEnd w:id="44"/>
    <w:p>
      <w:pPr>
        <w:spacing w:after="0" w:line="171"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54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“Offer Period”</w:t>
            </w:r>
          </w:p>
        </w:tc>
        <w:tc>
          <w:tcPr>
            <w:tcW w:w="3580" w:type="dxa"/>
            <w:vAlign w:val="bottom"/>
            <w:gridSpan w:val="5"/>
          </w:tcPr>
          <w:p>
            <w:pPr>
              <w:jc w:val="center"/>
              <w:ind w:left="2941"/>
              <w:spacing w:after="0"/>
              <w:rPr>
                <w:sz w:val="20"/>
                <w:szCs w:val="20"/>
                <w:color w:val="auto"/>
              </w:rPr>
            </w:pPr>
            <w:r>
              <w:rPr>
                <w:rFonts w:ascii="Times New Roman" w:cs="Times New Roman" w:eastAsia="Times New Roman" w:hAnsi="Times New Roman"/>
                <w:sz w:val="20"/>
                <w:szCs w:val="20"/>
                <w:color w:val="auto"/>
                <w:w w:val="96"/>
              </w:rPr>
              <w:t>3.</w:t>
            </w:r>
            <w:r>
              <w:rPr>
                <w:rFonts w:ascii="Times New Roman" w:cs="Times New Roman" w:eastAsia="Times New Roman" w:hAnsi="Times New Roman"/>
                <w:sz w:val="20"/>
                <w:szCs w:val="20"/>
                <w:u w:val="single" w:color="auto"/>
                <w:color w:val="auto"/>
                <w:w w:val="96"/>
              </w:rPr>
              <w:t>09</w:t>
            </w:r>
          </w:p>
        </w:tc>
        <w:tc>
          <w:tcPr>
            <w:tcW w:w="260" w:type="dxa"/>
            <w:vAlign w:val="bottom"/>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54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“Paying Agent”</w:t>
            </w:r>
          </w:p>
        </w:tc>
        <w:tc>
          <w:tcPr>
            <w:tcW w:w="3580" w:type="dxa"/>
            <w:vAlign w:val="bottom"/>
            <w:gridSpan w:val="5"/>
          </w:tcPr>
          <w:p>
            <w:pPr>
              <w:jc w:val="center"/>
              <w:ind w:left="2941"/>
              <w:spacing w:after="0"/>
              <w:rPr>
                <w:sz w:val="20"/>
                <w:szCs w:val="20"/>
                <w:color w:val="auto"/>
              </w:rPr>
            </w:pPr>
            <w:r>
              <w:rPr>
                <w:rFonts w:ascii="Times New Roman" w:cs="Times New Roman" w:eastAsia="Times New Roman" w:hAnsi="Times New Roman"/>
                <w:sz w:val="20"/>
                <w:szCs w:val="20"/>
                <w:color w:val="auto"/>
                <w:w w:val="96"/>
              </w:rPr>
              <w:t>2.</w:t>
            </w:r>
            <w:r>
              <w:rPr>
                <w:rFonts w:ascii="Times New Roman" w:cs="Times New Roman" w:eastAsia="Times New Roman" w:hAnsi="Times New Roman"/>
                <w:sz w:val="20"/>
                <w:szCs w:val="20"/>
                <w:u w:val="single" w:color="auto"/>
                <w:color w:val="auto"/>
                <w:w w:val="96"/>
              </w:rPr>
              <w:t>03</w:t>
            </w:r>
          </w:p>
        </w:tc>
        <w:tc>
          <w:tcPr>
            <w:tcW w:w="2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54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“Payment Default”</w:t>
            </w:r>
          </w:p>
        </w:tc>
        <w:tc>
          <w:tcPr>
            <w:tcW w:w="3580" w:type="dxa"/>
            <w:vAlign w:val="bottom"/>
            <w:gridSpan w:val="5"/>
          </w:tcPr>
          <w:p>
            <w:pPr>
              <w:jc w:val="center"/>
              <w:ind w:left="2941"/>
              <w:spacing w:after="0"/>
              <w:rPr>
                <w:sz w:val="20"/>
                <w:szCs w:val="20"/>
                <w:color w:val="auto"/>
              </w:rPr>
            </w:pPr>
            <w:r>
              <w:rPr>
                <w:rFonts w:ascii="Times New Roman" w:cs="Times New Roman" w:eastAsia="Times New Roman" w:hAnsi="Times New Roman"/>
                <w:sz w:val="20"/>
                <w:szCs w:val="20"/>
                <w:color w:val="auto"/>
                <w:w w:val="96"/>
              </w:rPr>
              <w:t>6.</w:t>
            </w:r>
            <w:r>
              <w:rPr>
                <w:rFonts w:ascii="Times New Roman" w:cs="Times New Roman" w:eastAsia="Times New Roman" w:hAnsi="Times New Roman"/>
                <w:sz w:val="20"/>
                <w:szCs w:val="20"/>
                <w:u w:val="single" w:color="auto"/>
                <w:color w:val="auto"/>
                <w:w w:val="96"/>
              </w:rPr>
              <w:t>01</w:t>
            </w:r>
          </w:p>
        </w:tc>
        <w:tc>
          <w:tcPr>
            <w:tcW w:w="2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54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“Permitted Debt”</w:t>
            </w:r>
          </w:p>
        </w:tc>
        <w:tc>
          <w:tcPr>
            <w:tcW w:w="3580" w:type="dxa"/>
            <w:vAlign w:val="bottom"/>
            <w:gridSpan w:val="5"/>
          </w:tcPr>
          <w:p>
            <w:pPr>
              <w:jc w:val="center"/>
              <w:ind w:left="2941"/>
              <w:spacing w:after="0"/>
              <w:rPr>
                <w:sz w:val="20"/>
                <w:szCs w:val="20"/>
                <w:color w:val="auto"/>
              </w:rPr>
            </w:pPr>
            <w:r>
              <w:rPr>
                <w:rFonts w:ascii="Times New Roman" w:cs="Times New Roman" w:eastAsia="Times New Roman" w:hAnsi="Times New Roman"/>
                <w:sz w:val="20"/>
                <w:szCs w:val="20"/>
                <w:color w:val="auto"/>
                <w:w w:val="96"/>
              </w:rPr>
              <w:t>4.</w:t>
            </w:r>
            <w:r>
              <w:rPr>
                <w:rFonts w:ascii="Times New Roman" w:cs="Times New Roman" w:eastAsia="Times New Roman" w:hAnsi="Times New Roman"/>
                <w:sz w:val="20"/>
                <w:szCs w:val="20"/>
                <w:u w:val="single" w:color="auto"/>
                <w:color w:val="auto"/>
                <w:w w:val="96"/>
              </w:rPr>
              <w:t>09</w:t>
            </w:r>
          </w:p>
        </w:tc>
        <w:tc>
          <w:tcPr>
            <w:tcW w:w="2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54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“Performance References”</w:t>
            </w:r>
          </w:p>
        </w:tc>
        <w:tc>
          <w:tcPr>
            <w:tcW w:w="3580" w:type="dxa"/>
            <w:vAlign w:val="bottom"/>
            <w:gridSpan w:val="5"/>
          </w:tcPr>
          <w:p>
            <w:pPr>
              <w:jc w:val="center"/>
              <w:ind w:left="2941"/>
              <w:spacing w:after="0"/>
              <w:rPr>
                <w:sz w:val="20"/>
                <w:szCs w:val="20"/>
                <w:color w:val="auto"/>
              </w:rPr>
            </w:pPr>
            <w:r>
              <w:rPr>
                <w:rFonts w:ascii="Times New Roman" w:cs="Times New Roman" w:eastAsia="Times New Roman" w:hAnsi="Times New Roman"/>
                <w:sz w:val="20"/>
                <w:szCs w:val="20"/>
                <w:color w:val="auto"/>
                <w:w w:val="96"/>
              </w:rPr>
              <w:t>1.</w:t>
            </w:r>
            <w:r>
              <w:rPr>
                <w:rFonts w:ascii="Times New Roman" w:cs="Times New Roman" w:eastAsia="Times New Roman" w:hAnsi="Times New Roman"/>
                <w:sz w:val="20"/>
                <w:szCs w:val="20"/>
                <w:u w:val="single" w:color="auto"/>
                <w:color w:val="auto"/>
                <w:w w:val="96"/>
              </w:rPr>
              <w:t>01</w:t>
            </w:r>
          </w:p>
        </w:tc>
        <w:tc>
          <w:tcPr>
            <w:tcW w:w="2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54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“Position Representation”</w:t>
            </w:r>
          </w:p>
        </w:tc>
        <w:tc>
          <w:tcPr>
            <w:tcW w:w="3580" w:type="dxa"/>
            <w:vAlign w:val="bottom"/>
            <w:gridSpan w:val="5"/>
          </w:tcPr>
          <w:p>
            <w:pPr>
              <w:jc w:val="center"/>
              <w:ind w:left="2941"/>
              <w:spacing w:after="0"/>
              <w:rPr>
                <w:sz w:val="20"/>
                <w:szCs w:val="20"/>
                <w:color w:val="auto"/>
              </w:rPr>
            </w:pPr>
            <w:r>
              <w:rPr>
                <w:rFonts w:ascii="Times New Roman" w:cs="Times New Roman" w:eastAsia="Times New Roman" w:hAnsi="Times New Roman"/>
                <w:sz w:val="20"/>
                <w:szCs w:val="20"/>
                <w:color w:val="auto"/>
                <w:w w:val="96"/>
              </w:rPr>
              <w:t>6.</w:t>
            </w:r>
            <w:r>
              <w:rPr>
                <w:rFonts w:ascii="Times New Roman" w:cs="Times New Roman" w:eastAsia="Times New Roman" w:hAnsi="Times New Roman"/>
                <w:sz w:val="20"/>
                <w:szCs w:val="20"/>
                <w:u w:val="single" w:color="auto"/>
                <w:color w:val="auto"/>
                <w:w w:val="96"/>
              </w:rPr>
              <w:t>02</w:t>
            </w:r>
          </w:p>
        </w:tc>
        <w:tc>
          <w:tcPr>
            <w:tcW w:w="2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54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“Purchase Date”</w:t>
            </w:r>
          </w:p>
        </w:tc>
        <w:tc>
          <w:tcPr>
            <w:tcW w:w="3580" w:type="dxa"/>
            <w:vAlign w:val="bottom"/>
            <w:gridSpan w:val="5"/>
          </w:tcPr>
          <w:p>
            <w:pPr>
              <w:jc w:val="center"/>
              <w:ind w:left="2941"/>
              <w:spacing w:after="0"/>
              <w:rPr>
                <w:sz w:val="20"/>
                <w:szCs w:val="20"/>
                <w:color w:val="auto"/>
              </w:rPr>
            </w:pPr>
            <w:r>
              <w:rPr>
                <w:rFonts w:ascii="Times New Roman" w:cs="Times New Roman" w:eastAsia="Times New Roman" w:hAnsi="Times New Roman"/>
                <w:sz w:val="20"/>
                <w:szCs w:val="20"/>
                <w:color w:val="auto"/>
                <w:w w:val="96"/>
              </w:rPr>
              <w:t>3.</w:t>
            </w:r>
            <w:r>
              <w:rPr>
                <w:rFonts w:ascii="Times New Roman" w:cs="Times New Roman" w:eastAsia="Times New Roman" w:hAnsi="Times New Roman"/>
                <w:sz w:val="20"/>
                <w:szCs w:val="20"/>
                <w:u w:val="single" w:color="auto"/>
                <w:color w:val="auto"/>
                <w:w w:val="96"/>
              </w:rPr>
              <w:t>09</w:t>
            </w:r>
          </w:p>
        </w:tc>
        <w:tc>
          <w:tcPr>
            <w:tcW w:w="2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54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“Qualified Reporting Subsidiary”</w:t>
            </w:r>
          </w:p>
        </w:tc>
        <w:tc>
          <w:tcPr>
            <w:tcW w:w="2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4"/>
          </w:tcPr>
          <w:p>
            <w:pPr>
              <w:jc w:val="center"/>
              <w:ind w:right="260"/>
              <w:spacing w:after="0"/>
              <w:rPr>
                <w:sz w:val="20"/>
                <w:szCs w:val="20"/>
                <w:color w:val="auto"/>
              </w:rPr>
            </w:pPr>
            <w:r>
              <w:rPr>
                <w:rFonts w:ascii="Times New Roman" w:cs="Times New Roman" w:eastAsia="Times New Roman" w:hAnsi="Times New Roman"/>
                <w:sz w:val="20"/>
                <w:szCs w:val="20"/>
                <w:color w:val="auto"/>
                <w:w w:val="97"/>
              </w:rPr>
              <w:t>4.</w:t>
            </w:r>
            <w:r>
              <w:rPr>
                <w:rFonts w:ascii="Times New Roman" w:cs="Times New Roman" w:eastAsia="Times New Roman" w:hAnsi="Times New Roman"/>
                <w:sz w:val="20"/>
                <w:szCs w:val="20"/>
                <w:u w:val="single" w:color="auto"/>
                <w:color w:val="auto"/>
                <w:w w:val="97"/>
              </w:rPr>
              <w:t>03(a)</w:t>
            </w:r>
          </w:p>
        </w:tc>
      </w:tr>
      <w:tr>
        <w:trPr>
          <w:trHeight w:val="27"/>
        </w:trPr>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gridSpan w:val="5"/>
            <w:shd w:val="clear" w:color="auto" w:fill="000000"/>
          </w:tcPr>
          <w:p>
            <w:pPr>
              <w:spacing w:after="0"/>
              <w:rPr>
                <w:sz w:val="2"/>
                <w:szCs w:val="2"/>
                <w:color w:val="auto"/>
              </w:rPr>
            </w:pPr>
          </w:p>
        </w:tc>
        <w:tc>
          <w:tcPr>
            <w:tcW w:w="160" w:type="dxa"/>
            <w:vAlign w:val="bottom"/>
            <w:gridSpan w:val="2"/>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gridSpan w:val="2"/>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gridSpan w:val="3"/>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84"/>
        </w:trPr>
        <w:tc>
          <w:tcPr>
            <w:tcW w:w="54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“Registrar”</w:t>
            </w:r>
          </w:p>
        </w:tc>
        <w:tc>
          <w:tcPr>
            <w:tcW w:w="3580" w:type="dxa"/>
            <w:vAlign w:val="bottom"/>
            <w:gridSpan w:val="5"/>
          </w:tcPr>
          <w:p>
            <w:pPr>
              <w:jc w:val="center"/>
              <w:ind w:left="2941"/>
              <w:spacing w:after="0"/>
              <w:rPr>
                <w:sz w:val="20"/>
                <w:szCs w:val="20"/>
                <w:color w:val="auto"/>
              </w:rPr>
            </w:pPr>
            <w:r>
              <w:rPr>
                <w:rFonts w:ascii="Times New Roman" w:cs="Times New Roman" w:eastAsia="Times New Roman" w:hAnsi="Times New Roman"/>
                <w:sz w:val="20"/>
                <w:szCs w:val="20"/>
                <w:color w:val="auto"/>
                <w:w w:val="96"/>
              </w:rPr>
              <w:t>2.</w:t>
            </w:r>
            <w:r>
              <w:rPr>
                <w:rFonts w:ascii="Times New Roman" w:cs="Times New Roman" w:eastAsia="Times New Roman" w:hAnsi="Times New Roman"/>
                <w:sz w:val="20"/>
                <w:szCs w:val="20"/>
                <w:u w:val="single" w:color="auto"/>
                <w:color w:val="auto"/>
                <w:w w:val="96"/>
              </w:rPr>
              <w:t>03</w:t>
            </w:r>
          </w:p>
        </w:tc>
        <w:tc>
          <w:tcPr>
            <w:tcW w:w="2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54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“Restricted Payments”</w:t>
            </w:r>
          </w:p>
        </w:tc>
        <w:tc>
          <w:tcPr>
            <w:tcW w:w="3580" w:type="dxa"/>
            <w:vAlign w:val="bottom"/>
            <w:gridSpan w:val="5"/>
          </w:tcPr>
          <w:p>
            <w:pPr>
              <w:jc w:val="center"/>
              <w:ind w:left="2941"/>
              <w:spacing w:after="0"/>
              <w:rPr>
                <w:sz w:val="20"/>
                <w:szCs w:val="20"/>
                <w:color w:val="auto"/>
              </w:rPr>
            </w:pPr>
            <w:r>
              <w:rPr>
                <w:rFonts w:ascii="Times New Roman" w:cs="Times New Roman" w:eastAsia="Times New Roman" w:hAnsi="Times New Roman"/>
                <w:sz w:val="20"/>
                <w:szCs w:val="20"/>
                <w:color w:val="auto"/>
                <w:w w:val="96"/>
              </w:rPr>
              <w:t>4.</w:t>
            </w:r>
            <w:r>
              <w:rPr>
                <w:rFonts w:ascii="Times New Roman" w:cs="Times New Roman" w:eastAsia="Times New Roman" w:hAnsi="Times New Roman"/>
                <w:sz w:val="20"/>
                <w:szCs w:val="20"/>
                <w:u w:val="single" w:color="auto"/>
                <w:color w:val="auto"/>
                <w:w w:val="96"/>
              </w:rPr>
              <w:t>07</w:t>
            </w:r>
          </w:p>
        </w:tc>
        <w:tc>
          <w:tcPr>
            <w:tcW w:w="2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220" w:type="dxa"/>
            <w:vAlign w:val="bottom"/>
            <w:gridSpan w:val="6"/>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54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“Reversion Date”</w:t>
            </w:r>
          </w:p>
        </w:tc>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4"/>
          </w:tcPr>
          <w:p>
            <w:pPr>
              <w:jc w:val="center"/>
              <w:ind w:right="260"/>
              <w:spacing w:after="0"/>
              <w:rPr>
                <w:sz w:val="20"/>
                <w:szCs w:val="20"/>
                <w:color w:val="auto"/>
              </w:rPr>
            </w:pPr>
            <w:r>
              <w:rPr>
                <w:rFonts w:ascii="Times New Roman" w:cs="Times New Roman" w:eastAsia="Times New Roman" w:hAnsi="Times New Roman"/>
                <w:sz w:val="20"/>
                <w:szCs w:val="20"/>
                <w:color w:val="auto"/>
                <w:w w:val="97"/>
              </w:rPr>
              <w:t>4.</w:t>
            </w:r>
            <w:r>
              <w:rPr>
                <w:rFonts w:ascii="Times New Roman" w:cs="Times New Roman" w:eastAsia="Times New Roman" w:hAnsi="Times New Roman"/>
                <w:sz w:val="20"/>
                <w:szCs w:val="20"/>
                <w:u w:val="single" w:color="auto"/>
                <w:color w:val="auto"/>
                <w:w w:val="97"/>
              </w:rPr>
              <w:t>20(c)</w:t>
            </w:r>
          </w:p>
        </w:tc>
      </w:tr>
      <w:tr>
        <w:trPr>
          <w:trHeight w:val="20"/>
        </w:trPr>
        <w:tc>
          <w:tcPr>
            <w:tcW w:w="100" w:type="dxa"/>
            <w:vAlign w:val="bottom"/>
          </w:tcPr>
          <w:p>
            <w:pPr>
              <w:spacing w:after="0" w:line="20" w:lineRule="exact"/>
              <w:rPr>
                <w:sz w:val="1"/>
                <w:szCs w:val="1"/>
                <w:color w:val="auto"/>
              </w:rPr>
            </w:pPr>
          </w:p>
        </w:tc>
        <w:tc>
          <w:tcPr>
            <w:tcW w:w="1220" w:type="dxa"/>
            <w:vAlign w:val="bottom"/>
            <w:gridSpan w:val="6"/>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54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“Successor Person”</w:t>
            </w:r>
          </w:p>
        </w:tc>
        <w:tc>
          <w:tcPr>
            <w:tcW w:w="3840" w:type="dxa"/>
            <w:vAlign w:val="bottom"/>
            <w:gridSpan w:val="6"/>
          </w:tcPr>
          <w:p>
            <w:pPr>
              <w:jc w:val="center"/>
              <w:ind w:left="2681"/>
              <w:spacing w:after="0"/>
              <w:rPr>
                <w:sz w:val="20"/>
                <w:szCs w:val="20"/>
                <w:color w:val="auto"/>
              </w:rPr>
            </w:pPr>
            <w:r>
              <w:rPr>
                <w:rFonts w:ascii="Times New Roman" w:cs="Times New Roman" w:eastAsia="Times New Roman" w:hAnsi="Times New Roman"/>
                <w:sz w:val="20"/>
                <w:szCs w:val="20"/>
                <w:color w:val="auto"/>
                <w:w w:val="98"/>
              </w:rPr>
              <w:t>5.</w:t>
            </w:r>
            <w:r>
              <w:rPr>
                <w:rFonts w:ascii="Times New Roman" w:cs="Times New Roman" w:eastAsia="Times New Roman" w:hAnsi="Times New Roman"/>
                <w:sz w:val="20"/>
                <w:szCs w:val="20"/>
                <w:u w:val="single" w:color="auto"/>
                <w:color w:val="auto"/>
                <w:w w:val="98"/>
              </w:rPr>
              <w:t>01(a)(1)(B)</w:t>
            </w:r>
          </w:p>
        </w:tc>
      </w:tr>
      <w:tr>
        <w:trPr>
          <w:trHeight w:val="27"/>
        </w:trPr>
        <w:tc>
          <w:tcPr>
            <w:tcW w:w="100" w:type="dxa"/>
            <w:vAlign w:val="bottom"/>
          </w:tcPr>
          <w:p>
            <w:pPr>
              <w:spacing w:after="0"/>
              <w:rPr>
                <w:sz w:val="2"/>
                <w:szCs w:val="2"/>
                <w:color w:val="auto"/>
              </w:rPr>
            </w:pPr>
          </w:p>
        </w:tc>
        <w:tc>
          <w:tcPr>
            <w:tcW w:w="1380" w:type="dxa"/>
            <w:vAlign w:val="bottom"/>
            <w:gridSpan w:val="8"/>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3060" w:type="dxa"/>
            <w:vAlign w:val="bottom"/>
            <w:gridSpan w:val="2"/>
          </w:tcPr>
          <w:p>
            <w:pPr>
              <w:spacing w:after="0"/>
              <w:rPr>
                <w:sz w:val="2"/>
                <w:szCs w:val="2"/>
                <w:color w:val="auto"/>
              </w:rPr>
            </w:pPr>
          </w:p>
        </w:tc>
        <w:tc>
          <w:tcPr>
            <w:tcW w:w="2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gridSpan w:val="3"/>
            <w:shd w:val="clear" w:color="auto" w:fill="000000"/>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r>
      <w:tr>
        <w:trPr>
          <w:trHeight w:val="283"/>
        </w:trPr>
        <w:tc>
          <w:tcPr>
            <w:tcW w:w="54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“Suspended Covenants”</w:t>
            </w:r>
          </w:p>
        </w:tc>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4"/>
          </w:tcPr>
          <w:p>
            <w:pPr>
              <w:jc w:val="center"/>
              <w:ind w:right="260"/>
              <w:spacing w:after="0"/>
              <w:rPr>
                <w:sz w:val="20"/>
                <w:szCs w:val="20"/>
                <w:color w:val="auto"/>
              </w:rPr>
            </w:pPr>
            <w:r>
              <w:rPr>
                <w:rFonts w:ascii="Times New Roman" w:cs="Times New Roman" w:eastAsia="Times New Roman" w:hAnsi="Times New Roman"/>
                <w:sz w:val="20"/>
                <w:szCs w:val="20"/>
                <w:color w:val="auto"/>
                <w:w w:val="97"/>
              </w:rPr>
              <w:t>4.</w:t>
            </w:r>
            <w:r>
              <w:rPr>
                <w:rFonts w:ascii="Times New Roman" w:cs="Times New Roman" w:eastAsia="Times New Roman" w:hAnsi="Times New Roman"/>
                <w:sz w:val="20"/>
                <w:szCs w:val="20"/>
                <w:u w:val="single" w:color="auto"/>
                <w:color w:val="auto"/>
                <w:w w:val="97"/>
              </w:rPr>
              <w:t>20(a)</w:t>
            </w:r>
          </w:p>
        </w:tc>
      </w:tr>
      <w:tr>
        <w:trPr>
          <w:trHeight w:val="20"/>
        </w:trPr>
        <w:tc>
          <w:tcPr>
            <w:tcW w:w="100" w:type="dxa"/>
            <w:vAlign w:val="bottom"/>
          </w:tcPr>
          <w:p>
            <w:pPr>
              <w:spacing w:after="0" w:line="20" w:lineRule="exact"/>
              <w:rPr>
                <w:sz w:val="1"/>
                <w:szCs w:val="1"/>
                <w:color w:val="auto"/>
              </w:rPr>
            </w:pPr>
          </w:p>
        </w:tc>
        <w:tc>
          <w:tcPr>
            <w:tcW w:w="1460" w:type="dxa"/>
            <w:vAlign w:val="bottom"/>
            <w:gridSpan w:val="9"/>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54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“Suspension Period”</w:t>
            </w:r>
          </w:p>
        </w:tc>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4"/>
          </w:tcPr>
          <w:p>
            <w:pPr>
              <w:jc w:val="center"/>
              <w:ind w:right="240"/>
              <w:spacing w:after="0"/>
              <w:rPr>
                <w:sz w:val="20"/>
                <w:szCs w:val="20"/>
                <w:color w:val="auto"/>
              </w:rPr>
            </w:pPr>
            <w:r>
              <w:rPr>
                <w:rFonts w:ascii="Times New Roman" w:cs="Times New Roman" w:eastAsia="Times New Roman" w:hAnsi="Times New Roman"/>
                <w:sz w:val="20"/>
                <w:szCs w:val="20"/>
                <w:color w:val="auto"/>
                <w:w w:val="99"/>
              </w:rPr>
              <w:t>4.</w:t>
            </w:r>
            <w:r>
              <w:rPr>
                <w:rFonts w:ascii="Times New Roman" w:cs="Times New Roman" w:eastAsia="Times New Roman" w:hAnsi="Times New Roman"/>
                <w:sz w:val="20"/>
                <w:szCs w:val="20"/>
                <w:u w:val="single" w:color="auto"/>
                <w:color w:val="auto"/>
                <w:w w:val="99"/>
              </w:rPr>
              <w:t>20(b)</w:t>
            </w:r>
          </w:p>
        </w:tc>
      </w:tr>
      <w:tr>
        <w:trPr>
          <w:trHeight w:val="20"/>
        </w:trPr>
        <w:tc>
          <w:tcPr>
            <w:tcW w:w="100" w:type="dxa"/>
            <w:vAlign w:val="bottom"/>
          </w:tcPr>
          <w:p>
            <w:pPr>
              <w:spacing w:after="0" w:line="20" w:lineRule="exact"/>
              <w:rPr>
                <w:sz w:val="1"/>
                <w:szCs w:val="1"/>
                <w:color w:val="auto"/>
              </w:rPr>
            </w:pPr>
          </w:p>
        </w:tc>
        <w:tc>
          <w:tcPr>
            <w:tcW w:w="1460" w:type="dxa"/>
            <w:vAlign w:val="bottom"/>
            <w:gridSpan w:val="9"/>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r>
      <w:tr>
        <w:trPr>
          <w:trHeight w:val="264"/>
        </w:trPr>
        <w:tc>
          <w:tcPr>
            <w:tcW w:w="54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“Transaction Agreement Date”</w:t>
            </w:r>
          </w:p>
        </w:tc>
        <w:tc>
          <w:tcPr>
            <w:tcW w:w="3580" w:type="dxa"/>
            <w:vAlign w:val="bottom"/>
            <w:gridSpan w:val="5"/>
          </w:tcPr>
          <w:p>
            <w:pPr>
              <w:jc w:val="center"/>
              <w:ind w:left="2941"/>
              <w:spacing w:after="0"/>
              <w:rPr>
                <w:sz w:val="20"/>
                <w:szCs w:val="20"/>
                <w:color w:val="auto"/>
              </w:rPr>
            </w:pPr>
            <w:r>
              <w:rPr>
                <w:rFonts w:ascii="Times New Roman" w:cs="Times New Roman" w:eastAsia="Times New Roman" w:hAnsi="Times New Roman"/>
                <w:sz w:val="20"/>
                <w:szCs w:val="20"/>
                <w:color w:val="auto"/>
                <w:w w:val="96"/>
              </w:rPr>
              <w:t>1.</w:t>
            </w:r>
            <w:r>
              <w:rPr>
                <w:rFonts w:ascii="Times New Roman" w:cs="Times New Roman" w:eastAsia="Times New Roman" w:hAnsi="Times New Roman"/>
                <w:sz w:val="20"/>
                <w:szCs w:val="20"/>
                <w:u w:val="single" w:color="auto"/>
                <w:color w:val="auto"/>
                <w:w w:val="96"/>
              </w:rPr>
              <w:t>05</w:t>
            </w:r>
          </w:p>
        </w:tc>
        <w:tc>
          <w:tcPr>
            <w:tcW w:w="260" w:type="dxa"/>
            <w:vAlign w:val="bottom"/>
          </w:tcPr>
          <w:p>
            <w:pPr>
              <w:spacing w:after="0"/>
              <w:rPr>
                <w:sz w:val="22"/>
                <w:szCs w:val="22"/>
                <w:color w:val="auto"/>
              </w:rPr>
            </w:pPr>
          </w:p>
        </w:tc>
      </w:tr>
      <w:tr>
        <w:trPr>
          <w:trHeight w:val="27"/>
        </w:trPr>
        <w:tc>
          <w:tcPr>
            <w:tcW w:w="100" w:type="dxa"/>
            <w:vAlign w:val="bottom"/>
          </w:tcPr>
          <w:p>
            <w:pPr>
              <w:spacing w:after="0"/>
              <w:rPr>
                <w:sz w:val="2"/>
                <w:szCs w:val="2"/>
                <w:color w:val="auto"/>
              </w:rPr>
            </w:pPr>
          </w:p>
        </w:tc>
        <w:tc>
          <w:tcPr>
            <w:tcW w:w="1740" w:type="dxa"/>
            <w:vAlign w:val="bottom"/>
            <w:gridSpan w:val="11"/>
            <w:shd w:val="clear" w:color="auto" w:fill="000000"/>
          </w:tcPr>
          <w:p>
            <w:pPr>
              <w:spacing w:after="0"/>
              <w:rPr>
                <w:sz w:val="2"/>
                <w:szCs w:val="2"/>
                <w:color w:val="auto"/>
              </w:rPr>
            </w:pPr>
          </w:p>
        </w:tc>
        <w:tc>
          <w:tcPr>
            <w:tcW w:w="520" w:type="dxa"/>
            <w:vAlign w:val="bottom"/>
            <w:gridSpan w:val="2"/>
            <w:shd w:val="clear" w:color="auto" w:fill="000000"/>
          </w:tcPr>
          <w:p>
            <w:pPr>
              <w:spacing w:after="0"/>
              <w:rPr>
                <w:sz w:val="2"/>
                <w:szCs w:val="2"/>
                <w:color w:val="auto"/>
              </w:rPr>
            </w:pPr>
          </w:p>
        </w:tc>
        <w:tc>
          <w:tcPr>
            <w:tcW w:w="3060" w:type="dxa"/>
            <w:vAlign w:val="bottom"/>
            <w:gridSpan w:val="2"/>
          </w:tcPr>
          <w:p>
            <w:pPr>
              <w:spacing w:after="0"/>
              <w:rPr>
                <w:sz w:val="2"/>
                <w:szCs w:val="2"/>
                <w:color w:val="auto"/>
              </w:rPr>
            </w:pPr>
          </w:p>
        </w:tc>
        <w:tc>
          <w:tcPr>
            <w:tcW w:w="3580" w:type="dxa"/>
            <w:vAlign w:val="bottom"/>
            <w:gridSpan w:val="5"/>
          </w:tcPr>
          <w:p>
            <w:pPr>
              <w:spacing w:after="0"/>
              <w:rPr>
                <w:sz w:val="2"/>
                <w:szCs w:val="2"/>
                <w:color w:val="auto"/>
              </w:rPr>
            </w:pPr>
          </w:p>
        </w:tc>
        <w:tc>
          <w:tcPr>
            <w:tcW w:w="260" w:type="dxa"/>
            <w:vAlign w:val="bottom"/>
          </w:tcPr>
          <w:p>
            <w:pPr>
              <w:spacing w:after="0"/>
              <w:rPr>
                <w:sz w:val="2"/>
                <w:szCs w:val="2"/>
                <w:color w:val="auto"/>
              </w:rPr>
            </w:pPr>
          </w:p>
        </w:tc>
      </w:tr>
      <w:tr>
        <w:trPr>
          <w:trHeight w:val="283"/>
        </w:trPr>
        <w:tc>
          <w:tcPr>
            <w:tcW w:w="54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“Verification Covenant”</w:t>
            </w:r>
          </w:p>
        </w:tc>
        <w:tc>
          <w:tcPr>
            <w:tcW w:w="3580" w:type="dxa"/>
            <w:vAlign w:val="bottom"/>
            <w:gridSpan w:val="5"/>
          </w:tcPr>
          <w:p>
            <w:pPr>
              <w:jc w:val="center"/>
              <w:ind w:left="2941"/>
              <w:spacing w:after="0"/>
              <w:rPr>
                <w:sz w:val="20"/>
                <w:szCs w:val="20"/>
                <w:color w:val="auto"/>
              </w:rPr>
            </w:pPr>
            <w:r>
              <w:rPr>
                <w:rFonts w:ascii="Times New Roman" w:cs="Times New Roman" w:eastAsia="Times New Roman" w:hAnsi="Times New Roman"/>
                <w:sz w:val="20"/>
                <w:szCs w:val="20"/>
                <w:color w:val="auto"/>
                <w:w w:val="96"/>
              </w:rPr>
              <w:t>6.</w:t>
            </w:r>
            <w:r>
              <w:rPr>
                <w:rFonts w:ascii="Times New Roman" w:cs="Times New Roman" w:eastAsia="Times New Roman" w:hAnsi="Times New Roman"/>
                <w:sz w:val="20"/>
                <w:szCs w:val="20"/>
                <w:u w:val="single" w:color="auto"/>
                <w:color w:val="auto"/>
                <w:w w:val="96"/>
              </w:rPr>
              <w:t>02</w:t>
            </w:r>
          </w:p>
        </w:tc>
        <w:tc>
          <w:tcPr>
            <w:tcW w:w="2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97"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1.03 </w:t>
      </w:r>
      <w:r>
        <w:rPr>
          <w:rFonts w:ascii="Times New Roman" w:cs="Times New Roman" w:eastAsia="Times New Roman" w:hAnsi="Times New Roman"/>
          <w:sz w:val="20"/>
          <w:szCs w:val="20"/>
          <w:b w:val="1"/>
          <w:bCs w:val="1"/>
          <w:u w:val="single" w:color="auto"/>
          <w:color w:val="auto"/>
        </w:rPr>
        <w:t>Trust Indenture Act</w:t>
      </w:r>
      <w:r>
        <w:rPr>
          <w:rFonts w:ascii="Times New Roman" w:cs="Times New Roman" w:eastAsia="Times New Roman" w:hAnsi="Times New Roman"/>
          <w:sz w:val="20"/>
          <w:szCs w:val="20"/>
          <w:color w:val="auto"/>
        </w:rPr>
        <w:t>. This Indenture is not qualified under the TIA, and the TIA shall not apply to or in any way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 the terms of this Indenture, including §316(b) thereof. No provisions of the TIA are incorporated into this Indenture.</w:t>
      </w:r>
    </w:p>
    <w:p>
      <w:pPr>
        <w:spacing w:after="0" w:line="11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1.04</w:t>
      </w:r>
      <w:r>
        <w:rPr>
          <w:sz w:val="20"/>
          <w:szCs w:val="20"/>
          <w:color w:val="auto"/>
        </w:rPr>
        <w:tab/>
      </w:r>
      <w:r>
        <w:rPr>
          <w:rFonts w:ascii="Times New Roman" w:cs="Times New Roman" w:eastAsia="Times New Roman" w:hAnsi="Times New Roman"/>
          <w:sz w:val="19"/>
          <w:szCs w:val="19"/>
          <w:b w:val="1"/>
          <w:bCs w:val="1"/>
          <w:u w:val="single" w:color="auto"/>
          <w:color w:val="auto"/>
        </w:rPr>
        <w:t>Rules of Construction</w:t>
      </w:r>
      <w:r>
        <w:rPr>
          <w:rFonts w:ascii="Times New Roman" w:cs="Times New Roman" w:eastAsia="Times New Roman" w:hAnsi="Times New Roman"/>
          <w:sz w:val="19"/>
          <w:szCs w:val="19"/>
          <w:color w:val="auto"/>
        </w:rPr>
        <w:t>. Unless the context otherwise requires:</w:t>
      </w:r>
    </w:p>
    <w:p>
      <w:pPr>
        <w:spacing w:after="0" w:line="166" w:lineRule="exact"/>
        <w:rPr>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term has the meaning assigned to it;</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accounting term not otherwise defined has the meaning assigned to it in accordance with GAAP;</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is not exclusive;</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is not limiting;</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in the singular include the plural, and in the plural include the singular;</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shall be interpreted to express a command;</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apply to successive events and transactions; and</w:t>
      </w:r>
    </w:p>
    <w:p>
      <w:pPr>
        <w:spacing w:after="0" w:line="175"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sections of or rules under the Securities Act will be deemed to include substitute, replacement of successor sections or rules adopted by the SEC from time to time.</w:t>
      </w:r>
    </w:p>
    <w:p>
      <w:pPr>
        <w:spacing w:after="0" w:line="11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1.05</w:t>
      </w:r>
      <w:r>
        <w:rPr>
          <w:sz w:val="20"/>
          <w:szCs w:val="20"/>
          <w:color w:val="auto"/>
        </w:rPr>
        <w:tab/>
      </w:r>
      <w:r>
        <w:rPr>
          <w:rFonts w:ascii="Times New Roman" w:cs="Times New Roman" w:eastAsia="Times New Roman" w:hAnsi="Times New Roman"/>
          <w:sz w:val="19"/>
          <w:szCs w:val="19"/>
          <w:b w:val="1"/>
          <w:bCs w:val="1"/>
          <w:u w:val="single" w:color="auto"/>
          <w:color w:val="auto"/>
        </w:rPr>
        <w:t>Limited Condition Transactions; Measuring Compliance</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1053"/>
        <w:spacing w:after="0" w:line="253" w:lineRule="auto"/>
        <w:rPr>
          <w:sz w:val="20"/>
          <w:szCs w:val="20"/>
          <w:color w:val="auto"/>
        </w:rPr>
      </w:pPr>
      <w:r>
        <w:rPr>
          <w:rFonts w:ascii="Times New Roman" w:cs="Times New Roman" w:eastAsia="Times New Roman" w:hAnsi="Times New Roman"/>
          <w:sz w:val="20"/>
          <w:szCs w:val="20"/>
          <w:color w:val="auto"/>
        </w:rPr>
        <w:t>(a)With respect to any (x) Investment or acquisition, in each case, the consummation by the Company or any Subsidiary of which is not conditioned on the availability of, or on obtaining, third-party financing for such Investment or acquisition (whether by merger, amalgamation, consolidation or other business combination or the acquisition of Capital Stock or otherwise) as applicable, (y) any dividend, distribution or share repurchase for which declaration, public announcement, notice or similar action is being made and (z) redemption, repurchase, defeasance, satisfaction and discharge or repayment of Indebtedness, Disqualified Stock or preferred stock requiring irrevocable notice in advance of such</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0"/>
        <w:spacing w:after="0"/>
        <w:tabs>
          <w:tab w:leader="none" w:pos="5520" w:val="left"/>
        </w:tabs>
        <w:rPr>
          <w:sz w:val="20"/>
          <w:szCs w:val="20"/>
          <w:color w:val="auto"/>
        </w:rPr>
      </w:pPr>
      <w:r>
        <w:rPr>
          <w:rFonts w:ascii="Times New Roman" w:cs="Times New Roman" w:eastAsia="Times New Roman" w:hAnsi="Times New Roman"/>
          <w:sz w:val="11"/>
          <w:szCs w:val="11"/>
          <w:color w:val="auto"/>
        </w:rPr>
        <w:t>AMERICAS 129712752</w:t>
      </w:r>
      <w:r>
        <w:rPr>
          <w:sz w:val="20"/>
          <w:szCs w:val="20"/>
          <w:color w:val="auto"/>
        </w:rPr>
        <w:tab/>
      </w: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40" w:right="339" w:bottom="1440" w:gutter="0" w:footer="0" w:header="0"/>
          <w:type w:val="continuous"/>
        </w:sectPr>
      </w:pPr>
    </w:p>
    <w:bookmarkStart w:id="45" w:name="page46"/>
    <w:bookmarkEnd w:id="45"/>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redemption, repurchase, defeasance, satisfaction and discharge or repayment (any transaction described in clauses (x), (y) or (z), a “Limited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Condition Transaction”), in each case for purposes of determining:</w:t>
      </w:r>
    </w:p>
    <w:p>
      <w:pPr>
        <w:spacing w:after="0" w:line="146" w:lineRule="exact"/>
        <w:rPr>
          <w:sz w:val="20"/>
          <w:szCs w:val="20"/>
          <w:color w:val="auto"/>
        </w:rPr>
      </w:pPr>
    </w:p>
    <w:p>
      <w:pPr>
        <w:jc w:val="both"/>
        <w:ind w:left="1300" w:firstLine="733"/>
        <w:spacing w:after="0" w:line="261" w:lineRule="auto"/>
        <w:tabs>
          <w:tab w:leader="none" w:pos="25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whether any Indebtedness (including Acquired Debt), Disqualified Stock or preferred stock that is being incurred or issued in connection with such Limited Condition Transaction is permitted to be incurred in compliance with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hereof.</w:t>
      </w:r>
    </w:p>
    <w:p>
      <w:pPr>
        <w:spacing w:after="0" w:line="127" w:lineRule="exact"/>
        <w:rPr>
          <w:rFonts w:ascii="Times New Roman" w:cs="Times New Roman" w:eastAsia="Times New Roman" w:hAnsi="Times New Roman"/>
          <w:sz w:val="20"/>
          <w:szCs w:val="20"/>
          <w:color w:val="auto"/>
        </w:rPr>
      </w:pPr>
    </w:p>
    <w:p>
      <w:pPr>
        <w:ind w:left="1300" w:right="20" w:firstLine="733"/>
        <w:spacing w:after="0" w:line="283" w:lineRule="auto"/>
        <w:tabs>
          <w:tab w:leader="none" w:pos="25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whether any Lien being incurred in connection with such Limited Condition Transaction or to secure any such Indebtedness, Disqualified Stock or preferred stock is permitted to be incurred in accordance with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hereof.</w:t>
      </w:r>
    </w:p>
    <w:p>
      <w:pPr>
        <w:spacing w:after="0" w:line="92" w:lineRule="exact"/>
        <w:rPr>
          <w:rFonts w:ascii="Times New Roman" w:cs="Times New Roman" w:eastAsia="Times New Roman" w:hAnsi="Times New Roman"/>
          <w:sz w:val="20"/>
          <w:szCs w:val="20"/>
          <w:color w:val="auto"/>
        </w:rPr>
      </w:pPr>
    </w:p>
    <w:p>
      <w:pPr>
        <w:jc w:val="both"/>
        <w:ind w:left="1300" w:firstLine="733"/>
        <w:spacing w:after="0" w:line="261" w:lineRule="auto"/>
        <w:tabs>
          <w:tab w:leader="none" w:pos="25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any other transaction (including any Investment or Restricted Payment) undertaken or proposed to be undertaken in connection with such Limited Condition Transaction complies with the covenants or agreements contained in this Indenture or the Notes; and</w:t>
      </w:r>
    </w:p>
    <w:p>
      <w:pPr>
        <w:spacing w:after="0" w:line="127" w:lineRule="exact"/>
        <w:rPr>
          <w:rFonts w:ascii="Times New Roman" w:cs="Times New Roman" w:eastAsia="Times New Roman" w:hAnsi="Times New Roman"/>
          <w:sz w:val="20"/>
          <w:szCs w:val="20"/>
          <w:color w:val="auto"/>
        </w:rPr>
      </w:pPr>
    </w:p>
    <w:p>
      <w:pPr>
        <w:jc w:val="both"/>
        <w:ind w:left="1300" w:firstLine="733"/>
        <w:spacing w:after="0" w:line="261" w:lineRule="auto"/>
        <w:tabs>
          <w:tab w:leader="none" w:pos="25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calculation of the Consolidated Total Debt Ratio, Fixed Charge Coverage Ratio, Consolidated Net Income, Consolidated EBITDA and/or Consolidated Total Assets and, whether a Default or Event of Default exists in connection with the foregoing,</w:t>
      </w:r>
    </w:p>
    <w:p>
      <w:pPr>
        <w:spacing w:after="0" w:line="12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at the option of the Company, the date that the definitive agreement (or other relevant definitive documentation, commitment, declaration or notice or public announcement) for such Limited Condition Transaction is entered into (or given or made, as applicable) (the “Transaction Agreement Date”) may be used as the applicable date of determination, as the case may be, in each case with such pro forma adjustments as are appropriate and consistent with the pro forma adjustment provisions set forth in the definition of “Fixed Charge Coverage Ratio” and if the Company or the Restricted Subsidiaries could have taken such action on the relevant Transaction Agreement Date in compliance with the applicable ratios or other provisions, such provisions shall be deemed to have been complied with. For the avoidance of doubt, if the Company elects to use the Transaction Agreement Date as the applicable date of determination in accordance with the foregoing,</w:t>
      </w:r>
    </w:p>
    <w:p>
      <w:pPr>
        <w:spacing w:after="0" w:line="6" w:lineRule="exact"/>
        <w:rPr>
          <w:sz w:val="20"/>
          <w:szCs w:val="20"/>
          <w:color w:val="auto"/>
        </w:rPr>
      </w:pPr>
    </w:p>
    <w:p>
      <w:pPr>
        <w:jc w:val="both"/>
        <w:ind w:firstLine="8"/>
        <w:spacing w:after="0" w:line="248" w:lineRule="auto"/>
        <w:tabs>
          <w:tab w:leader="none" w:pos="29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election may not be revoked, (b) any fluctuation or change in the Consolidated Total Debt Ratio, Fixed Charge Coverage Ratio, Consolidated Net Income, Consolidated EBITDA or Consolidated Total Assets of the Company, the target business, or assets to be acquired subsequent to the Transaction Agreement Date and prior to the consummation of such Limited Condition Transaction, will not be taken into account for purposes of determining whether any Investment, Restricted Payment, Indebtedness, Disqualified Stock, preferred stock or Lien that is being made, incurred or issued in connection with such Limited Condition Transaction is permitted to be made, incurred or issued or in connection with compliance by the Company or any of the Restricted Subsidiaries with any other provision of this Indenture or the Notes or any other action or transaction undertaken in connection with such Limited Condition Transaction and (c) until such Limited Condition Transaction is consummated or the definitive agreements related thereto are terminated, such Limited Condition Transaction and all transactions proposed to be undertaken in connection therewith (including the making of any Restricted Payment, or Investments, or the incurrence of Indebtedness and Liens) will be given pro forma effect when determining compliance of other transactions (including the making of any Restricted Payment, or Investments, or the incurrence or issuance of Indebtedness, Disqualified Stock, preferred stock and Liens unrelated to such Investment, acquisition or repayment, repurchase or refinancing of Indebtedness) that are consummated after the Transaction Agreement Date and on or prior to the consummation of such Limited Condition Transaction and any such transactions (including any incurrence or issuance of Indebtedness, Disqualified Stock or preferred stock and the use of proceeds thereof) will be deemed to have occurred on the Transaction Agreement Date and outstanding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bl>
    <w:p>
      <w:pPr>
        <w:sectPr>
          <w:pgSz w:w="11900" w:h="16838" w:orient="portrait"/>
          <w:cols w:equalWidth="0" w:num="1">
            <w:col w:w="11240"/>
          </w:cols>
          <w:pgMar w:left="320" w:top="1440" w:right="339" w:bottom="1440" w:gutter="0" w:footer="0" w:header="0"/>
        </w:sectPr>
      </w:pPr>
    </w:p>
    <w:bookmarkStart w:id="46" w:name="page47"/>
    <w:bookmarkEnd w:id="46"/>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purposes of calculating any baskets or ratios under this Indenture after the date of such agreement and before the consummation of such Limited Condition Transaction; provided that for purposes of any such calculation of the Fixed Charge Coverage Ratio, consolidated interest expense will be calculated using an assumed interest rate for the Indebtedness to be incurred in connection with such Limited Condition Transaction based on the indicative interest margin contained in any financing commitment documentation with respect to such Indebtedness or, if no such indicative interest margin exists, as reasonably determined by the Company in good faith.</w:t>
      </w:r>
    </w:p>
    <w:p>
      <w:pPr>
        <w:spacing w:after="0" w:line="138" w:lineRule="exact"/>
        <w:rPr>
          <w:sz w:val="20"/>
          <w:szCs w:val="20"/>
          <w:color w:val="auto"/>
        </w:rPr>
      </w:pPr>
    </w:p>
    <w:p>
      <w:pPr>
        <w:jc w:val="both"/>
        <w:ind w:firstLine="1053"/>
        <w:spacing w:after="0" w:line="252" w:lineRule="auto"/>
        <w:rPr>
          <w:sz w:val="20"/>
          <w:szCs w:val="20"/>
          <w:color w:val="auto"/>
        </w:rPr>
      </w:pPr>
      <w:r>
        <w:rPr>
          <w:rFonts w:ascii="Times New Roman" w:cs="Times New Roman" w:eastAsia="Times New Roman" w:hAnsi="Times New Roman"/>
          <w:sz w:val="20"/>
          <w:szCs w:val="20"/>
          <w:color w:val="auto"/>
        </w:rPr>
        <w:t>(b)Notwithstanding anything herein to the contrary, if the Company or any of its Restricted Subsidiaries (x) incurs Indebtedness, issues Disqualified Stock or preferred stock, creates Liens, makes Asset Sales, makes Investments, makes Restricted Payments, designates any Subsidiary as a Restricted Subsidiary or an Unrestricted Subsidiary or repays any Indebtedness, Disqualified Stock or preferred stock in connection with any Limited Condition Transaction under a ratio-based basket and (y) incurs Indebtedness, issues Disqualified Stock or preferred stock, creates Liens, makes Asset Sales, Investments or Restricted Payments, designates any as a Restricted Subsidiary or an Unrestricted Subsidiary or repays any Indebtedness, Disqualified Stock or preferred stock in connection with any Limited Condition Transaction under a non-ratio-based basket (which shall occur on the same day as the events in clause (x) above), then the applicable ratio will be calculated with respect to any such action under the applicable ratio-based basket without regard to any such action under such non-ratio-based basket made in connection with such Limited Condition Transaction.</w:t>
      </w:r>
    </w:p>
    <w:p>
      <w:pPr>
        <w:spacing w:after="0" w:line="122" w:lineRule="exact"/>
        <w:rPr>
          <w:sz w:val="20"/>
          <w:szCs w:val="20"/>
          <w:color w:val="auto"/>
        </w:rPr>
      </w:pPr>
    </w:p>
    <w:p>
      <w:pPr>
        <w:jc w:val="both"/>
        <w:ind w:firstLine="1053"/>
        <w:spacing w:after="0" w:line="283" w:lineRule="auto"/>
        <w:rPr>
          <w:sz w:val="20"/>
          <w:szCs w:val="20"/>
          <w:color w:val="auto"/>
        </w:rPr>
      </w:pPr>
      <w:r>
        <w:rPr>
          <w:rFonts w:ascii="Times New Roman" w:cs="Times New Roman" w:eastAsia="Times New Roman" w:hAnsi="Times New Roman"/>
          <w:sz w:val="20"/>
          <w:szCs w:val="20"/>
          <w:color w:val="auto"/>
        </w:rPr>
        <w:t>(c)Compliance with any requirement relating to absence of Default or Event of Default may be determined as of the Transaction Agreement Date and not as of any later date as would otherwise be required under this Indenture.</w:t>
      </w:r>
    </w:p>
    <w:p>
      <w:pPr>
        <w:spacing w:after="0" w:line="106" w:lineRule="exact"/>
        <w:rPr>
          <w:sz w:val="20"/>
          <w:szCs w:val="20"/>
          <w:color w:val="auto"/>
        </w:rPr>
      </w:pPr>
    </w:p>
    <w:p>
      <w:pPr>
        <w:jc w:val="both"/>
        <w:ind w:firstLine="1053"/>
        <w:spacing w:after="0" w:line="253" w:lineRule="auto"/>
        <w:rPr>
          <w:sz w:val="20"/>
          <w:szCs w:val="20"/>
          <w:color w:val="auto"/>
        </w:rPr>
      </w:pPr>
      <w:r>
        <w:rPr>
          <w:rFonts w:ascii="Times New Roman" w:cs="Times New Roman" w:eastAsia="Times New Roman" w:hAnsi="Times New Roman"/>
          <w:sz w:val="20"/>
          <w:szCs w:val="20"/>
          <w:color w:val="auto"/>
        </w:rPr>
        <w:t>(d)In the event an item of Indebtedness, Disqualified Stock or preferred stock (or any portion thereof) is incurred or issued, any Lien is incurred or other transaction is undertaken on the same date that any other item of Indebtedness, Disqualified Stock or preferred stock (or any portion thereof) is incurred or issued, any other Lien is incurred or other transaction is undertaken in reliance on a ratio basket based on the Fixed Charge Coverage Ratio or the Consolidated Total Debt Ratio, then such ratio(s) will be calculated with respect to such incurrence, issuance or other transaction without regard to any other incurrence, issuance or transaction.</w:t>
      </w:r>
    </w:p>
    <w:p>
      <w:pPr>
        <w:spacing w:after="0" w:line="124" w:lineRule="exact"/>
        <w:rPr>
          <w:sz w:val="20"/>
          <w:szCs w:val="20"/>
          <w:color w:val="auto"/>
        </w:rPr>
      </w:pPr>
    </w:p>
    <w:p>
      <w:pPr>
        <w:jc w:val="both"/>
        <w:ind w:firstLine="1053"/>
        <w:spacing w:after="0" w:line="268" w:lineRule="auto"/>
        <w:rPr>
          <w:sz w:val="20"/>
          <w:szCs w:val="20"/>
          <w:color w:val="auto"/>
        </w:rPr>
      </w:pPr>
      <w:r>
        <w:rPr>
          <w:rFonts w:ascii="Times New Roman" w:cs="Times New Roman" w:eastAsia="Times New Roman" w:hAnsi="Times New Roman"/>
          <w:sz w:val="20"/>
          <w:szCs w:val="20"/>
          <w:color w:val="auto"/>
        </w:rPr>
        <w:t>(e)Each item of Indebtedness, Disqualified Stock or preferred stock that is incurred or issued, each Lien incurred and each other transaction undertaken will be deemed to have been incurred, issued or taken first, to the extent available, pursuant to the relevant Fixed Charge Coverage Ratio or Consolidated Total Debt Ratio test.</w:t>
      </w:r>
    </w:p>
    <w:p>
      <w:pPr>
        <w:spacing w:after="0" w:line="1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NOTES</w:t>
      </w:r>
    </w:p>
    <w:p>
      <w:pPr>
        <w:spacing w:after="0" w:line="17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2.01</w:t>
      </w:r>
      <w:r>
        <w:rPr>
          <w:sz w:val="20"/>
          <w:szCs w:val="20"/>
          <w:color w:val="auto"/>
        </w:rPr>
        <w:tab/>
      </w:r>
      <w:r>
        <w:rPr>
          <w:rFonts w:ascii="Times New Roman" w:cs="Times New Roman" w:eastAsia="Times New Roman" w:hAnsi="Times New Roman"/>
          <w:sz w:val="19"/>
          <w:szCs w:val="19"/>
          <w:b w:val="1"/>
          <w:bCs w:val="1"/>
          <w:u w:val="single" w:color="auto"/>
          <w:color w:val="auto"/>
        </w:rPr>
        <w:t>Form and Dating</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1061"/>
        <w:spacing w:after="0" w:line="261" w:lineRule="auto"/>
        <w:tabs>
          <w:tab w:leader="none" w:pos="128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The Notes and the Trustee’s certificate of authentication will be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The Notes may have notations, legends or endorsements required by law, stock exchange rule or usage. Each Note will be dated the date of its authentication. The Notes shall be in minimum denominations of $2,000 and integral multiples of $1,000 in excess thereof.</w:t>
      </w:r>
    </w:p>
    <w:p>
      <w:pPr>
        <w:spacing w:after="0" w:line="114"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The terms and provisions contained in the Notes will constitute, and are hereby expressly made, a part of this Indenture and the Company, the Guarantors and the Trustee, by their execution and delivery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bl>
    <w:p>
      <w:pPr>
        <w:sectPr>
          <w:pgSz w:w="11900" w:h="16838" w:orient="portrait"/>
          <w:cols w:equalWidth="0" w:num="1">
            <w:col w:w="11240"/>
          </w:cols>
          <w:pgMar w:left="320" w:top="1440" w:right="339" w:bottom="1440" w:gutter="0" w:footer="0" w:header="0"/>
        </w:sectPr>
      </w:pPr>
    </w:p>
    <w:bookmarkStart w:id="47" w:name="page48"/>
    <w:bookmarkEnd w:id="47"/>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92" w:lineRule="exact"/>
        <w:rPr>
          <w:sz w:val="20"/>
          <w:szCs w:val="20"/>
          <w:color w:val="auto"/>
        </w:rPr>
      </w:pPr>
    </w:p>
    <w:p>
      <w:pPr>
        <w:jc w:val="both"/>
        <w:ind w:firstLine="1053"/>
        <w:spacing w:after="0" w:line="252"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Global Notes</w:t>
      </w:r>
      <w:r>
        <w:rPr>
          <w:rFonts w:ascii="Times New Roman" w:cs="Times New Roman" w:eastAsia="Times New Roman" w:hAnsi="Times New Roman"/>
          <w:sz w:val="20"/>
          <w:szCs w:val="20"/>
          <w:color w:val="auto"/>
        </w:rPr>
        <w:t xml:space="preserve">. Notes issued in global form will be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(including the Global Note Legend thereon and the “Schedule of Exchanges of Interests in the Global Note” attached thereto). Notes issued in definitive form will be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redemptions and repurchases.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hereof.</w:t>
      </w:r>
    </w:p>
    <w:p>
      <w:pPr>
        <w:spacing w:after="0" w:line="135" w:lineRule="exact"/>
        <w:rPr>
          <w:sz w:val="20"/>
          <w:szCs w:val="20"/>
          <w:color w:val="auto"/>
        </w:rPr>
      </w:pPr>
    </w:p>
    <w:p>
      <w:pPr>
        <w:jc w:val="both"/>
        <w:ind w:firstLine="1061"/>
        <w:spacing w:after="0" w:line="254" w:lineRule="auto"/>
        <w:tabs>
          <w:tab w:leader="none" w:pos="128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Euroclear and Clearstream Procedures Applicable</w:t>
      </w:r>
      <w:r>
        <w:rPr>
          <w:rFonts w:ascii="Times New Roman" w:cs="Times New Roman" w:eastAsia="Times New Roman" w:hAnsi="Times New Roman"/>
          <w:sz w:val="20"/>
          <w:szCs w:val="20"/>
          <w:color w:val="auto"/>
        </w:rPr>
        <w:t>. The provisions of the “Operating Procedures of the Euroclear System” and “Terms and Conditions Governing Use of Euroclear” and the “General Terms and Conditions of Clearstream Banking” and “Customer Handbook” of Clearstream will be applicable to transfers of beneficial interests in the Regulation S Global Note that are held by Participants through Euroclear or Clearstream.</w:t>
      </w:r>
    </w:p>
    <w:p>
      <w:pPr>
        <w:spacing w:after="0" w:line="1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Section 2.02 </w:t>
      </w:r>
      <w:r>
        <w:rPr>
          <w:rFonts w:ascii="Times New Roman" w:cs="Times New Roman" w:eastAsia="Times New Roman" w:hAnsi="Times New Roman"/>
          <w:sz w:val="20"/>
          <w:szCs w:val="20"/>
          <w:b w:val="1"/>
          <w:bCs w:val="1"/>
          <w:u w:val="single" w:color="auto"/>
          <w:color w:val="auto"/>
        </w:rPr>
        <w:t>Execution and Authentication</w:t>
      </w:r>
      <w:r>
        <w:rPr>
          <w:rFonts w:ascii="Times New Roman" w:cs="Times New Roman" w:eastAsia="Times New Roman" w:hAnsi="Times New Roman"/>
          <w:sz w:val="20"/>
          <w:szCs w:val="20"/>
          <w:color w:val="auto"/>
        </w:rPr>
        <w:t>. At least one Officer must sign the Notes for the Company by manual or facsimile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signature.</w:t>
      </w:r>
    </w:p>
    <w:p>
      <w:pPr>
        <w:spacing w:after="0" w:line="8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If an Officer whose signature is on a Note no longer holds that office at the time a Note is authenticated, the Note will nevertheless be valid.</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A Note will not be valid until authenticated by the manual signature of the Trustee. The signature will be conclusive evidence that the Note has been authenticated under this Indenture.</w:t>
      </w:r>
    </w:p>
    <w:p>
      <w:pPr>
        <w:spacing w:after="0" w:line="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Trustee will, upon receipt of a written order of the Company signed by an Officer (an “</w:t>
      </w:r>
      <w:r>
        <w:rPr>
          <w:rFonts w:ascii="Times New Roman" w:cs="Times New Roman" w:eastAsia="Times New Roman" w:hAnsi="Times New Roman"/>
          <w:sz w:val="20"/>
          <w:szCs w:val="20"/>
          <w:u w:val="single" w:color="auto"/>
          <w:color w:val="auto"/>
        </w:rPr>
        <w:t>Authentication Order</w:t>
      </w:r>
      <w:r>
        <w:rPr>
          <w:rFonts w:ascii="Times New Roman" w:cs="Times New Roman" w:eastAsia="Times New Roman" w:hAnsi="Times New Roman"/>
          <w:sz w:val="20"/>
          <w:szCs w:val="20"/>
          <w:color w:val="auto"/>
        </w:rPr>
        <w:t xml:space="preserve">”), authenticate Notes for original issue that may be validly issued under this Indenture, including any Additional Notes. The aggregate principal amount of Notes outstanding at any time may not exceed the aggregate principal amount of Notes authorized for issuance by the Company pursuant to one or more Authentication Orders, except as provided in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hereof.</w:t>
      </w:r>
    </w:p>
    <w:p>
      <w:pPr>
        <w:spacing w:after="0" w:line="13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2.03 </w:t>
      </w:r>
      <w:r>
        <w:rPr>
          <w:rFonts w:ascii="Times New Roman" w:cs="Times New Roman" w:eastAsia="Times New Roman" w:hAnsi="Times New Roman"/>
          <w:sz w:val="20"/>
          <w:szCs w:val="20"/>
          <w:b w:val="1"/>
          <w:bCs w:val="1"/>
          <w:u w:val="single" w:color="auto"/>
          <w:color w:val="auto"/>
        </w:rPr>
        <w:t>Registrar and Paying Agent</w:t>
      </w:r>
      <w:r>
        <w:rPr>
          <w:rFonts w:ascii="Times New Roman" w:cs="Times New Roman" w:eastAsia="Times New Roman" w:hAnsi="Times New Roman"/>
          <w:sz w:val="20"/>
          <w:szCs w:val="20"/>
          <w:color w:val="auto"/>
        </w:rPr>
        <w:t>. The Company will maintain an office or agency where Notes may be presented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registration of transfer or for exchange (“</w:t>
      </w:r>
      <w:r>
        <w:rPr>
          <w:rFonts w:ascii="Times New Roman" w:cs="Times New Roman" w:eastAsia="Times New Roman" w:hAnsi="Times New Roman"/>
          <w:sz w:val="20"/>
          <w:szCs w:val="20"/>
          <w:u w:val="single" w:color="auto"/>
          <w:color w:val="auto"/>
        </w:rPr>
        <w:t>Registrar</w:t>
      </w:r>
      <w:r>
        <w:rPr>
          <w:rFonts w:ascii="Times New Roman" w:cs="Times New Roman" w:eastAsia="Times New Roman" w:hAnsi="Times New Roman"/>
          <w:sz w:val="20"/>
          <w:szCs w:val="20"/>
          <w:color w:val="auto"/>
        </w:rPr>
        <w:t>”) and an office or agency where Notes may be presented for payment (“</w:t>
      </w:r>
      <w:r>
        <w:rPr>
          <w:rFonts w:ascii="Times New Roman" w:cs="Times New Roman" w:eastAsia="Times New Roman" w:hAnsi="Times New Roman"/>
          <w:sz w:val="20"/>
          <w:szCs w:val="20"/>
          <w:u w:val="single" w:color="auto"/>
          <w:color w:val="auto"/>
        </w:rPr>
        <w:t>Paying Agent</w:t>
      </w:r>
      <w:r>
        <w:rPr>
          <w:rFonts w:ascii="Times New Roman" w:cs="Times New Roman" w:eastAsia="Times New Roman" w:hAnsi="Times New Roman"/>
          <w:sz w:val="20"/>
          <w:szCs w:val="20"/>
          <w:color w:val="auto"/>
        </w:rPr>
        <w:t>”). The Registrar will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bl>
    <w:p>
      <w:pPr>
        <w:sectPr>
          <w:pgSz w:w="11900" w:h="16838" w:orient="portrait"/>
          <w:cols w:equalWidth="0" w:num="1">
            <w:col w:w="11240"/>
          </w:cols>
          <w:pgMar w:left="320" w:top="1440" w:right="339" w:bottom="1440" w:gutter="0" w:footer="0" w:header="0"/>
        </w:sectPr>
      </w:pPr>
    </w:p>
    <w:bookmarkStart w:id="48" w:name="page49"/>
    <w:bookmarkEnd w:id="48"/>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entity as Registrar or Paying Agent, the Trustee shall act as such. The Company or any of its Subsidiaries may act as Paying Agent or Registrar.</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initially appoints The Depository Trust Company (“</w:t>
      </w:r>
      <w:r>
        <w:rPr>
          <w:rFonts w:ascii="Times New Roman" w:cs="Times New Roman" w:eastAsia="Times New Roman" w:hAnsi="Times New Roman"/>
          <w:sz w:val="20"/>
          <w:szCs w:val="20"/>
          <w:u w:val="single" w:color="auto"/>
          <w:color w:val="auto"/>
        </w:rPr>
        <w:t>DTC</w:t>
      </w:r>
      <w:r>
        <w:rPr>
          <w:rFonts w:ascii="Times New Roman" w:cs="Times New Roman" w:eastAsia="Times New Roman" w:hAnsi="Times New Roman"/>
          <w:sz w:val="20"/>
          <w:szCs w:val="20"/>
          <w:color w:val="auto"/>
        </w:rPr>
        <w:t>”) to act as Depositary with respect to the Global Notes.</w:t>
      </w:r>
    </w:p>
    <w:p>
      <w:pPr>
        <w:spacing w:after="0" w:line="17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Company initially appoints the Trustee to act as the Registrar and Paying Agent and to act as Custodian with respect to the Global Notes.</w:t>
      </w:r>
    </w:p>
    <w:p>
      <w:pPr>
        <w:spacing w:after="0" w:line="11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Section 2.04 </w:t>
      </w:r>
      <w:r>
        <w:rPr>
          <w:rFonts w:ascii="Times New Roman" w:cs="Times New Roman" w:eastAsia="Times New Roman" w:hAnsi="Times New Roman"/>
          <w:sz w:val="20"/>
          <w:szCs w:val="20"/>
          <w:b w:val="1"/>
          <w:bCs w:val="1"/>
          <w:u w:val="single" w:color="auto"/>
          <w:color w:val="auto"/>
        </w:rPr>
        <w:t>Paying Agent to Hold Money in Trust</w:t>
      </w:r>
      <w:r>
        <w:rPr>
          <w:rFonts w:ascii="Times New Roman" w:cs="Times New Roman" w:eastAsia="Times New Roman" w:hAnsi="Times New Roman"/>
          <w:sz w:val="20"/>
          <w:szCs w:val="20"/>
          <w:color w:val="auto"/>
        </w:rPr>
        <w:t>. The Company will require each Paying Agent other than the entity acting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Trustee to agree in writing that the Paying Agent will hold in trust for the benefit of Holders or the Trustee all money held by the Paying Agent for the payment of principal of, premium on, if any, or interest, if any,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12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2.05 </w:t>
      </w:r>
      <w:r>
        <w:rPr>
          <w:rFonts w:ascii="Times New Roman" w:cs="Times New Roman" w:eastAsia="Times New Roman" w:hAnsi="Times New Roman"/>
          <w:sz w:val="20"/>
          <w:szCs w:val="20"/>
          <w:b w:val="1"/>
          <w:bCs w:val="1"/>
          <w:u w:val="single" w:color="auto"/>
          <w:color w:val="auto"/>
        </w:rPr>
        <w:t>Holder Lists</w:t>
      </w:r>
      <w:r>
        <w:rPr>
          <w:rFonts w:ascii="Times New Roman" w:cs="Times New Roman" w:eastAsia="Times New Roman" w:hAnsi="Times New Roman"/>
          <w:sz w:val="20"/>
          <w:szCs w:val="20"/>
          <w:color w:val="auto"/>
        </w:rPr>
        <w:t>. The Trustee will preserve in as current a form as is reasonably practicable the most recent list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available to it of the names and addresses of all Holders. If the entity acting as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2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2.06</w:t>
      </w:r>
      <w:r>
        <w:rPr>
          <w:sz w:val="20"/>
          <w:szCs w:val="20"/>
          <w:color w:val="auto"/>
        </w:rPr>
        <w:tab/>
      </w:r>
      <w:r>
        <w:rPr>
          <w:rFonts w:ascii="Times New Roman" w:cs="Times New Roman" w:eastAsia="Times New Roman" w:hAnsi="Times New Roman"/>
          <w:sz w:val="19"/>
          <w:szCs w:val="19"/>
          <w:b w:val="1"/>
          <w:bCs w:val="1"/>
          <w:u w:val="single" w:color="auto"/>
          <w:color w:val="auto"/>
        </w:rPr>
        <w:t>Transfer and Exchange</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1304"/>
        <w:spacing w:after="0" w:line="258" w:lineRule="auto"/>
        <w:tabs>
          <w:tab w:leader="none" w:pos="193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and Exchange of Global Notes.</w:t>
      </w:r>
      <w:r>
        <w:rPr>
          <w:rFonts w:ascii="Times New Roman" w:cs="Times New Roman" w:eastAsia="Times New Roman" w:hAnsi="Times New Roman"/>
          <w:sz w:val="20"/>
          <w:szCs w:val="20"/>
          <w:color w:val="auto"/>
        </w:rPr>
        <w:t xml:space="preserve"> A Global Note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131"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8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113" w:lineRule="exact"/>
        <w:rPr>
          <w:rFonts w:ascii="Times New Roman" w:cs="Times New Roman" w:eastAsia="Times New Roman" w:hAnsi="Times New Roman"/>
          <w:sz w:val="20"/>
          <w:szCs w:val="20"/>
          <w:color w:val="auto"/>
        </w:rPr>
      </w:pPr>
    </w:p>
    <w:p>
      <w:pPr>
        <w:ind w:left="1300" w:firstLine="652"/>
        <w:spacing w:after="0" w:line="283" w:lineRule="auto"/>
        <w:tabs>
          <w:tab w:leader="none" w:pos="258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in its sole discretion determines that the Global Notes (in whole but not in part) should be exchanged for Definitive Notes and delivers a written notice to such effect to the Trustee or</w:t>
      </w:r>
    </w:p>
    <w:p>
      <w:pPr>
        <w:spacing w:after="0" w:line="10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occurred and is continuing a Default or Event of Default with respect to the Notes.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Upon the occurrence of either of the preceding events in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above, Definitive Notes shall be issued in such names as the Depositary shall instruct the Trustee. Global Notes also may be exchanged or replaced, in whole or in part, as provided in </w:t>
      </w:r>
      <w:r>
        <w:rPr>
          <w:rFonts w:ascii="Times New Roman" w:cs="Times New Roman" w:eastAsia="Times New Roman" w:hAnsi="Times New Roman"/>
          <w:sz w:val="20"/>
          <w:szCs w:val="20"/>
          <w:u w:val="single" w:color="auto"/>
          <w:color w:val="auto"/>
        </w:rPr>
        <w:t>Sections 2.07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2.10 hereof</w:t>
      </w:r>
      <w:r>
        <w:rPr>
          <w:rFonts w:ascii="Times New Roman" w:cs="Times New Roman" w:eastAsia="Times New Roman" w:hAnsi="Times New Roman"/>
          <w:sz w:val="20"/>
          <w:szCs w:val="20"/>
          <w:color w:val="auto"/>
        </w:rPr>
        <w:t>. Every Note authenticated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bl>
    <w:p>
      <w:pPr>
        <w:sectPr>
          <w:pgSz w:w="11900" w:h="16838" w:orient="portrait"/>
          <w:cols w:equalWidth="0" w:num="1">
            <w:col w:w="11240"/>
          </w:cols>
          <w:pgMar w:left="320" w:top="1440" w:right="339" w:bottom="1440" w:gutter="0" w:footer="0" w:header="0"/>
        </w:sectPr>
      </w:pPr>
    </w:p>
    <w:bookmarkStart w:id="49" w:name="page50"/>
    <w:bookmarkEnd w:id="49"/>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and delivered in exchange for, or in lieu of, a Global Note or any portion thereof, pursuant to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hereof, shall be authenticated and delivered in the form of, and shall be, a Global Note, except for Definitive Notes issued subsequent to any of the events described in clauses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above, or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 xml:space="preserve"> or (e) hereof. A Global Note may not be exchanged for another Note other than as provided in this </w:t>
      </w:r>
      <w:r>
        <w:rPr>
          <w:rFonts w:ascii="Times New Roman" w:cs="Times New Roman" w:eastAsia="Times New Roman" w:hAnsi="Times New Roman"/>
          <w:sz w:val="20"/>
          <w:szCs w:val="20"/>
          <w:u w:val="single" w:color="auto"/>
          <w:color w:val="auto"/>
        </w:rPr>
        <w:t>Section 2.06(a)</w:t>
      </w:r>
      <w:r>
        <w:rPr>
          <w:rFonts w:ascii="Times New Roman" w:cs="Times New Roman" w:eastAsia="Times New Roman" w:hAnsi="Times New Roman"/>
          <w:sz w:val="20"/>
          <w:szCs w:val="20"/>
          <w:color w:val="auto"/>
        </w:rPr>
        <w:t xml:space="preserve">, however, beneficial interests in a Global Note may be transferred and exchanged as provided in </w:t>
      </w:r>
      <w:r>
        <w:rPr>
          <w:rFonts w:ascii="Times New Roman" w:cs="Times New Roman" w:eastAsia="Times New Roman" w:hAnsi="Times New Roman"/>
          <w:sz w:val="20"/>
          <w:szCs w:val="20"/>
          <w:u w:val="single" w:color="auto"/>
          <w:color w:val="auto"/>
        </w:rPr>
        <w:t>Section 2.06(b)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hereof.</w:t>
      </w:r>
    </w:p>
    <w:p>
      <w:pPr>
        <w:spacing w:after="0" w:line="138" w:lineRule="exact"/>
        <w:rPr>
          <w:sz w:val="20"/>
          <w:szCs w:val="20"/>
          <w:color w:val="auto"/>
        </w:rPr>
      </w:pPr>
    </w:p>
    <w:p>
      <w:pPr>
        <w:jc w:val="both"/>
        <w:ind w:firstLine="1304"/>
        <w:spacing w:after="0" w:line="253" w:lineRule="auto"/>
        <w:tabs>
          <w:tab w:leader="none" w:pos="193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and Exchange of Beneficial Interests in the Global Notes</w:t>
      </w:r>
      <w:r>
        <w:rPr>
          <w:rFonts w:ascii="Times New Roman" w:cs="Times New Roman" w:eastAsia="Times New Roman" w:hAnsi="Times New Roman"/>
          <w:sz w:val="20"/>
          <w:szCs w:val="20"/>
          <w:color w:val="auto"/>
        </w:rPr>
        <w:t xml:space="preserve">. The transfer and exchange of beneficial interests in the Global Notes will 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below, as applicable, as well as one or more of the other following subparagraphs, as applicable:</w:t>
      </w:r>
    </w:p>
    <w:p>
      <w:pPr>
        <w:spacing w:after="0" w:line="137" w:lineRule="exact"/>
        <w:rPr>
          <w:rFonts w:ascii="Times New Roman" w:cs="Times New Roman" w:eastAsia="Times New Roman" w:hAnsi="Times New Roman"/>
          <w:sz w:val="20"/>
          <w:szCs w:val="20"/>
          <w:color w:val="auto"/>
        </w:rPr>
      </w:pPr>
    </w:p>
    <w:p>
      <w:pPr>
        <w:jc w:val="both"/>
        <w:ind w:left="1300" w:firstLine="652"/>
        <w:spacing w:after="0" w:line="251" w:lineRule="auto"/>
        <w:tabs>
          <w:tab w:leader="none" w:pos="258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of Beneficial Interests in the Same Global Note</w:t>
      </w:r>
      <w:r>
        <w:rPr>
          <w:rFonts w:ascii="Times New Roman" w:cs="Times New Roman" w:eastAsia="Times New Roman" w:hAnsi="Times New Roman"/>
          <w:sz w:val="20"/>
          <w:szCs w:val="20"/>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prior to the expiration of the Restricted Period, transfers of beneficial interests in the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w:t>
      </w:r>
      <w:r>
        <w:rPr>
          <w:rFonts w:ascii="Times New Roman" w:cs="Times New Roman" w:eastAsia="Times New Roman" w:hAnsi="Times New Roman"/>
          <w:sz w:val="20"/>
          <w:szCs w:val="20"/>
          <w:u w:val="single" w:color="auto"/>
          <w:color w:val="auto"/>
        </w:rPr>
        <w:t>Section 2.06(b)(1)</w:t>
      </w:r>
      <w:r>
        <w:rPr>
          <w:rFonts w:ascii="Times New Roman" w:cs="Times New Roman" w:eastAsia="Times New Roman" w:hAnsi="Times New Roman"/>
          <w:sz w:val="20"/>
          <w:szCs w:val="20"/>
          <w:color w:val="auto"/>
        </w:rPr>
        <w:t>.</w:t>
      </w:r>
    </w:p>
    <w:p>
      <w:pPr>
        <w:spacing w:after="0" w:line="141"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8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All Other Transfers and Exchanges of Beneficial Interests in Global Notes</w:t>
      </w:r>
      <w:r>
        <w:rPr>
          <w:rFonts w:ascii="Times New Roman" w:cs="Times New Roman" w:eastAsia="Times New Roman" w:hAnsi="Times New Roman"/>
          <w:sz w:val="20"/>
          <w:szCs w:val="20"/>
          <w:color w:val="auto"/>
        </w:rPr>
        <w:t xml:space="preserve">. In connection with all transfers and exchanges of beneficial interests that are not subject to </w:t>
      </w:r>
      <w:r>
        <w:rPr>
          <w:rFonts w:ascii="Times New Roman" w:cs="Times New Roman" w:eastAsia="Times New Roman" w:hAnsi="Times New Roman"/>
          <w:sz w:val="20"/>
          <w:szCs w:val="20"/>
          <w:u w:val="single" w:color="auto"/>
          <w:color w:val="auto"/>
        </w:rPr>
        <w:t>Section 2.06(b)(1)</w:t>
      </w:r>
      <w:r>
        <w:rPr>
          <w:rFonts w:ascii="Times New Roman" w:cs="Times New Roman" w:eastAsia="Times New Roman" w:hAnsi="Times New Roman"/>
          <w:sz w:val="20"/>
          <w:szCs w:val="20"/>
          <w:color w:val="auto"/>
        </w:rPr>
        <w:t xml:space="preserve"> above, the transferor of such beneficial interest must deliver to the Registrar either:</w:t>
      </w:r>
    </w:p>
    <w:p>
      <w:pPr>
        <w:spacing w:after="0" w:line="113"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w:t>
      </w:r>
    </w:p>
    <w:p>
      <w:pPr>
        <w:spacing w:after="0" w:line="175" w:lineRule="exact"/>
        <w:rPr>
          <w:rFonts w:ascii="Times New Roman" w:cs="Times New Roman" w:eastAsia="Times New Roman" w:hAnsi="Times New Roman"/>
          <w:sz w:val="20"/>
          <w:szCs w:val="20"/>
          <w:color w:val="auto"/>
        </w:rPr>
      </w:pPr>
    </w:p>
    <w:p>
      <w:pPr>
        <w:jc w:val="both"/>
        <w:ind w:left="2600" w:firstLine="648"/>
        <w:spacing w:after="0" w:line="258" w:lineRule="auto"/>
        <w:tabs>
          <w:tab w:leader="none" w:pos="3819" w:val="left"/>
        </w:tabs>
        <w:numPr>
          <w:ilvl w:val="3"/>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18" w:lineRule="exact"/>
        <w:rPr>
          <w:rFonts w:ascii="Times New Roman" w:cs="Times New Roman" w:eastAsia="Times New Roman" w:hAnsi="Times New Roman"/>
          <w:sz w:val="20"/>
          <w:szCs w:val="20"/>
          <w:color w:val="auto"/>
        </w:rPr>
      </w:pPr>
    </w:p>
    <w:p>
      <w:pPr>
        <w:ind w:left="2600" w:right="20" w:firstLine="648"/>
        <w:spacing w:after="0" w:line="283" w:lineRule="auto"/>
        <w:tabs>
          <w:tab w:leader="none" w:pos="3866" w:val="left"/>
        </w:tabs>
        <w:numPr>
          <w:ilvl w:val="3"/>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instructions given in accordance with the Applicable Procedures containing information regarding the Participant account to be credited with such increase; or</w:t>
      </w:r>
    </w:p>
    <w:p>
      <w:pPr>
        <w:spacing w:after="0" w:line="105"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w:t>
      </w:r>
    </w:p>
    <w:p>
      <w:pPr>
        <w:spacing w:after="0" w:line="161" w:lineRule="exact"/>
        <w:rPr>
          <w:rFonts w:ascii="Times New Roman" w:cs="Times New Roman" w:eastAsia="Times New Roman" w:hAnsi="Times New Roman"/>
          <w:sz w:val="20"/>
          <w:szCs w:val="20"/>
          <w:color w:val="auto"/>
        </w:rPr>
      </w:pPr>
    </w:p>
    <w:p>
      <w:pPr>
        <w:jc w:val="both"/>
        <w:ind w:left="2600" w:firstLine="648"/>
        <w:spacing w:after="0" w:line="261" w:lineRule="auto"/>
        <w:tabs>
          <w:tab w:leader="none" w:pos="3819" w:val="left"/>
        </w:tabs>
        <w:numPr>
          <w:ilvl w:val="3"/>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bl>
    <w:p>
      <w:pPr>
        <w:sectPr>
          <w:pgSz w:w="11900" w:h="16838" w:orient="portrait"/>
          <w:cols w:equalWidth="0" w:num="1">
            <w:col w:w="11240"/>
          </w:cols>
          <w:pgMar w:left="320" w:top="1440" w:right="339" w:bottom="1440" w:gutter="0" w:footer="0" w:header="0"/>
        </w:sectPr>
      </w:pPr>
    </w:p>
    <w:bookmarkStart w:id="50" w:name="page51"/>
    <w:bookmarkEnd w:id="50"/>
    <w:p>
      <w:pPr>
        <w:spacing w:after="0" w:line="135" w:lineRule="exact"/>
        <w:rPr>
          <w:sz w:val="20"/>
          <w:szCs w:val="20"/>
          <w:color w:val="auto"/>
        </w:rPr>
      </w:pPr>
    </w:p>
    <w:p>
      <w:pPr>
        <w:jc w:val="both"/>
        <w:ind w:left="2600" w:firstLine="648"/>
        <w:spacing w:after="0" w:line="261" w:lineRule="auto"/>
        <w:tabs>
          <w:tab w:leader="none" w:pos="380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instructions given by the Depositary to the Registrar containing information regarding the Person in whose name such Definitive Note shall be registered to effect the transfer or exchange referred to in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above.</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spacing w:after="0" w:line="127" w:lineRule="exact"/>
        <w:rPr>
          <w:sz w:val="20"/>
          <w:szCs w:val="20"/>
          <w:color w:val="auto"/>
        </w:rPr>
      </w:pPr>
    </w:p>
    <w:p>
      <w:pPr>
        <w:jc w:val="both"/>
        <w:ind w:left="1300" w:firstLine="652"/>
        <w:spacing w:after="0" w:line="254" w:lineRule="auto"/>
        <w:tabs>
          <w:tab w:leader="none" w:pos="258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of Beneficial Interests to Another Restricted Global Note</w:t>
      </w:r>
      <w:r>
        <w:rPr>
          <w:rFonts w:ascii="Times New Roman" w:cs="Times New Roman" w:eastAsia="Times New Roman" w:hAnsi="Times New Roman"/>
          <w:sz w:val="20"/>
          <w:szCs w:val="20"/>
          <w:color w:val="auto"/>
        </w:rPr>
        <w:t xml:space="preserve">. A beneficial interest in any Restricted Global Note may be transferred to a Person who takes delivery thereof in the form of a beneficial interest in another Restricted Global Note if the transfer complies with the requirements of </w:t>
      </w:r>
      <w:r>
        <w:rPr>
          <w:rFonts w:ascii="Times New Roman" w:cs="Times New Roman" w:eastAsia="Times New Roman" w:hAnsi="Times New Roman"/>
          <w:sz w:val="20"/>
          <w:szCs w:val="20"/>
          <w:u w:val="single" w:color="auto"/>
          <w:color w:val="auto"/>
        </w:rPr>
        <w:t>Section 2.06(b)(2)</w:t>
      </w:r>
      <w:r>
        <w:rPr>
          <w:rFonts w:ascii="Times New Roman" w:cs="Times New Roman" w:eastAsia="Times New Roman" w:hAnsi="Times New Roman"/>
          <w:sz w:val="20"/>
          <w:szCs w:val="20"/>
          <w:color w:val="auto"/>
        </w:rPr>
        <w:t xml:space="preserve"> above and the Registrar receives the following:</w:t>
      </w:r>
    </w:p>
    <w:p>
      <w:pPr>
        <w:spacing w:after="0" w:line="133" w:lineRule="exact"/>
        <w:rPr>
          <w:rFonts w:ascii="Times New Roman" w:cs="Times New Roman" w:eastAsia="Times New Roman" w:hAnsi="Times New Roman"/>
          <w:sz w:val="20"/>
          <w:szCs w:val="20"/>
          <w:color w:val="auto"/>
        </w:rPr>
      </w:pPr>
    </w:p>
    <w:p>
      <w:pPr>
        <w:jc w:val="both"/>
        <w:ind w:left="1960" w:firstLine="640"/>
        <w:spacing w:after="0" w:line="261" w:lineRule="auto"/>
        <w:tabs>
          <w:tab w:leader="none" w:pos="3247"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transferee will take delivery in the form of a beneficial interest in the 144A Global Note,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(1) thereof;</w:t>
      </w:r>
    </w:p>
    <w:p>
      <w:pPr>
        <w:spacing w:after="0" w:line="127" w:lineRule="exact"/>
        <w:rPr>
          <w:rFonts w:ascii="Times New Roman" w:cs="Times New Roman" w:eastAsia="Times New Roman" w:hAnsi="Times New Roman"/>
          <w:sz w:val="20"/>
          <w:szCs w:val="20"/>
          <w:color w:val="auto"/>
        </w:rPr>
      </w:pPr>
    </w:p>
    <w:p>
      <w:pPr>
        <w:jc w:val="both"/>
        <w:ind w:left="1960" w:firstLine="640"/>
        <w:spacing w:after="0" w:line="267" w:lineRule="auto"/>
        <w:tabs>
          <w:tab w:leader="none" w:pos="325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transferee will take delivery in the form of a beneficial interest in the Regulation S Global Note, then the transferor must deliver a certificate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w:t>
      </w:r>
    </w:p>
    <w:p>
      <w:pPr>
        <w:spacing w:after="0" w:line="1" w:lineRule="exact"/>
        <w:rPr>
          <w:rFonts w:ascii="Times New Roman" w:cs="Times New Roman" w:eastAsia="Times New Roman" w:hAnsi="Times New Roman"/>
          <w:sz w:val="19"/>
          <w:szCs w:val="19"/>
          <w:color w:val="auto"/>
        </w:rPr>
      </w:pPr>
    </w:p>
    <w:p>
      <w:pPr>
        <w:ind w:left="2240" w:hanging="288"/>
        <w:spacing w:after="0"/>
        <w:tabs>
          <w:tab w:leader="none" w:pos="22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thereof; and</w:t>
      </w:r>
    </w:p>
    <w:p>
      <w:pPr>
        <w:spacing w:after="0" w:line="159" w:lineRule="exact"/>
        <w:rPr>
          <w:rFonts w:ascii="Times New Roman" w:cs="Times New Roman" w:eastAsia="Times New Roman" w:hAnsi="Times New Roman"/>
          <w:sz w:val="20"/>
          <w:szCs w:val="20"/>
          <w:color w:val="auto"/>
        </w:rPr>
      </w:pPr>
    </w:p>
    <w:p>
      <w:pPr>
        <w:jc w:val="both"/>
        <w:ind w:left="1960" w:firstLine="640"/>
        <w:spacing w:after="0" w:line="261" w:lineRule="auto"/>
        <w:tabs>
          <w:tab w:leader="none" w:pos="325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transferee will take delivery in the form of a beneficial interest in the IAI Global Note,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certificates and Opinion of Counsel required by item (3) thereof, if applicable.</w:t>
      </w:r>
    </w:p>
    <w:p>
      <w:pPr>
        <w:spacing w:after="0" w:line="113" w:lineRule="exact"/>
        <w:rPr>
          <w:rFonts w:ascii="Times New Roman" w:cs="Times New Roman" w:eastAsia="Times New Roman" w:hAnsi="Times New Roman"/>
          <w:sz w:val="20"/>
          <w:szCs w:val="20"/>
          <w:color w:val="auto"/>
        </w:rPr>
      </w:pPr>
    </w:p>
    <w:p>
      <w:pPr>
        <w:jc w:val="both"/>
        <w:ind w:left="1300" w:firstLine="652"/>
        <w:spacing w:after="0" w:line="254" w:lineRule="auto"/>
        <w:tabs>
          <w:tab w:leader="none" w:pos="258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and Exchange of Beneficial Interests in a Restricted Global Note for Beneficial Interests in an Unrestricted Global Note</w:t>
      </w:r>
      <w:r>
        <w:rPr>
          <w:rFonts w:ascii="Times New Roman" w:cs="Times New Roman" w:eastAsia="Times New Roman" w:hAnsi="Times New Roman"/>
          <w:sz w:val="20"/>
          <w:szCs w:val="20"/>
          <w:color w:val="auto"/>
        </w:rPr>
        <w:t xml:space="preserv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w:t>
      </w:r>
      <w:r>
        <w:rPr>
          <w:rFonts w:ascii="Times New Roman" w:cs="Times New Roman" w:eastAsia="Times New Roman" w:hAnsi="Times New Roman"/>
          <w:sz w:val="20"/>
          <w:szCs w:val="20"/>
          <w:u w:val="single" w:color="auto"/>
          <w:color w:val="auto"/>
        </w:rPr>
        <w:t>Section</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2.06(b)(2)</w:t>
      </w:r>
      <w:r>
        <w:rPr>
          <w:rFonts w:ascii="Times New Roman" w:cs="Times New Roman" w:eastAsia="Times New Roman" w:hAnsi="Times New Roman"/>
          <w:sz w:val="20"/>
          <w:szCs w:val="20"/>
          <w:color w:val="auto"/>
        </w:rPr>
        <w:t xml:space="preserve"> above and the Registrar receives the following:</w:t>
      </w:r>
    </w:p>
    <w:p>
      <w:pPr>
        <w:spacing w:after="0" w:line="146" w:lineRule="exact"/>
        <w:rPr>
          <w:rFonts w:ascii="Times New Roman" w:cs="Times New Roman" w:eastAsia="Times New Roman" w:hAnsi="Times New Roman"/>
          <w:sz w:val="20"/>
          <w:szCs w:val="20"/>
          <w:color w:val="auto"/>
        </w:rPr>
      </w:pPr>
    </w:p>
    <w:p>
      <w:pPr>
        <w:jc w:val="both"/>
        <w:ind w:left="1960" w:firstLine="640"/>
        <w:spacing w:after="0" w:line="261" w:lineRule="auto"/>
        <w:tabs>
          <w:tab w:leader="none" w:pos="3247"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including the certifications in item (1)(a) thereof; or</w:t>
      </w:r>
    </w:p>
    <w:p>
      <w:pPr>
        <w:spacing w:after="0" w:line="127" w:lineRule="exact"/>
        <w:rPr>
          <w:rFonts w:ascii="Times New Roman" w:cs="Times New Roman" w:eastAsia="Times New Roman" w:hAnsi="Times New Roman"/>
          <w:sz w:val="20"/>
          <w:szCs w:val="20"/>
          <w:color w:val="auto"/>
        </w:rPr>
      </w:pPr>
    </w:p>
    <w:p>
      <w:pPr>
        <w:jc w:val="both"/>
        <w:ind w:left="1960" w:firstLine="640"/>
        <w:spacing w:after="0" w:line="258" w:lineRule="auto"/>
        <w:tabs>
          <w:tab w:leader="none" w:pos="325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(4) thereof</w:t>
      </w:r>
    </w:p>
    <w:p>
      <w:pPr>
        <w:spacing w:after="0" w:line="118" w:lineRule="exact"/>
        <w:rPr>
          <w:sz w:val="20"/>
          <w:szCs w:val="20"/>
          <w:color w:val="auto"/>
        </w:rPr>
      </w:pPr>
    </w:p>
    <w:p>
      <w:pPr>
        <w:ind w:left="1960"/>
        <w:spacing w:after="0" w:line="310" w:lineRule="auto"/>
        <w:rPr>
          <w:sz w:val="20"/>
          <w:szCs w:val="20"/>
          <w:color w:val="auto"/>
        </w:rPr>
      </w:pPr>
      <w:r>
        <w:rPr>
          <w:rFonts w:ascii="Times New Roman" w:cs="Times New Roman" w:eastAsia="Times New Roman" w:hAnsi="Times New Roman"/>
          <w:sz w:val="19"/>
          <w:szCs w:val="19"/>
          <w:color w:val="auto"/>
        </w:rPr>
        <w:t xml:space="preserve">and, in each such case set forth in this </w:t>
      </w:r>
      <w:r>
        <w:rPr>
          <w:rFonts w:ascii="Times New Roman" w:cs="Times New Roman" w:eastAsia="Times New Roman" w:hAnsi="Times New Roman"/>
          <w:sz w:val="19"/>
          <w:szCs w:val="19"/>
          <w:u w:val="single" w:color="auto"/>
          <w:color w:val="auto"/>
        </w:rPr>
        <w:t>Section 2.06(b)(4)</w:t>
      </w:r>
      <w:r>
        <w:rPr>
          <w:rFonts w:ascii="Times New Roman" w:cs="Times New Roman" w:eastAsia="Times New Roman" w:hAnsi="Times New Roman"/>
          <w:sz w:val="19"/>
          <w:szCs w:val="19"/>
          <w:color w:val="auto"/>
        </w:rPr>
        <w:t>, if the Registrar so requests or if the Applicable Procedures so require, an Opinion of Counsel in form reasonably acceptable to the Registrar to the effect that such exchange or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bl>
    <w:p>
      <w:pPr>
        <w:sectPr>
          <w:pgSz w:w="11900" w:h="16838" w:orient="portrait"/>
          <w:cols w:equalWidth="0" w:num="1">
            <w:col w:w="11240"/>
          </w:cols>
          <w:pgMar w:left="320" w:top="1440" w:right="339" w:bottom="1440" w:gutter="0" w:footer="0" w:header="0"/>
        </w:sectPr>
      </w:pPr>
    </w:p>
    <w:bookmarkStart w:id="51" w:name="page52"/>
    <w:bookmarkEnd w:id="51"/>
    <w:p>
      <w:pPr>
        <w:spacing w:after="0" w:line="135" w:lineRule="exact"/>
        <w:rPr>
          <w:sz w:val="20"/>
          <w:szCs w:val="20"/>
          <w:color w:val="auto"/>
        </w:rPr>
      </w:pPr>
    </w:p>
    <w:p>
      <w:pPr>
        <w:ind w:left="1960"/>
        <w:spacing w:after="0" w:line="283" w:lineRule="auto"/>
        <w:rPr>
          <w:sz w:val="20"/>
          <w:szCs w:val="20"/>
          <w:color w:val="auto"/>
        </w:rPr>
      </w:pPr>
      <w:r>
        <w:rPr>
          <w:rFonts w:ascii="Times New Roman" w:cs="Times New Roman" w:eastAsia="Times New Roman" w:hAnsi="Times New Roman"/>
          <w:sz w:val="20"/>
          <w:szCs w:val="20"/>
          <w:color w:val="auto"/>
        </w:rPr>
        <w:t>transfer is in compliance with the Securities Act and that the restrictions on transfer contained herein and in the Private Placement Legend are no longer required in order to maintain compliance with the Securities Act.</w:t>
      </w:r>
    </w:p>
    <w:p>
      <w:pPr>
        <w:spacing w:after="0" w:line="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If any such transfer is effected pursuant to this </w:t>
      </w:r>
      <w:r>
        <w:rPr>
          <w:rFonts w:ascii="Times New Roman" w:cs="Times New Roman" w:eastAsia="Times New Roman" w:hAnsi="Times New Roman"/>
          <w:sz w:val="20"/>
          <w:szCs w:val="20"/>
          <w:u w:val="single" w:color="auto"/>
          <w:color w:val="auto"/>
        </w:rPr>
        <w:t>Section 2.06(b)(4)</w:t>
      </w:r>
      <w:r>
        <w:rPr>
          <w:rFonts w:ascii="Times New Roman" w:cs="Times New Roman" w:eastAsia="Times New Roman" w:hAnsi="Times New Roman"/>
          <w:sz w:val="20"/>
          <w:szCs w:val="20"/>
          <w:color w:val="auto"/>
        </w:rPr>
        <w:t xml:space="preserve"> at a time when an Unrestricted Global Note has not yet been issued, the Company shall issue and, upon receipt of an Authentication Order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hereof, the Trustee shall authenticate one or more Unrestricted Global Notes in an aggregate principal amount equal to the aggregate principal amount of beneficial interests transferred pursuant to this </w:t>
      </w:r>
      <w:r>
        <w:rPr>
          <w:rFonts w:ascii="Times New Roman" w:cs="Times New Roman" w:eastAsia="Times New Roman" w:hAnsi="Times New Roman"/>
          <w:sz w:val="20"/>
          <w:szCs w:val="20"/>
          <w:u w:val="single" w:color="auto"/>
          <w:color w:val="auto"/>
        </w:rPr>
        <w:t>Section 2.06(b)(4)</w:t>
      </w:r>
      <w:r>
        <w:rPr>
          <w:rFonts w:ascii="Times New Roman" w:cs="Times New Roman" w:eastAsia="Times New Roman" w:hAnsi="Times New Roman"/>
          <w:sz w:val="20"/>
          <w:szCs w:val="20"/>
          <w:color w:val="auto"/>
        </w:rPr>
        <w:t>.</w:t>
      </w:r>
    </w:p>
    <w:p>
      <w:pPr>
        <w:spacing w:after="0" w:line="13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Beneficial interests in an Unrestricted Global Note cannot be exchanged for, or transferred to Persons who take delivery thereof in the form of, a beneficial interest in a Restricted Global Note.</w:t>
      </w:r>
    </w:p>
    <w:p>
      <w:pPr>
        <w:spacing w:after="0" w:line="119" w:lineRule="exact"/>
        <w:rPr>
          <w:sz w:val="20"/>
          <w:szCs w:val="20"/>
          <w:color w:val="auto"/>
        </w:rPr>
      </w:pPr>
    </w:p>
    <w:p>
      <w:pPr>
        <w:ind w:left="1940" w:hanging="636"/>
        <w:spacing w:after="0"/>
        <w:tabs>
          <w:tab w:leader="none" w:pos="19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or Exchange of Beneficial Interests for Definitive Notes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84"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Beneficial Interests in Restricted Global Notes to Restricted Definitive Notes</w:t>
      </w:r>
      <w:r>
        <w:rPr>
          <w:rFonts w:ascii="Times New Roman" w:cs="Times New Roman" w:eastAsia="Times New Roman" w:hAnsi="Times New Roman"/>
          <w:sz w:val="20"/>
          <w:szCs w:val="20"/>
          <w:color w:val="auto"/>
        </w:rPr>
        <w:t>.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31" w:lineRule="exact"/>
        <w:rPr>
          <w:rFonts w:ascii="Times New Roman" w:cs="Times New Roman" w:eastAsia="Times New Roman" w:hAnsi="Times New Roman"/>
          <w:sz w:val="20"/>
          <w:szCs w:val="20"/>
          <w:color w:val="auto"/>
        </w:rPr>
      </w:pPr>
    </w:p>
    <w:p>
      <w:pPr>
        <w:jc w:val="both"/>
        <w:ind w:left="1300" w:firstLine="1300"/>
        <w:spacing w:after="0" w:line="261" w:lineRule="auto"/>
        <w:tabs>
          <w:tab w:leader="none" w:pos="3235"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27" w:lineRule="exact"/>
        <w:rPr>
          <w:rFonts w:ascii="Times New Roman" w:cs="Times New Roman" w:eastAsia="Times New Roman" w:hAnsi="Times New Roman"/>
          <w:sz w:val="20"/>
          <w:szCs w:val="20"/>
          <w:color w:val="auto"/>
        </w:rPr>
      </w:pPr>
    </w:p>
    <w:p>
      <w:pPr>
        <w:ind w:left="1300" w:right="20" w:firstLine="1300"/>
        <w:spacing w:after="0" w:line="269" w:lineRule="auto"/>
        <w:tabs>
          <w:tab w:leader="none" w:pos="3238"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beneficial interest is being transferred to a QIB in accordance with Rule 144A, a certificate to the effect set forth in Exhibit B hereto, including the certifications in item (1) thereof;</w:t>
      </w:r>
    </w:p>
    <w:p>
      <w:pPr>
        <w:spacing w:after="0" w:line="118" w:lineRule="exact"/>
        <w:rPr>
          <w:rFonts w:ascii="Times New Roman" w:cs="Times New Roman" w:eastAsia="Times New Roman" w:hAnsi="Times New Roman"/>
          <w:sz w:val="20"/>
          <w:szCs w:val="20"/>
          <w:color w:val="auto"/>
        </w:rPr>
      </w:pPr>
    </w:p>
    <w:p>
      <w:pPr>
        <w:jc w:val="both"/>
        <w:ind w:left="1300" w:firstLine="1300"/>
        <w:spacing w:after="0" w:line="261" w:lineRule="auto"/>
        <w:tabs>
          <w:tab w:leader="none" w:pos="3238"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113" w:lineRule="exact"/>
        <w:rPr>
          <w:rFonts w:ascii="Times New Roman" w:cs="Times New Roman" w:eastAsia="Times New Roman" w:hAnsi="Times New Roman"/>
          <w:sz w:val="20"/>
          <w:szCs w:val="20"/>
          <w:color w:val="auto"/>
        </w:rPr>
      </w:pPr>
    </w:p>
    <w:p>
      <w:pPr>
        <w:jc w:val="both"/>
        <w:ind w:left="1300" w:firstLine="1300"/>
        <w:spacing w:after="0" w:line="268" w:lineRule="auto"/>
        <w:tabs>
          <w:tab w:leader="none" w:pos="3235"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107" w:lineRule="exact"/>
        <w:rPr>
          <w:rFonts w:ascii="Times New Roman" w:cs="Times New Roman" w:eastAsia="Times New Roman" w:hAnsi="Times New Roman"/>
          <w:sz w:val="20"/>
          <w:szCs w:val="20"/>
          <w:color w:val="auto"/>
        </w:rPr>
      </w:pPr>
    </w:p>
    <w:p>
      <w:pPr>
        <w:jc w:val="both"/>
        <w:ind w:left="1300" w:firstLine="1300"/>
        <w:spacing w:after="0" w:line="258" w:lineRule="auto"/>
        <w:tabs>
          <w:tab w:leader="none" w:pos="3240"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beneficial interest is being transferred to an Institutional Accredited Investor in reliance on an exemption from the registration requirements of the Securities Act other than those listed in subparagraphs (B) through</w:t>
      </w:r>
    </w:p>
    <w:p>
      <w:pPr>
        <w:ind w:left="130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 above, a certificate to the effect set forth in Exhibit B hereto, including the certifications, certificates and Opinion of Counsel required by item (3) thereof, if applicable;</w:t>
      </w:r>
    </w:p>
    <w:p>
      <w:pPr>
        <w:spacing w:after="0" w:line="127" w:lineRule="exact"/>
        <w:rPr>
          <w:rFonts w:ascii="Times New Roman" w:cs="Times New Roman" w:eastAsia="Times New Roman" w:hAnsi="Times New Roman"/>
          <w:sz w:val="20"/>
          <w:szCs w:val="20"/>
          <w:color w:val="auto"/>
        </w:rPr>
      </w:pPr>
    </w:p>
    <w:p>
      <w:pPr>
        <w:ind w:left="1300" w:right="20" w:firstLine="1300"/>
        <w:spacing w:after="0" w:line="269" w:lineRule="auto"/>
        <w:tabs>
          <w:tab w:leader="none" w:pos="3243"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beneficial interest is being transferred to the Company or any of its Subsidiaries, a certificate to the effect set forth in Exhibit B hereto, including the certifications in item (3)(b) thereof; or</w:t>
      </w:r>
    </w:p>
    <w:p>
      <w:pPr>
        <w:spacing w:after="0" w:line="118" w:lineRule="exact"/>
        <w:rPr>
          <w:rFonts w:ascii="Times New Roman" w:cs="Times New Roman" w:eastAsia="Times New Roman" w:hAnsi="Times New Roman"/>
          <w:sz w:val="20"/>
          <w:szCs w:val="20"/>
          <w:color w:val="auto"/>
        </w:rPr>
      </w:pPr>
    </w:p>
    <w:p>
      <w:pPr>
        <w:ind w:left="1300" w:firstLine="1300"/>
        <w:spacing w:after="0" w:line="269" w:lineRule="auto"/>
        <w:tabs>
          <w:tab w:leader="none" w:pos="3235"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bl>
    <w:p>
      <w:pPr>
        <w:sectPr>
          <w:pgSz w:w="11900" w:h="16838" w:orient="portrait"/>
          <w:cols w:equalWidth="0" w:num="1">
            <w:col w:w="11240"/>
          </w:cols>
          <w:pgMar w:left="320" w:top="1440" w:right="339" w:bottom="1440" w:gutter="0" w:footer="0" w:header="0"/>
        </w:sectPr>
      </w:pPr>
    </w:p>
    <w:bookmarkStart w:id="52" w:name="page53"/>
    <w:bookmarkEnd w:id="52"/>
    <w:p>
      <w:pPr>
        <w:spacing w:after="0" w:line="1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the Trustee shall cause the aggregate principal amount of the applicable Global Note to be reduced accordingly pursuant to </w:t>
      </w:r>
      <w:r>
        <w:rPr>
          <w:rFonts w:ascii="Times New Roman" w:cs="Times New Roman" w:eastAsia="Times New Roman" w:hAnsi="Times New Roman"/>
          <w:sz w:val="20"/>
          <w:szCs w:val="20"/>
          <w:u w:val="single" w:color="auto"/>
          <w:color w:val="auto"/>
        </w:rPr>
        <w:t>Section 2.06(h)</w:t>
      </w:r>
      <w:r>
        <w:rPr>
          <w:rFonts w:ascii="Times New Roman" w:cs="Times New Roman" w:eastAsia="Times New Roman" w:hAnsi="Times New Roman"/>
          <w:sz w:val="20"/>
          <w:szCs w:val="20"/>
          <w:color w:val="auto"/>
        </w:rPr>
        <w:t xml:space="preserve">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 xml:space="preserve">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w:t>
      </w:r>
      <w:r>
        <w:rPr>
          <w:rFonts w:ascii="Times New Roman" w:cs="Times New Roman" w:eastAsia="Times New Roman" w:hAnsi="Times New Roman"/>
          <w:sz w:val="20"/>
          <w:szCs w:val="20"/>
          <w:u w:val="single" w:color="auto"/>
          <w:color w:val="auto"/>
        </w:rPr>
        <w:t>Section 2.06(c)(1)</w:t>
      </w:r>
      <w:r>
        <w:rPr>
          <w:rFonts w:ascii="Times New Roman" w:cs="Times New Roman" w:eastAsia="Times New Roman" w:hAnsi="Times New Roman"/>
          <w:sz w:val="20"/>
          <w:szCs w:val="20"/>
          <w:color w:val="auto"/>
        </w:rPr>
        <w:t xml:space="preserve"> shall bear the Private Placement Legend and shall be subject to all restrictions on transfer contained therein.</w:t>
      </w:r>
    </w:p>
    <w:p>
      <w:pPr>
        <w:spacing w:after="0" w:line="200" w:lineRule="exact"/>
        <w:rPr>
          <w:sz w:val="20"/>
          <w:szCs w:val="20"/>
          <w:color w:val="auto"/>
        </w:rPr>
      </w:pPr>
    </w:p>
    <w:p>
      <w:pPr>
        <w:spacing w:after="0" w:line="346" w:lineRule="exact"/>
        <w:rPr>
          <w:sz w:val="20"/>
          <w:szCs w:val="20"/>
          <w:color w:val="auto"/>
        </w:rPr>
      </w:pPr>
    </w:p>
    <w:p>
      <w:pPr>
        <w:jc w:val="both"/>
        <w:ind w:left="1300" w:firstLine="652"/>
        <w:spacing w:after="0" w:line="258" w:lineRule="auto"/>
        <w:tabs>
          <w:tab w:leader="none" w:pos="258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Beneficial Interests in Restricted Global Notes to Unrestricted Definitive Notes</w:t>
      </w:r>
      <w:r>
        <w:rPr>
          <w:rFonts w:ascii="Times New Roman" w:cs="Times New Roman" w:eastAsia="Times New Roman" w:hAnsi="Times New Roman"/>
          <w:sz w:val="20"/>
          <w:szCs w:val="20"/>
          <w:color w:val="auto"/>
        </w:rPr>
        <w:t>. A holder of a beneficial interest 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18" w:lineRule="exact"/>
        <w:rPr>
          <w:rFonts w:ascii="Times New Roman" w:cs="Times New Roman" w:eastAsia="Times New Roman" w:hAnsi="Times New Roman"/>
          <w:sz w:val="20"/>
          <w:szCs w:val="20"/>
          <w:color w:val="auto"/>
        </w:rPr>
      </w:pPr>
    </w:p>
    <w:p>
      <w:pPr>
        <w:jc w:val="both"/>
        <w:ind w:left="1300" w:firstLine="1300"/>
        <w:spacing w:after="0" w:line="261" w:lineRule="auto"/>
        <w:tabs>
          <w:tab w:leader="none" w:pos="3235"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beneficial interest in a Restricted Global Note proposes to exchange such beneficial interest for an Unrestricted Definitive Note, a certificate from such 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including the certifications in item (1)(b) thereof; or</w:t>
      </w:r>
    </w:p>
    <w:p>
      <w:pPr>
        <w:spacing w:after="0" w:line="127" w:lineRule="exact"/>
        <w:rPr>
          <w:rFonts w:ascii="Times New Roman" w:cs="Times New Roman" w:eastAsia="Times New Roman" w:hAnsi="Times New Roman"/>
          <w:sz w:val="20"/>
          <w:szCs w:val="20"/>
          <w:color w:val="auto"/>
        </w:rPr>
      </w:pPr>
    </w:p>
    <w:p>
      <w:pPr>
        <w:jc w:val="both"/>
        <w:ind w:left="1300" w:firstLine="1300"/>
        <w:spacing w:after="0" w:line="261" w:lineRule="auto"/>
        <w:tabs>
          <w:tab w:leader="none" w:pos="323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(4) thereof;</w:t>
      </w:r>
    </w:p>
    <w:p>
      <w:pPr>
        <w:spacing w:after="0" w:line="127"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20"/>
          <w:szCs w:val="20"/>
          <w:color w:val="auto"/>
        </w:rPr>
        <w:t xml:space="preserve">and, in each such case set forth in this </w:t>
      </w:r>
      <w:r>
        <w:rPr>
          <w:rFonts w:ascii="Times New Roman" w:cs="Times New Roman" w:eastAsia="Times New Roman" w:hAnsi="Times New Roman"/>
          <w:sz w:val="20"/>
          <w:szCs w:val="20"/>
          <w:u w:val="single" w:color="auto"/>
          <w:color w:val="auto"/>
        </w:rPr>
        <w:t>Section 2.06(c)(2)</w:t>
      </w:r>
      <w:r>
        <w:rPr>
          <w:rFonts w:ascii="Times New Roman" w:cs="Times New Roman" w:eastAsia="Times New Roman" w:hAnsi="Times New Roman"/>
          <w:sz w:val="20"/>
          <w:szCs w:val="20"/>
          <w:color w:val="auto"/>
        </w:rPr>
        <w:t>,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33" w:lineRule="exact"/>
        <w:rPr>
          <w:sz w:val="20"/>
          <w:szCs w:val="20"/>
          <w:color w:val="auto"/>
        </w:rPr>
      </w:pPr>
    </w:p>
    <w:p>
      <w:pPr>
        <w:jc w:val="both"/>
        <w:ind w:left="1300" w:firstLine="733"/>
        <w:spacing w:after="0" w:line="250" w:lineRule="auto"/>
        <w:tabs>
          <w:tab w:leader="none" w:pos="258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Beneficial Interests in Unrestricted Global Notes to Unrestricted Definitive Notes</w:t>
      </w:r>
      <w:r>
        <w:rPr>
          <w:rFonts w:ascii="Times New Roman" w:cs="Times New Roman" w:eastAsia="Times New Roman" w:hAnsi="Times New Roman"/>
          <w:sz w:val="20"/>
          <w:szCs w:val="20"/>
          <w:color w:val="auto"/>
        </w:rPr>
        <w:t xml:space="preserve">. 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w:t>
      </w:r>
      <w:r>
        <w:rPr>
          <w:rFonts w:ascii="Times New Roman" w:cs="Times New Roman" w:eastAsia="Times New Roman" w:hAnsi="Times New Roman"/>
          <w:sz w:val="20"/>
          <w:szCs w:val="20"/>
          <w:u w:val="single" w:color="auto"/>
          <w:color w:val="auto"/>
        </w:rPr>
        <w:t>Section 2.06(b)(2)</w:t>
      </w:r>
      <w:r>
        <w:rPr>
          <w:rFonts w:ascii="Times New Roman" w:cs="Times New Roman" w:eastAsia="Times New Roman" w:hAnsi="Times New Roman"/>
          <w:sz w:val="20"/>
          <w:szCs w:val="20"/>
          <w:color w:val="auto"/>
        </w:rPr>
        <w:t xml:space="preserve"> hereof, the Trustee will cause the aggregate principal amount of the applicable Unrestricted Global Note to be reduced accordingly pursuant to </w:t>
      </w:r>
      <w:r>
        <w:rPr>
          <w:rFonts w:ascii="Times New Roman" w:cs="Times New Roman" w:eastAsia="Times New Roman" w:hAnsi="Times New Roman"/>
          <w:sz w:val="20"/>
          <w:szCs w:val="20"/>
          <w:u w:val="single" w:color="auto"/>
          <w:color w:val="auto"/>
        </w:rPr>
        <w:t>Section 2.06(h)</w:t>
      </w:r>
      <w:r>
        <w:rPr>
          <w:rFonts w:ascii="Times New Roman" w:cs="Times New Roman" w:eastAsia="Times New Roman" w:hAnsi="Times New Roman"/>
          <w:sz w:val="20"/>
          <w:szCs w:val="20"/>
          <w:color w:val="auto"/>
        </w:rPr>
        <w:t xml:space="preserve"> hereof, and the Company will execute and the Trustee will authenticate and deliver to the Person designated in the instructions a Definitive Note in the appropriate principal amount. Any Definitive Note issued in exchange for a beneficial interest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2.06(c)(3)</w:t>
      </w:r>
      <w:r>
        <w:rPr>
          <w:rFonts w:ascii="Times New Roman" w:cs="Times New Roman" w:eastAsia="Times New Roman" w:hAnsi="Times New Roman"/>
          <w:sz w:val="20"/>
          <w:szCs w:val="20"/>
          <w:color w:val="auto"/>
        </w:rPr>
        <w:t xml:space="preserve">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bl>
    <w:p>
      <w:pPr>
        <w:sectPr>
          <w:pgSz w:w="11900" w:h="16838" w:orient="portrait"/>
          <w:cols w:equalWidth="0" w:num="1">
            <w:col w:w="11240"/>
          </w:cols>
          <w:pgMar w:left="320" w:top="1440" w:right="339" w:bottom="1440" w:gutter="0" w:footer="0" w:header="0"/>
        </w:sectPr>
      </w:pPr>
    </w:p>
    <w:bookmarkStart w:id="53" w:name="page54"/>
    <w:bookmarkEnd w:id="53"/>
    <w:p>
      <w:pPr>
        <w:spacing w:after="0" w:line="135" w:lineRule="exact"/>
        <w:rPr>
          <w:sz w:val="20"/>
          <w:szCs w:val="20"/>
          <w:color w:val="auto"/>
        </w:rPr>
      </w:pPr>
    </w:p>
    <w:p>
      <w:pPr>
        <w:ind w:left="1220"/>
        <w:spacing w:after="0" w:line="283" w:lineRule="auto"/>
        <w:rPr>
          <w:sz w:val="20"/>
          <w:szCs w:val="20"/>
          <w:color w:val="auto"/>
        </w:rPr>
      </w:pPr>
      <w:r>
        <w:rPr>
          <w:rFonts w:ascii="Times New Roman" w:cs="Times New Roman" w:eastAsia="Times New Roman" w:hAnsi="Times New Roman"/>
          <w:sz w:val="20"/>
          <w:szCs w:val="20"/>
          <w:color w:val="auto"/>
        </w:rPr>
        <w:t xml:space="preserve">Definitive Note issued in exchange for a beneficial interest pursuant to this </w:t>
      </w:r>
      <w:r>
        <w:rPr>
          <w:rFonts w:ascii="Times New Roman" w:cs="Times New Roman" w:eastAsia="Times New Roman" w:hAnsi="Times New Roman"/>
          <w:sz w:val="20"/>
          <w:szCs w:val="20"/>
          <w:u w:val="single" w:color="auto"/>
          <w:color w:val="auto"/>
        </w:rPr>
        <w:t>Section 2.06(c)(3)</w:t>
      </w:r>
      <w:r>
        <w:rPr>
          <w:rFonts w:ascii="Times New Roman" w:cs="Times New Roman" w:eastAsia="Times New Roman" w:hAnsi="Times New Roman"/>
          <w:sz w:val="20"/>
          <w:szCs w:val="20"/>
          <w:color w:val="auto"/>
        </w:rPr>
        <w:t xml:space="preserve"> will not bear the Private Placement Legend.</w:t>
      </w:r>
    </w:p>
    <w:p>
      <w:pPr>
        <w:spacing w:after="0" w:line="92" w:lineRule="exact"/>
        <w:rPr>
          <w:sz w:val="20"/>
          <w:szCs w:val="20"/>
          <w:color w:val="auto"/>
        </w:rPr>
      </w:pPr>
    </w:p>
    <w:p>
      <w:pPr>
        <w:ind w:left="1860" w:hanging="636"/>
        <w:spacing w:after="0"/>
        <w:tabs>
          <w:tab w:leader="none" w:pos="18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and Exchange of Definitive Notes for Beneficial Interests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1220" w:firstLine="733"/>
        <w:spacing w:after="0" w:line="258" w:lineRule="auto"/>
        <w:tabs>
          <w:tab w:leader="none" w:pos="2504"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Definitive Notes to Beneficial Interests in Restricted Global Notes</w:t>
      </w:r>
      <w:r>
        <w:rPr>
          <w:rFonts w:ascii="Times New Roman" w:cs="Times New Roman" w:eastAsia="Times New Roman" w:hAnsi="Times New Roman"/>
          <w:sz w:val="20"/>
          <w:szCs w:val="20"/>
          <w:color w:val="auto"/>
        </w:rPr>
        <w:t>. 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18" w:lineRule="exact"/>
        <w:rPr>
          <w:rFonts w:ascii="Times New Roman" w:cs="Times New Roman" w:eastAsia="Times New Roman" w:hAnsi="Times New Roman"/>
          <w:sz w:val="20"/>
          <w:szCs w:val="20"/>
          <w:color w:val="auto"/>
        </w:rPr>
      </w:pPr>
    </w:p>
    <w:p>
      <w:pPr>
        <w:jc w:val="both"/>
        <w:ind w:left="1220" w:firstLine="1300"/>
        <w:spacing w:after="0" w:line="261" w:lineRule="auto"/>
        <w:tabs>
          <w:tab w:leader="none" w:pos="3155"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Restricted Definitive Note proposes to exchange such Note for a beneficial interest in a Restricted Global Note, a certificate from such 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including the certifications in item (2)(b) thereof;</w:t>
      </w:r>
    </w:p>
    <w:p>
      <w:pPr>
        <w:spacing w:after="0" w:line="127" w:lineRule="exact"/>
        <w:rPr>
          <w:rFonts w:ascii="Times New Roman" w:cs="Times New Roman" w:eastAsia="Times New Roman" w:hAnsi="Times New Roman"/>
          <w:sz w:val="20"/>
          <w:szCs w:val="20"/>
          <w:color w:val="auto"/>
        </w:rPr>
      </w:pPr>
    </w:p>
    <w:p>
      <w:pPr>
        <w:ind w:left="1220" w:right="20" w:firstLine="1300"/>
        <w:spacing w:after="0" w:line="283" w:lineRule="auto"/>
        <w:tabs>
          <w:tab w:leader="none" w:pos="3158"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to a QIB in accordance with Rule 144A,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(1) thereof;</w:t>
      </w:r>
    </w:p>
    <w:p>
      <w:pPr>
        <w:spacing w:after="0" w:line="92" w:lineRule="exact"/>
        <w:rPr>
          <w:rFonts w:ascii="Times New Roman" w:cs="Times New Roman" w:eastAsia="Times New Roman" w:hAnsi="Times New Roman"/>
          <w:sz w:val="20"/>
          <w:szCs w:val="20"/>
          <w:color w:val="auto"/>
        </w:rPr>
      </w:pPr>
    </w:p>
    <w:p>
      <w:pPr>
        <w:jc w:val="both"/>
        <w:ind w:left="1220" w:firstLine="1300"/>
        <w:spacing w:after="0" w:line="261" w:lineRule="auto"/>
        <w:tabs>
          <w:tab w:leader="none" w:pos="3158"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to a Non-U.S. Person in an offshore transaction in accordance with Rule 903 or Rule 904,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(2) thereof;</w:t>
      </w:r>
    </w:p>
    <w:p>
      <w:pPr>
        <w:spacing w:after="0" w:line="127" w:lineRule="exact"/>
        <w:rPr>
          <w:rFonts w:ascii="Times New Roman" w:cs="Times New Roman" w:eastAsia="Times New Roman" w:hAnsi="Times New Roman"/>
          <w:sz w:val="20"/>
          <w:szCs w:val="20"/>
          <w:color w:val="auto"/>
        </w:rPr>
      </w:pPr>
    </w:p>
    <w:p>
      <w:pPr>
        <w:jc w:val="both"/>
        <w:ind w:left="1220" w:firstLine="1300"/>
        <w:spacing w:after="0" w:line="261" w:lineRule="auto"/>
        <w:tabs>
          <w:tab w:leader="none" w:pos="3155"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(3)(a) thereof;</w:t>
      </w:r>
    </w:p>
    <w:p>
      <w:pPr>
        <w:spacing w:after="0" w:line="127" w:lineRule="exact"/>
        <w:rPr>
          <w:rFonts w:ascii="Times New Roman" w:cs="Times New Roman" w:eastAsia="Times New Roman" w:hAnsi="Times New Roman"/>
          <w:sz w:val="20"/>
          <w:szCs w:val="20"/>
          <w:color w:val="auto"/>
        </w:rPr>
      </w:pPr>
    </w:p>
    <w:p>
      <w:pPr>
        <w:jc w:val="both"/>
        <w:ind w:left="1220" w:right="20" w:firstLine="1300"/>
        <w:spacing w:after="0" w:line="254" w:lineRule="auto"/>
        <w:tabs>
          <w:tab w:leader="none" w:pos="3160"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to an Institutional Accredited Investor in reliance on an exemption from the registration requirements of the Securities Act other than those listed in subparagraphs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certificates and Opinion of Counsel required by item (3) thereof, if applicable;</w:t>
      </w:r>
    </w:p>
    <w:p>
      <w:pPr>
        <w:spacing w:after="0" w:line="133" w:lineRule="exact"/>
        <w:rPr>
          <w:rFonts w:ascii="Times New Roman" w:cs="Times New Roman" w:eastAsia="Times New Roman" w:hAnsi="Times New Roman"/>
          <w:sz w:val="20"/>
          <w:szCs w:val="20"/>
          <w:color w:val="auto"/>
        </w:rPr>
      </w:pPr>
    </w:p>
    <w:p>
      <w:pPr>
        <w:ind w:left="1220" w:right="20" w:firstLine="1300"/>
        <w:spacing w:after="0" w:line="283" w:lineRule="auto"/>
        <w:tabs>
          <w:tab w:leader="none" w:pos="3163"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to the Company or any of its Subsidiaries,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(3)(b) thereof; or</w:t>
      </w:r>
    </w:p>
    <w:p>
      <w:pPr>
        <w:spacing w:after="0" w:line="92" w:lineRule="exact"/>
        <w:rPr>
          <w:rFonts w:ascii="Times New Roman" w:cs="Times New Roman" w:eastAsia="Times New Roman" w:hAnsi="Times New Roman"/>
          <w:sz w:val="20"/>
          <w:szCs w:val="20"/>
          <w:color w:val="auto"/>
        </w:rPr>
      </w:pPr>
    </w:p>
    <w:p>
      <w:pPr>
        <w:jc w:val="both"/>
        <w:ind w:left="1220" w:firstLine="1300"/>
        <w:spacing w:after="0" w:line="261" w:lineRule="auto"/>
        <w:tabs>
          <w:tab w:leader="none" w:pos="3155"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pursuant to an effective registration statement under the Securities Act,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(3)(c) thereof,</w:t>
      </w:r>
    </w:p>
    <w:p>
      <w:pPr>
        <w:spacing w:after="0" w:line="127"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20"/>
          <w:szCs w:val="20"/>
          <w:color w:val="auto"/>
        </w:rPr>
        <w:t xml:space="preserve">the Trustee will cancel the Restricted Definitive Note, increase or cause to be increased the aggregate principal amount of, in the case of clause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above, the appropriate Restricted Global Note, in the case of clause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the 144A Global Note, in the case of clause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the Regulation S Global Note, and in all other cases, the IAI Global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bl>
    <w:p>
      <w:pPr>
        <w:sectPr>
          <w:pgSz w:w="11900" w:h="16838" w:orient="portrait"/>
          <w:cols w:equalWidth="0" w:num="1">
            <w:col w:w="11160"/>
          </w:cols>
          <w:pgMar w:left="400" w:top="1440" w:right="339" w:bottom="1440" w:gutter="0" w:footer="0" w:header="0"/>
        </w:sectPr>
      </w:pPr>
    </w:p>
    <w:bookmarkStart w:id="54" w:name="page55"/>
    <w:bookmarkEnd w:id="54"/>
    <w:p>
      <w:pPr>
        <w:spacing w:after="0" w:line="135" w:lineRule="exact"/>
        <w:rPr>
          <w:sz w:val="20"/>
          <w:szCs w:val="20"/>
          <w:color w:val="auto"/>
        </w:rPr>
      </w:pPr>
    </w:p>
    <w:p>
      <w:pPr>
        <w:jc w:val="both"/>
        <w:ind w:left="1300" w:firstLine="733"/>
        <w:spacing w:after="0" w:line="258" w:lineRule="auto"/>
        <w:tabs>
          <w:tab w:leader="none" w:pos="258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Definitive Notes to Beneficial Interests in Unrestricted Global Notes</w:t>
      </w:r>
      <w:r>
        <w:rPr>
          <w:rFonts w:ascii="Times New Roman" w:cs="Times New Roman" w:eastAsia="Times New Roman" w:hAnsi="Times New Roman"/>
          <w:sz w:val="20"/>
          <w:szCs w:val="20"/>
          <w:color w:val="auto"/>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18" w:lineRule="exact"/>
        <w:rPr>
          <w:rFonts w:ascii="Times New Roman" w:cs="Times New Roman" w:eastAsia="Times New Roman" w:hAnsi="Times New Roman"/>
          <w:sz w:val="20"/>
          <w:szCs w:val="20"/>
          <w:color w:val="auto"/>
        </w:rPr>
      </w:pPr>
    </w:p>
    <w:p>
      <w:pPr>
        <w:jc w:val="both"/>
        <w:ind w:left="1300" w:firstLine="1300"/>
        <w:spacing w:after="0" w:line="268" w:lineRule="auto"/>
        <w:tabs>
          <w:tab w:leader="none" w:pos="3235"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Definitive Notes proposes to exchange such Notes for a beneficial interest in the Unrestricted Global Note, a certificate from such 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including the certifications in item (1)(c) thereof; or</w:t>
      </w:r>
    </w:p>
    <w:p>
      <w:pPr>
        <w:spacing w:after="0" w:line="107" w:lineRule="exact"/>
        <w:rPr>
          <w:rFonts w:ascii="Times New Roman" w:cs="Times New Roman" w:eastAsia="Times New Roman" w:hAnsi="Times New Roman"/>
          <w:sz w:val="20"/>
          <w:szCs w:val="20"/>
          <w:color w:val="auto"/>
        </w:rPr>
      </w:pPr>
    </w:p>
    <w:p>
      <w:pPr>
        <w:jc w:val="both"/>
        <w:ind w:left="1300" w:firstLine="1300"/>
        <w:spacing w:after="0" w:line="261" w:lineRule="auto"/>
        <w:tabs>
          <w:tab w:leader="none" w:pos="323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(4) thereof;</w:t>
      </w:r>
    </w:p>
    <w:p>
      <w:pPr>
        <w:spacing w:after="0" w:line="12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20"/>
          <w:szCs w:val="20"/>
          <w:color w:val="auto"/>
        </w:rPr>
        <w:t xml:space="preserve">and, in each such case set forth in this </w:t>
      </w:r>
      <w:r>
        <w:rPr>
          <w:rFonts w:ascii="Times New Roman" w:cs="Times New Roman" w:eastAsia="Times New Roman" w:hAnsi="Times New Roman"/>
          <w:sz w:val="20"/>
          <w:szCs w:val="20"/>
          <w:u w:val="single" w:color="auto"/>
          <w:color w:val="auto"/>
        </w:rPr>
        <w:t>Section 2.06(d)(2)</w:t>
      </w:r>
      <w:r>
        <w:rPr>
          <w:rFonts w:ascii="Times New Roman" w:cs="Times New Roman" w:eastAsia="Times New Roman" w:hAnsi="Times New Roman"/>
          <w:sz w:val="20"/>
          <w:szCs w:val="20"/>
          <w:color w:val="auto"/>
        </w:rPr>
        <w:t>,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18"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Upon satisfaction of the conditions of any of the subparagraphs in this </w:t>
      </w:r>
      <w:r>
        <w:rPr>
          <w:rFonts w:ascii="Times New Roman" w:cs="Times New Roman" w:eastAsia="Times New Roman" w:hAnsi="Times New Roman"/>
          <w:sz w:val="20"/>
          <w:szCs w:val="20"/>
          <w:u w:val="single" w:color="auto"/>
          <w:color w:val="auto"/>
        </w:rPr>
        <w:t>Section 2.06(d)(2)</w:t>
      </w:r>
      <w:r>
        <w:rPr>
          <w:rFonts w:ascii="Times New Roman" w:cs="Times New Roman" w:eastAsia="Times New Roman" w:hAnsi="Times New Roman"/>
          <w:sz w:val="20"/>
          <w:szCs w:val="20"/>
          <w:color w:val="auto"/>
        </w:rPr>
        <w:t>, the Trustee will cancel the Definitive Notes and increase or cause to be increased the aggregate principal amount of the Unrestricted Global Note.</w:t>
      </w:r>
    </w:p>
    <w:p>
      <w:pPr>
        <w:spacing w:after="0" w:line="106" w:lineRule="exact"/>
        <w:rPr>
          <w:sz w:val="20"/>
          <w:szCs w:val="20"/>
          <w:color w:val="auto"/>
        </w:rPr>
      </w:pPr>
    </w:p>
    <w:p>
      <w:pPr>
        <w:jc w:val="both"/>
        <w:ind w:left="1300" w:firstLine="733"/>
        <w:spacing w:after="0" w:line="251" w:lineRule="auto"/>
        <w:tabs>
          <w:tab w:leader="none" w:pos="258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Unrestricted Definitive Notes to Beneficial Interests in Unrestricted Global Notes</w:t>
      </w:r>
      <w:r>
        <w:rPr>
          <w:rFonts w:ascii="Times New Roman" w:cs="Times New Roman" w:eastAsia="Times New Roman" w:hAnsi="Times New Roman"/>
          <w:sz w:val="20"/>
          <w:szCs w:val="20"/>
          <w:color w:val="auto"/>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If any such exchange or transfer from a Definitive Note to a beneficial interest is effected pursuant to subparagraphs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or</w:t>
      </w:r>
    </w:p>
    <w:p>
      <w:pPr>
        <w:spacing w:after="0" w:line="28" w:lineRule="exact"/>
        <w:rPr>
          <w:sz w:val="20"/>
          <w:szCs w:val="20"/>
          <w:color w:val="auto"/>
        </w:rPr>
      </w:pPr>
    </w:p>
    <w:p>
      <w:pPr>
        <w:jc w:val="both"/>
        <w:ind w:left="660" w:hanging="4"/>
        <w:spacing w:after="0" w:line="253" w:lineRule="auto"/>
        <w:tabs>
          <w:tab w:leader="none" w:pos="967" w:val="left"/>
        </w:tabs>
        <w:numPr>
          <w:ilvl w:val="0"/>
          <w:numId w:val="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at a time when an Unrestricted Global Note has not yet been issued, the Company will issue and, upon receipt of an Authentication Order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hereof, the Trustee will authenticate one or more Unrestricted Global Notes in an aggregate principal amount equal to the principal amount of Definitive Notes so transferred.</w:t>
      </w:r>
    </w:p>
    <w:p>
      <w:pPr>
        <w:spacing w:after="0" w:line="121" w:lineRule="exact"/>
        <w:rPr>
          <w:rFonts w:ascii="Times New Roman" w:cs="Times New Roman" w:eastAsia="Times New Roman" w:hAnsi="Times New Roman"/>
          <w:sz w:val="20"/>
          <w:szCs w:val="20"/>
          <w:u w:val="single" w:color="auto"/>
          <w:color w:val="auto"/>
        </w:rPr>
      </w:pPr>
    </w:p>
    <w:p>
      <w:pPr>
        <w:jc w:val="both"/>
        <w:ind w:firstLine="1304"/>
        <w:spacing w:after="0" w:line="253" w:lineRule="auto"/>
        <w:tabs>
          <w:tab w:leader="none" w:pos="193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and Exchange of Definitive Notes for Definitive Notes</w:t>
      </w:r>
      <w:r>
        <w:rPr>
          <w:rFonts w:ascii="Times New Roman" w:cs="Times New Roman" w:eastAsia="Times New Roman" w:hAnsi="Times New Roman"/>
          <w:sz w:val="20"/>
          <w:szCs w:val="20"/>
          <w:color w:val="auto"/>
        </w:rPr>
        <w:t xml:space="preserve">. Upon request by a Holder of Definitive Notes and such Holder’s compliance with the provisions of this </w:t>
      </w:r>
      <w:r>
        <w:rPr>
          <w:rFonts w:ascii="Times New Roman" w:cs="Times New Roman" w:eastAsia="Times New Roman" w:hAnsi="Times New Roman"/>
          <w:sz w:val="20"/>
          <w:szCs w:val="20"/>
          <w:u w:val="single" w:color="auto"/>
          <w:color w:val="auto"/>
        </w:rPr>
        <w:t>Section 2.06(e)</w:t>
      </w:r>
      <w:r>
        <w:rPr>
          <w:rFonts w:ascii="Times New Roman" w:cs="Times New Roman" w:eastAsia="Times New Roman" w:hAnsi="Times New Roman"/>
          <w:sz w:val="20"/>
          <w:szCs w:val="20"/>
          <w:color w:val="auto"/>
        </w:rPr>
        <w:t xml:space="preserv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w:t>
      </w:r>
      <w:r>
        <w:rPr>
          <w:rFonts w:ascii="Times New Roman" w:cs="Times New Roman" w:eastAsia="Times New Roman" w:hAnsi="Times New Roman"/>
          <w:sz w:val="20"/>
          <w:szCs w:val="20"/>
          <w:u w:val="single" w:color="auto"/>
          <w:color w:val="auto"/>
        </w:rPr>
        <w:t>Section 2.06(e)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bl>
    <w:p>
      <w:pPr>
        <w:sectPr>
          <w:pgSz w:w="11900" w:h="16838" w:orient="portrait"/>
          <w:cols w:equalWidth="0" w:num="1">
            <w:col w:w="11240"/>
          </w:cols>
          <w:pgMar w:left="320" w:top="1440" w:right="339" w:bottom="1440" w:gutter="0" w:footer="0" w:header="0"/>
        </w:sectPr>
      </w:pPr>
    </w:p>
    <w:bookmarkStart w:id="55" w:name="page56"/>
    <w:bookmarkEnd w:id="55"/>
    <w:p>
      <w:pPr>
        <w:spacing w:after="0" w:line="135" w:lineRule="exact"/>
        <w:rPr>
          <w:sz w:val="20"/>
          <w:szCs w:val="20"/>
          <w:color w:val="auto"/>
        </w:rPr>
      </w:pPr>
    </w:p>
    <w:p>
      <w:pPr>
        <w:jc w:val="both"/>
        <w:ind w:left="1220" w:firstLine="652"/>
        <w:spacing w:after="0" w:line="261" w:lineRule="auto"/>
        <w:tabs>
          <w:tab w:leader="none" w:pos="250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Definitive Notes to Restricted Definitive Notes</w:t>
      </w:r>
      <w:r>
        <w:rPr>
          <w:rFonts w:ascii="Times New Roman" w:cs="Times New Roman" w:eastAsia="Times New Roman" w:hAnsi="Times New Roman"/>
          <w:sz w:val="20"/>
          <w:szCs w:val="20"/>
          <w:color w:val="auto"/>
        </w:rPr>
        <w:t>. Any Restricted Definitive Note may be transferred to and registered in the name of Persons who take delivery thereof in the form of a Restricted Definitive Note if the Registrar receives the following:</w:t>
      </w:r>
    </w:p>
    <w:p>
      <w:pPr>
        <w:spacing w:after="0" w:line="127" w:lineRule="exact"/>
        <w:rPr>
          <w:rFonts w:ascii="Times New Roman" w:cs="Times New Roman" w:eastAsia="Times New Roman" w:hAnsi="Times New Roman"/>
          <w:sz w:val="20"/>
          <w:szCs w:val="20"/>
          <w:color w:val="auto"/>
        </w:rPr>
      </w:pPr>
    </w:p>
    <w:p>
      <w:pPr>
        <w:ind w:left="1220" w:right="20" w:firstLine="1300"/>
        <w:spacing w:after="0" w:line="269" w:lineRule="auto"/>
        <w:tabs>
          <w:tab w:leader="none" w:pos="3155"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Rule 144A,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(1) thereof;</w:t>
      </w:r>
    </w:p>
    <w:p>
      <w:pPr>
        <w:spacing w:after="0" w:line="118" w:lineRule="exact"/>
        <w:rPr>
          <w:rFonts w:ascii="Times New Roman" w:cs="Times New Roman" w:eastAsia="Times New Roman" w:hAnsi="Times New Roman"/>
          <w:sz w:val="20"/>
          <w:szCs w:val="20"/>
          <w:color w:val="auto"/>
        </w:rPr>
      </w:pPr>
    </w:p>
    <w:p>
      <w:pPr>
        <w:ind w:left="1220" w:firstLine="1300"/>
        <w:spacing w:after="0" w:line="283" w:lineRule="auto"/>
        <w:tabs>
          <w:tab w:leader="none" w:pos="315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(2) thereof; and</w:t>
      </w:r>
    </w:p>
    <w:p>
      <w:pPr>
        <w:spacing w:after="0" w:line="92" w:lineRule="exact"/>
        <w:rPr>
          <w:rFonts w:ascii="Times New Roman" w:cs="Times New Roman" w:eastAsia="Times New Roman" w:hAnsi="Times New Roman"/>
          <w:sz w:val="20"/>
          <w:szCs w:val="20"/>
          <w:color w:val="auto"/>
        </w:rPr>
      </w:pPr>
    </w:p>
    <w:p>
      <w:pPr>
        <w:jc w:val="both"/>
        <w:ind w:left="1220" w:firstLine="1300"/>
        <w:spacing w:after="0" w:line="261" w:lineRule="auto"/>
        <w:tabs>
          <w:tab w:leader="none" w:pos="315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certificates and Opinion of Counsel required by item (3) thereof, if applicable.</w:t>
      </w:r>
    </w:p>
    <w:p>
      <w:pPr>
        <w:spacing w:after="0" w:line="127" w:lineRule="exact"/>
        <w:rPr>
          <w:rFonts w:ascii="Times New Roman" w:cs="Times New Roman" w:eastAsia="Times New Roman" w:hAnsi="Times New Roman"/>
          <w:sz w:val="20"/>
          <w:szCs w:val="20"/>
          <w:color w:val="auto"/>
        </w:rPr>
      </w:pPr>
    </w:p>
    <w:p>
      <w:pPr>
        <w:jc w:val="both"/>
        <w:ind w:left="1220" w:firstLine="652"/>
        <w:spacing w:after="0" w:line="261" w:lineRule="auto"/>
        <w:tabs>
          <w:tab w:leader="none" w:pos="250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Definitive Notes to Unrestricted Definitive Notes</w:t>
      </w:r>
      <w:r>
        <w:rPr>
          <w:rFonts w:ascii="Times New Roman" w:cs="Times New Roman" w:eastAsia="Times New Roman" w:hAnsi="Times New Roman"/>
          <w:sz w:val="20"/>
          <w:szCs w:val="20"/>
          <w:color w:val="auto"/>
        </w:rPr>
        <w:t>. Any Restricted Definitive Note may be exchanged by the Holder thereof for an Unrestricted Definitive Note or transferred to a Person or Persons who take delivery thereof in the form of an Unrestricted Definitive Note if the Registrar receives the following:</w:t>
      </w:r>
    </w:p>
    <w:p>
      <w:pPr>
        <w:spacing w:after="0" w:line="127" w:lineRule="exact"/>
        <w:rPr>
          <w:rFonts w:ascii="Times New Roman" w:cs="Times New Roman" w:eastAsia="Times New Roman" w:hAnsi="Times New Roman"/>
          <w:sz w:val="20"/>
          <w:szCs w:val="20"/>
          <w:color w:val="auto"/>
        </w:rPr>
      </w:pPr>
    </w:p>
    <w:p>
      <w:pPr>
        <w:jc w:val="both"/>
        <w:ind w:left="1220" w:firstLine="1300"/>
        <w:spacing w:after="0" w:line="261" w:lineRule="auto"/>
        <w:tabs>
          <w:tab w:leader="none" w:pos="3155"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Restricted Definitive Notes proposes to exchange such Notes for an Unrestricted Definitive Note, a certificate from such 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including the certifications in item (1)(d) thereof; or</w:t>
      </w:r>
    </w:p>
    <w:p>
      <w:pPr>
        <w:spacing w:after="0" w:line="127" w:lineRule="exact"/>
        <w:rPr>
          <w:rFonts w:ascii="Times New Roman" w:cs="Times New Roman" w:eastAsia="Times New Roman" w:hAnsi="Times New Roman"/>
          <w:sz w:val="20"/>
          <w:szCs w:val="20"/>
          <w:color w:val="auto"/>
        </w:rPr>
      </w:pPr>
    </w:p>
    <w:p>
      <w:pPr>
        <w:jc w:val="both"/>
        <w:ind w:left="1220" w:firstLine="1300"/>
        <w:spacing w:after="0" w:line="261" w:lineRule="auto"/>
        <w:tabs>
          <w:tab w:leader="none" w:pos="315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(4) thereof;</w:t>
      </w:r>
    </w:p>
    <w:p>
      <w:pPr>
        <w:spacing w:after="0" w:line="114" w:lineRule="exact"/>
        <w:rPr>
          <w:sz w:val="20"/>
          <w:szCs w:val="20"/>
          <w:color w:val="auto"/>
        </w:rPr>
      </w:pPr>
    </w:p>
    <w:p>
      <w:pPr>
        <w:jc w:val="both"/>
        <w:ind w:left="1220"/>
        <w:spacing w:after="0" w:line="258" w:lineRule="auto"/>
        <w:rPr>
          <w:sz w:val="20"/>
          <w:szCs w:val="20"/>
          <w:color w:val="auto"/>
        </w:rPr>
      </w:pPr>
      <w:r>
        <w:rPr>
          <w:rFonts w:ascii="Times New Roman" w:cs="Times New Roman" w:eastAsia="Times New Roman" w:hAnsi="Times New Roman"/>
          <w:sz w:val="20"/>
          <w:szCs w:val="20"/>
          <w:color w:val="auto"/>
        </w:rPr>
        <w:t xml:space="preserve">and, in each such case set forth in this </w:t>
      </w:r>
      <w:r>
        <w:rPr>
          <w:rFonts w:ascii="Times New Roman" w:cs="Times New Roman" w:eastAsia="Times New Roman" w:hAnsi="Times New Roman"/>
          <w:sz w:val="20"/>
          <w:szCs w:val="20"/>
          <w:u w:val="single" w:color="auto"/>
          <w:color w:val="auto"/>
        </w:rPr>
        <w:t>Section 2.06(e)(2)</w:t>
      </w:r>
      <w:r>
        <w:rPr>
          <w:rFonts w:ascii="Times New Roman" w:cs="Times New Roman" w:eastAsia="Times New Roman" w:hAnsi="Times New Roman"/>
          <w:sz w:val="20"/>
          <w:szCs w:val="20"/>
          <w:color w:val="auto"/>
        </w:rPr>
        <w:t>,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32" w:lineRule="exact"/>
        <w:rPr>
          <w:sz w:val="20"/>
          <w:szCs w:val="20"/>
          <w:color w:val="auto"/>
        </w:rPr>
      </w:pPr>
    </w:p>
    <w:p>
      <w:pPr>
        <w:jc w:val="both"/>
        <w:ind w:left="1220" w:firstLine="652"/>
        <w:spacing w:after="0" w:line="254" w:lineRule="auto"/>
        <w:tabs>
          <w:tab w:leader="none" w:pos="250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Unrestricted Definitive Notes to Unrestricted Definitive Notes</w:t>
      </w:r>
      <w:r>
        <w:rPr>
          <w:rFonts w:ascii="Times New Roman" w:cs="Times New Roman" w:eastAsia="Times New Roman" w:hAnsi="Times New Roman"/>
          <w:sz w:val="20"/>
          <w:szCs w:val="20"/>
          <w:color w:val="auto"/>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33" w:lineRule="exact"/>
        <w:rPr>
          <w:rFonts w:ascii="Times New Roman" w:cs="Times New Roman" w:eastAsia="Times New Roman" w:hAnsi="Times New Roman"/>
          <w:sz w:val="20"/>
          <w:szCs w:val="20"/>
          <w:color w:val="auto"/>
        </w:rPr>
      </w:pPr>
    </w:p>
    <w:p>
      <w:pPr>
        <w:ind w:left="1860" w:hanging="636"/>
        <w:spacing w:after="0"/>
        <w:tabs>
          <w:tab w:leader="none" w:pos="18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80" w:firstLine="1304"/>
        <w:spacing w:after="0" w:line="269" w:lineRule="auto"/>
        <w:tabs>
          <w:tab w:leader="none" w:pos="185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The following legends will appear on the face of all Global Notes and Definitive Notes issued under this Indenture unless specifically stated otherwise in the applicable provisions of this Indenture.</w:t>
      </w:r>
    </w:p>
    <w:p>
      <w:pPr>
        <w:spacing w:after="0" w:line="118" w:lineRule="exact"/>
        <w:rPr>
          <w:rFonts w:ascii="Times New Roman" w:cs="Times New Roman" w:eastAsia="Times New Roman" w:hAnsi="Times New Roman"/>
          <w:sz w:val="20"/>
          <w:szCs w:val="20"/>
          <w:color w:val="auto"/>
        </w:rPr>
      </w:pPr>
    </w:p>
    <w:p>
      <w:pPr>
        <w:ind w:left="2500" w:hanging="628"/>
        <w:spacing w:after="0"/>
        <w:tabs>
          <w:tab w:leader="none" w:pos="25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 Placement Legend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bl>
    <w:p>
      <w:pPr>
        <w:sectPr>
          <w:pgSz w:w="11900" w:h="16838" w:orient="portrait"/>
          <w:cols w:equalWidth="0" w:num="1">
            <w:col w:w="11160"/>
          </w:cols>
          <w:pgMar w:left="400" w:top="1440" w:right="339" w:bottom="1440" w:gutter="0" w:footer="0" w:header="0"/>
        </w:sectPr>
      </w:pPr>
    </w:p>
    <w:bookmarkStart w:id="56" w:name="page57"/>
    <w:bookmarkEnd w:id="56"/>
    <w:p>
      <w:pPr>
        <w:spacing w:after="0" w:line="135" w:lineRule="exact"/>
        <w:rPr>
          <w:sz w:val="20"/>
          <w:szCs w:val="20"/>
          <w:color w:val="auto"/>
        </w:rPr>
      </w:pPr>
    </w:p>
    <w:p>
      <w:pPr>
        <w:ind w:left="1220" w:firstLine="1300"/>
        <w:spacing w:after="0" w:line="283" w:lineRule="auto"/>
        <w:tabs>
          <w:tab w:leader="none" w:pos="315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permitted by subparagraph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below, each Global Note and each Definitive Note (and all Notes issued in exchange therefor or substitution thereof) shall bear the legend in substantially the following form:</w:t>
      </w:r>
    </w:p>
    <w:p>
      <w:pPr>
        <w:spacing w:after="0" w:line="92"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20"/>
          <w:szCs w:val="20"/>
          <w:color w:val="auto"/>
        </w:rPr>
        <w:t>“THE SALE OF THIS NOTE HAS NOT BEEN REGISTERED UNDER THE U.S. SECURITIES ACT OF 1933, AS AMENDED (THE “SECURITIES ACT”), AND, ACCORDINGLY, PRIOR TO THE RESALE RESTRICTION TERMINATION DATE (AS DEFINED BELOW), THIS NOTE MAY NOT BE OFFERED, RESOLD OR OTHERWISE TRANSFERRED, EXCEPT:</w:t>
      </w:r>
    </w:p>
    <w:p>
      <w:pPr>
        <w:spacing w:after="0" w:line="127" w:lineRule="exact"/>
        <w:rPr>
          <w:sz w:val="20"/>
          <w:szCs w:val="20"/>
          <w:color w:val="auto"/>
        </w:rPr>
      </w:pPr>
    </w:p>
    <w:p>
      <w:pPr>
        <w:ind w:left="1360" w:hanging="460"/>
        <w:spacing w:after="0"/>
        <w:tabs>
          <w:tab w:leader="none" w:pos="13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EZCORP, INC. (THE “COMPANY”) OR ANY SUBSIDIARY THEREOF;</w:t>
      </w:r>
    </w:p>
    <w:p>
      <w:pPr>
        <w:spacing w:after="0" w:line="175" w:lineRule="exact"/>
        <w:rPr>
          <w:rFonts w:ascii="Times New Roman" w:cs="Times New Roman" w:eastAsia="Times New Roman" w:hAnsi="Times New Roman"/>
          <w:sz w:val="20"/>
          <w:szCs w:val="20"/>
          <w:color w:val="auto"/>
        </w:rPr>
      </w:pPr>
    </w:p>
    <w:p>
      <w:pPr>
        <w:ind w:left="580" w:firstLine="320"/>
        <w:spacing w:after="0" w:line="269" w:lineRule="auto"/>
        <w:tabs>
          <w:tab w:leader="none" w:pos="140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AND IN ACCORDANCE WITH, A REGISTRATION STATEMENT THAT IS EFFECTIVE UNDER THE SECURITIES ACT AT THE TIME OF SUCH TRANSFER;</w:t>
      </w:r>
    </w:p>
    <w:p>
      <w:pPr>
        <w:spacing w:after="0" w:line="118" w:lineRule="exact"/>
        <w:rPr>
          <w:rFonts w:ascii="Times New Roman" w:cs="Times New Roman" w:eastAsia="Times New Roman" w:hAnsi="Times New Roman"/>
          <w:sz w:val="20"/>
          <w:szCs w:val="20"/>
          <w:color w:val="auto"/>
        </w:rPr>
      </w:pPr>
    </w:p>
    <w:p>
      <w:pPr>
        <w:ind w:left="580" w:firstLine="320"/>
        <w:spacing w:after="0" w:line="269" w:lineRule="auto"/>
        <w:tabs>
          <w:tab w:leader="none" w:pos="155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 PERSON THAT YOU REASONABLY BELIEVE TO BE A QUALIFIED INSTITUTIONAL BUYER IN COMPLIANCE WITH RULE 144A UNDER THE SECURITIES ACT;</w:t>
      </w:r>
    </w:p>
    <w:p>
      <w:pPr>
        <w:spacing w:after="0" w:line="118" w:lineRule="exact"/>
        <w:rPr>
          <w:rFonts w:ascii="Times New Roman" w:cs="Times New Roman" w:eastAsia="Times New Roman" w:hAnsi="Times New Roman"/>
          <w:sz w:val="20"/>
          <w:szCs w:val="20"/>
          <w:color w:val="auto"/>
        </w:rPr>
      </w:pPr>
    </w:p>
    <w:p>
      <w:pPr>
        <w:ind w:left="580" w:firstLine="320"/>
        <w:spacing w:after="0" w:line="283" w:lineRule="auto"/>
        <w:tabs>
          <w:tab w:leader="none" w:pos="123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 PERSON THAT IS NOT A U.S. PERSON OUTSIDE THE UNITED STATES IN AN OFFSHORE TRANSACTION IN COMPLIANCE WITH RULE 904 OF REGULATION S UNDER THE SECURITIES ACT;</w:t>
      </w:r>
    </w:p>
    <w:p>
      <w:pPr>
        <w:spacing w:after="0" w:line="92" w:lineRule="exact"/>
        <w:rPr>
          <w:rFonts w:ascii="Times New Roman" w:cs="Times New Roman" w:eastAsia="Times New Roman" w:hAnsi="Times New Roman"/>
          <w:sz w:val="20"/>
          <w:szCs w:val="20"/>
          <w:color w:val="auto"/>
        </w:rPr>
      </w:pPr>
    </w:p>
    <w:p>
      <w:pPr>
        <w:jc w:val="both"/>
        <w:ind w:left="580" w:firstLine="320"/>
        <w:spacing w:after="0" w:line="253" w:lineRule="auto"/>
        <w:tabs>
          <w:tab w:leader="none" w:pos="125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 INSTITUTIONAL “ACCREDITED INVESTOR” (AS DEFINED IN RULE 501(A)(1), (2), (3) OR (7) OF REGULATION D UNDER THE SECURITIES ACT) THAT, PRIOR TO SUCH TRANSFER, FURNISHES TO THE TRUSTEE A SIGNED LETTER CONTAINING CERTAIN REPRESENTATIONS AND AGREEMENTS RELATING TO THE REGISTRATION OF TRANSFER OF THIS NOTE (THE FORM OF WHICH LETTER CAN BE OBTAINED FROM THE TRUSTEE) AND, IF SUCH TRANSFER IS IN RESPECT OF AN AGGREGATE PRINCIPAL AMOUNT OF NOTES AT THE TIME OF TRANSFER OF LESS THAN $250,000, AN OPINION OF COUNSEL ACCEPTABLE TO AN ISSUER THAT SUCH TRANSFER IS IN COMPLIANCE WITH THE SECURITIES ACT; OR</w:t>
      </w:r>
    </w:p>
    <w:p>
      <w:pPr>
        <w:spacing w:after="0" w:line="125" w:lineRule="exact"/>
        <w:rPr>
          <w:rFonts w:ascii="Times New Roman" w:cs="Times New Roman" w:eastAsia="Times New Roman" w:hAnsi="Times New Roman"/>
          <w:sz w:val="20"/>
          <w:szCs w:val="20"/>
          <w:color w:val="auto"/>
        </w:rPr>
      </w:pPr>
    </w:p>
    <w:p>
      <w:pPr>
        <w:jc w:val="both"/>
        <w:ind w:left="580" w:firstLine="320"/>
        <w:spacing w:after="0" w:line="261" w:lineRule="auto"/>
        <w:tabs>
          <w:tab w:leader="none" w:pos="157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ANY OTHER AVAILABLE EXEMPTION FROM THE REGISTRATION REQUIREMENTS OF THE SECURITIES ACT (INCLUDING, IF AVAILABLE, THE EXEMPTION PROVIDED BY RULE 144 UNDER THE SECURITIES ACT).</w:t>
      </w:r>
    </w:p>
    <w:p>
      <w:pPr>
        <w:spacing w:after="0" w:line="127"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20"/>
          <w:szCs w:val="20"/>
          <w:color w:val="auto"/>
        </w:rPr>
        <w:t>THE “RESALE RESTRICTION TERMINATION DATE” MEANS THE LATER OF: (1) [IN THE CASE OF RULE 144A NOTES: ONE YEAR AFTER THE LATER OF THE ORIGINAL ISSUE DATE HEREOF AND THE LAST DATE ON WHICH THE COMPANY OR ANY AFFILIATE OF THE COMPANY WAS THE OWNER OF THIS NOTE (OR ANY PREDECESSOR OF SUCH SECURITY)] [IN THE CASE OF REGULATION S NOTES: 40 DAYS AFTER THE LATER OF THE ORIGINAL ISSUE DATE HEREOF AND THE DATE ON WHICH THIS NOTE WAS FIRST OFFERED TO PERSONS OTHER THAN DISTRIBUTORS (AS DEFINED IN RULE 902 OF REGULATION S UNDER THE U.S. SECURITIES ACT)]; AND (2) SUCH OTHER DATE AS MAY BE REQUIRED BY APPLICABLE LAW.</w:t>
      </w:r>
    </w:p>
    <w:p>
      <w:pPr>
        <w:spacing w:after="0" w:line="125"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20"/>
          <w:szCs w:val="20"/>
          <w:color w:val="auto"/>
        </w:rPr>
        <w:t>WITH RESPECT TO ANY TRANSFER PURSUANT TO THE FOREGOING CLAUSE (F), PRIOR TO THE RESALE RESTRICTION TERMINATION DATE, THE COMPANY AND THE TRUSTEE RESERVE THE RIGHT TO REQUIRE THE DELIVERY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bl>
    <w:p>
      <w:pPr>
        <w:sectPr>
          <w:pgSz w:w="11900" w:h="16838" w:orient="portrait"/>
          <w:cols w:equalWidth="0" w:num="1">
            <w:col w:w="11160"/>
          </w:cols>
          <w:pgMar w:left="400" w:top="1440" w:right="339" w:bottom="1440" w:gutter="0" w:footer="0" w:header="0"/>
        </w:sectPr>
      </w:pPr>
    </w:p>
    <w:bookmarkStart w:id="57" w:name="page58"/>
    <w:bookmarkEnd w:id="57"/>
    <w:p>
      <w:pPr>
        <w:spacing w:after="0" w:line="135"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20"/>
          <w:szCs w:val="20"/>
          <w:color w:val="auto"/>
        </w:rPr>
        <w:t>CERTIFICATIONS, LEGAL OPINIONS OR OTHER INFORMATION AS THEY MAY REASONABLY REQUIRE AND MAY RELY UPON TO CONFIRM THAT SUCH TRANSFER IS BEING MADE PURSUANT TO AN EXEMPTION FROM, OR IN A TRANSACTION NOT SUBJECT TO, THE REGISTRATION REQUIREMENTS OF THE SECURITIES ACT.</w:t>
      </w:r>
    </w:p>
    <w:p>
      <w:pPr>
        <w:spacing w:after="0" w:line="127" w:lineRule="exact"/>
        <w:rPr>
          <w:sz w:val="20"/>
          <w:szCs w:val="20"/>
          <w:color w:val="auto"/>
        </w:rPr>
      </w:pPr>
    </w:p>
    <w:p>
      <w:pPr>
        <w:jc w:val="both"/>
        <w:ind w:left="580" w:right="20"/>
        <w:spacing w:after="0" w:line="269" w:lineRule="auto"/>
        <w:rPr>
          <w:sz w:val="20"/>
          <w:szCs w:val="20"/>
          <w:color w:val="auto"/>
        </w:rPr>
      </w:pPr>
      <w:r>
        <w:rPr>
          <w:rFonts w:ascii="Times New Roman" w:cs="Times New Roman" w:eastAsia="Times New Roman" w:hAnsi="Times New Roman"/>
          <w:sz w:val="20"/>
          <w:szCs w:val="20"/>
          <w:color w:val="auto"/>
        </w:rPr>
        <w:t>AS USED HEREIN, THE TERMS “OFFSHORE TRANSACTION,” “UNITED STATES” AND “U.S. PERSON” HAVE THE MEANINGS GIVEN TO THEM BY RULE 902 OF REGULATION S UNDER THE SECURITIES ACT.</w:t>
      </w:r>
      <w:r>
        <w:rPr>
          <w:rFonts w:ascii="Times New Roman" w:cs="Times New Roman" w:eastAsia="Times New Roman" w:hAnsi="Times New Roman"/>
          <w:sz w:val="20"/>
          <w:szCs w:val="20"/>
          <w:color w:val="231F20"/>
        </w:rPr>
        <w:t>”</w:t>
      </w:r>
    </w:p>
    <w:p>
      <w:pPr>
        <w:spacing w:after="0" w:line="119" w:lineRule="exact"/>
        <w:rPr>
          <w:sz w:val="20"/>
          <w:szCs w:val="20"/>
          <w:color w:val="auto"/>
        </w:rPr>
      </w:pPr>
    </w:p>
    <w:p>
      <w:pPr>
        <w:jc w:val="both"/>
        <w:ind w:left="1220" w:firstLine="1300"/>
        <w:spacing w:after="0" w:line="261" w:lineRule="auto"/>
        <w:tabs>
          <w:tab w:leader="none" w:pos="315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any Global Note or Definitive Note issued pursuant to subparagraphs </w:t>
      </w:r>
      <w:r>
        <w:rPr>
          <w:rFonts w:ascii="Times New Roman" w:cs="Times New Roman" w:eastAsia="Times New Roman" w:hAnsi="Times New Roman"/>
          <w:sz w:val="20"/>
          <w:szCs w:val="20"/>
          <w:u w:val="single" w:color="auto"/>
          <w:color w:val="auto"/>
        </w:rPr>
        <w:t>(b)(4)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(e)(3)</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all Notes issued in exchange therefor or substitution thereof) will not bear the Private Placement Legend.</w:t>
      </w:r>
    </w:p>
    <w:p>
      <w:pPr>
        <w:spacing w:after="0" w:line="127" w:lineRule="exact"/>
        <w:rPr>
          <w:rFonts w:ascii="Times New Roman" w:cs="Times New Roman" w:eastAsia="Times New Roman" w:hAnsi="Times New Roman"/>
          <w:sz w:val="20"/>
          <w:szCs w:val="20"/>
          <w:color w:val="auto"/>
        </w:rPr>
      </w:pPr>
    </w:p>
    <w:p>
      <w:pPr>
        <w:ind w:left="2500" w:hanging="628"/>
        <w:spacing w:after="0"/>
        <w:tabs>
          <w:tab w:leader="none" w:pos="25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Global Note Legend</w:t>
      </w:r>
      <w:r>
        <w:rPr>
          <w:rFonts w:ascii="Times New Roman" w:cs="Times New Roman" w:eastAsia="Times New Roman" w:hAnsi="Times New Roman"/>
          <w:sz w:val="20"/>
          <w:szCs w:val="20"/>
          <w:color w:val="auto"/>
        </w:rPr>
        <w:t>. Each Global Note will bear a legend in substantially the following form:</w:t>
      </w:r>
    </w:p>
    <w:p>
      <w:pPr>
        <w:spacing w:after="0" w:line="162"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20"/>
          <w:szCs w:val="20"/>
          <w:color w:val="auto"/>
        </w:rPr>
        <w:t xml:space="preserve">“THIS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OF THE INDENTURE, (2) THIS GLOBAL NOTE MAY BE EXCHANGED IN WHOLE BUT NOT IN PART PURSUANT TO </w:t>
      </w:r>
      <w:r>
        <w:rPr>
          <w:rFonts w:ascii="Times New Roman" w:cs="Times New Roman" w:eastAsia="Times New Roman" w:hAnsi="Times New Roman"/>
          <w:sz w:val="20"/>
          <w:szCs w:val="20"/>
          <w:u w:val="single" w:color="auto"/>
          <w:color w:val="auto"/>
        </w:rPr>
        <w:t>SECTION 2.06(A)</w:t>
      </w:r>
      <w:r>
        <w:rPr>
          <w:rFonts w:ascii="Times New Roman" w:cs="Times New Roman" w:eastAsia="Times New Roman" w:hAnsi="Times New Roman"/>
          <w:sz w:val="20"/>
          <w:szCs w:val="20"/>
          <w:color w:val="auto"/>
        </w:rPr>
        <w:t xml:space="preserve"> OF THE INDENTURE, (3) THIS GLOBAL NOTE MAY BE DELIVERED TO THE TRUSTEE FOR CANCELLATION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OF THE INDENTURE AND (4) THIS GLOBAL NOTE MAY BE TRANSFERRED TO A SUCCESSOR DEPOSITARY WITH THE PRIOR WRITTEN CONSENT OF EZCORP, INC.</w:t>
      </w:r>
    </w:p>
    <w:p>
      <w:pPr>
        <w:spacing w:after="0" w:line="126" w:lineRule="exact"/>
        <w:rPr>
          <w:sz w:val="20"/>
          <w:szCs w:val="20"/>
          <w:color w:val="auto"/>
        </w:rPr>
      </w:pPr>
    </w:p>
    <w:p>
      <w:pPr>
        <w:jc w:val="both"/>
        <w:ind w:left="580"/>
        <w:spacing w:after="0" w:line="251" w:lineRule="auto"/>
        <w:rPr>
          <w:sz w:val="20"/>
          <w:szCs w:val="20"/>
          <w:color w:val="auto"/>
        </w:rPr>
      </w:pPr>
      <w:r>
        <w:rPr>
          <w:rFonts w:ascii="Times New Roman" w:cs="Times New Roman" w:eastAsia="Times New Roman" w:hAnsi="Times New Roman"/>
          <w:sz w:val="20"/>
          <w:szCs w:val="20"/>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24" w:lineRule="exact"/>
        <w:rPr>
          <w:sz w:val="20"/>
          <w:szCs w:val="20"/>
          <w:color w:val="auto"/>
        </w:rPr>
      </w:pPr>
    </w:p>
    <w:p>
      <w:pPr>
        <w:ind w:left="1300" w:right="20" w:firstLine="572"/>
        <w:spacing w:after="0" w:line="283" w:lineRule="auto"/>
        <w:tabs>
          <w:tab w:leader="none" w:pos="250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 Legend</w:t>
      </w:r>
      <w:r>
        <w:rPr>
          <w:rFonts w:ascii="Times New Roman" w:cs="Times New Roman" w:eastAsia="Times New Roman" w:hAnsi="Times New Roman"/>
          <w:sz w:val="20"/>
          <w:szCs w:val="20"/>
          <w:color w:val="auto"/>
        </w:rPr>
        <w:t>. Each Global Note and each Definitive Note (and all Notes issued in exchange therefor or substitution thereof) shall bear the legend in substantially the following form:</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bl>
    <w:p>
      <w:pPr>
        <w:sectPr>
          <w:pgSz w:w="11900" w:h="16838" w:orient="portrait"/>
          <w:cols w:equalWidth="0" w:num="1">
            <w:col w:w="11160"/>
          </w:cols>
          <w:pgMar w:left="400" w:top="1440" w:right="339" w:bottom="1440" w:gutter="0" w:footer="0" w:header="0"/>
        </w:sectPr>
      </w:pPr>
    </w:p>
    <w:bookmarkStart w:id="58" w:name="page59"/>
    <w:bookmarkEnd w:id="58"/>
    <w:p>
      <w:pPr>
        <w:spacing w:after="0" w:line="135"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color w:val="auto"/>
        </w:rPr>
        <w:t>“BY ACCEPTING THIS NOTE (OR AN INTEREST IN THE NOTES REPRESENTED HEREBY) EACH ACQUIRER AND EACH TRANSFEREE IS DEEMED TO REPRESENT, WARRANT AND AGREE, AT THE TIME OF ITS ACQUISITION AND THROUGHOUT THE PERIOD THAT IT HOLDS THIS NOTE OR ANY INTEREST HEREIN, THAT (1) EITHER (A) THE ACQUIRER OR TRANSFEREE IS NOT, AND IT IS NOT ACTING ON BEHALF OF (AND FOR SO LONG AS IT HOLDS THIS NOTE OR ANY INTEREST HEREIN IT WILL NOT BE, AND WILL NOT BE ACTING ON BEHALF OF), AN EMPLOYEE BENEFIT PLAN (AS DEFINED IN SECTION 3(3) OF THE UNITED STATES EMPLOYEE RETIREMENT INCOME SECURITY ACT OF 1974, AS AMENDED (“ERISA”)), SUBJECT TO THE PROVISIONS OF PART 4 OF SUBTITLE B OF TITLE I OF ERISA, A PLAN TO WHICH SECTION 4975 OF THE U.S. INTERNAL REVENUE CODE OF 1986, AS AMENDED (THE “CODE”), APPLIES, OR ANY ENTITY WHOSE UNDERLYING ASSETS INCLUDE “PLAN ASSETS” (WITHIN THE MEANING OF 29 C.F.R. SECTION 2510.3-101 (AS MODIFIED BY SECTION 3(42) OF ERISA)) BY REASON OF SUCH AN EMPLOYEE BENEFIT PLAN’S AND/OR PLAN’S INVESTMENT IN SUCH ENTITY (EACH, A “BENEFIT PLAN INVESTOR”), OR A GOVERNMENTAL, CHURCH OR NON-U.S. PLAN WHICH IS SUBJECT TO ANY FEDERAL, STATE, LOCAL, NON-U.S. OR OTHER LAWS OR REGULATIONS THAT ARE SUBSTANTIALLY SIMILAR TO THE PROHIBITED TRANSACTION PROVISIONS OF SECTION 406 OF ERISA OR SECTION 4975 OF THE CODE (“SIMILAR LAWS”) AND NO PART OF THE ASSETS USED BY IT TO ACQUIRE OR HOLD THIS NOTE OR ANY INTEREST HEREIN CONSTITUTES THE ASSETS OF ANY BENEFIT PLAN INVESTOR OR SUCH A GOVERNMENTAL, CHURCH OR NON-U.S. PLAN, OR (B) ITS ACQUISITION, HOLDING AND DISPOSITION OF THIS NOTE OR ANY INTEREST HEREIN DOES NOT AND WILL NOT CONSTITUTE OR RESULT IN A NON-EXEMPT PROHIBITED TRANSACTION UNDER SECTION 406 OF ERISA AND/OR SECTION 4975 OF THE CODE (OR, IN THE CASE OF A GOVERNMENTAL, CHURCH OR NON-U.S. PLAN, A VIOLATION OF ANY SIMILAR LAWS); AND (2) NONE OF THE COMPANY, THE INITIAL PURCHASERS OR THE GUARANTORS OR ANY OF THEIR RESPECTIVE AFFILIATES IS UNDERTAKING TO ACT AS A “FIDUCIARY” (WITHIN THE MEANING OF SECTION 3(21) OF ERISA OR SECTION 4975 OF THE CODE OR, WITH RESPECT TO A GOVERNMENTAL, CHURCH OR NON-U.S. PLAN, ANY DEFINITION OF “FIDUCIARY” UNDER SIMILAR LAWS) WITH RESPECT TO THE PURCHASER OR HOLDER IN CONNECTION WITH ANY PURCHASE OR HOLDING OF THIS NOTE, OR AS A RESULT OF ANY EXERCISE BY THE COMPANY. THE INITIAL PURCHASERS OR THE GUARANTORS OR ANY OF THEIR RESPECTIVE AFFILIATES OF ANY RIGHTS IN CONNECTION WITH THIS NOTE, AND NO ADVICE PROVIDED BY THE COMPANY, THE INITIAL PURCHASERS OR THE GUARANTORS OR ANY OF THEIR RESPECTIVE AFFILIATES HAS FORMED A PRIMARY BASIS FOR ANY INVESTMENT DECISION BY OR ON BEHALF OF THE PURCHASER OR HOLDER IN CONNECTION WITH THIS NOTE AND THE TRANSACTIONS CONTEMPLATED WITH RESPECT TO THIS NOTE.”</w:t>
      </w:r>
    </w:p>
    <w:p>
      <w:pPr>
        <w:spacing w:after="0" w:line="161" w:lineRule="exact"/>
        <w:rPr>
          <w:sz w:val="20"/>
          <w:szCs w:val="20"/>
          <w:color w:val="auto"/>
        </w:rPr>
      </w:pPr>
    </w:p>
    <w:p>
      <w:pPr>
        <w:jc w:val="both"/>
        <w:ind w:left="-80" w:firstLine="1304"/>
        <w:spacing w:after="0" w:line="253" w:lineRule="auto"/>
        <w:tabs>
          <w:tab w:leader="none" w:pos="185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 and/or Adjustment of Global Notes</w:t>
      </w:r>
      <w:r>
        <w:rPr>
          <w:rFonts w:ascii="Times New Roman" w:cs="Times New Roman" w:eastAsia="Times New Roman" w:hAnsi="Times New Roman"/>
          <w:sz w:val="20"/>
          <w:szCs w:val="20"/>
          <w:color w:val="auto"/>
        </w:rPr>
        <w:t xml:space="preserve">. At such time as all beneficial interests in a particular Global Note have been exchanged for Definitive Notes or a particular Global Note has been redeemed, repurchased or canceled in whole and not in part, each such Global Note will be returned to or retained and canceled by the Trustee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hereof. At any time prior to such cancellation, if any beneficial interest in a Global Note is exchanged for or transferred to a Person who will take delivery thereof in the form of a beneficial interest in another Global Note or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bl>
    <w:p>
      <w:pPr>
        <w:sectPr>
          <w:pgSz w:w="11900" w:h="16838" w:orient="portrait"/>
          <w:cols w:equalWidth="0" w:num="1">
            <w:col w:w="11160"/>
          </w:cols>
          <w:pgMar w:left="400" w:top="1440" w:right="339" w:bottom="1440" w:gutter="0" w:footer="0" w:header="0"/>
        </w:sectPr>
      </w:pPr>
    </w:p>
    <w:bookmarkStart w:id="59" w:name="page60"/>
    <w:bookmarkEnd w:id="59"/>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38" w:lineRule="exact"/>
        <w:rPr>
          <w:sz w:val="20"/>
          <w:szCs w:val="20"/>
          <w:color w:val="auto"/>
        </w:rPr>
      </w:pPr>
    </w:p>
    <w:p>
      <w:pPr>
        <w:ind w:left="1940" w:hanging="636"/>
        <w:spacing w:after="0"/>
        <w:tabs>
          <w:tab w:leader="none" w:pos="19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Provisions Relating to Transfers and Exchanges.</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8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permit registrations of transfers and exchanges, the Company will execute and the Trustee will authenticate Global Notes and Definitive Notes upon receipt of an Authentication Order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hereof or at the Registrar’s request.</w:t>
      </w:r>
    </w:p>
    <w:p>
      <w:pPr>
        <w:spacing w:after="0" w:line="113" w:lineRule="exact"/>
        <w:rPr>
          <w:rFonts w:ascii="Times New Roman" w:cs="Times New Roman" w:eastAsia="Times New Roman" w:hAnsi="Times New Roman"/>
          <w:sz w:val="20"/>
          <w:szCs w:val="20"/>
          <w:color w:val="auto"/>
        </w:rPr>
      </w:pPr>
    </w:p>
    <w:p>
      <w:pPr>
        <w:jc w:val="both"/>
        <w:ind w:left="1300" w:firstLine="652"/>
        <w:spacing w:after="0" w:line="257" w:lineRule="auto"/>
        <w:tabs>
          <w:tab w:leader="none" w:pos="258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9.05</w:t>
      </w:r>
      <w:r>
        <w:rPr>
          <w:rFonts w:ascii="Times New Roman" w:cs="Times New Roman" w:eastAsia="Times New Roman" w:hAnsi="Times New Roman"/>
          <w:sz w:val="20"/>
          <w:szCs w:val="20"/>
          <w:color w:val="auto"/>
        </w:rPr>
        <w:t xml:space="preserve"> hereof).</w:t>
      </w:r>
    </w:p>
    <w:p>
      <w:pPr>
        <w:spacing w:after="0" w:line="118" w:lineRule="exact"/>
        <w:rPr>
          <w:rFonts w:ascii="Times New Roman" w:cs="Times New Roman" w:eastAsia="Times New Roman" w:hAnsi="Times New Roman"/>
          <w:sz w:val="20"/>
          <w:szCs w:val="20"/>
          <w:color w:val="auto"/>
        </w:rPr>
      </w:pPr>
    </w:p>
    <w:p>
      <w:pPr>
        <w:ind w:left="1300" w:firstLine="652"/>
        <w:spacing w:after="0" w:line="283" w:lineRule="auto"/>
        <w:tabs>
          <w:tab w:leader="none" w:pos="258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Registrar will not be required to register the transfer of or exchange of any Note selected for redemption in whole or in part, except the unredeemed portion of any Note being redeemed in part.</w:t>
      </w:r>
    </w:p>
    <w:p>
      <w:pPr>
        <w:spacing w:after="0" w:line="105" w:lineRule="exact"/>
        <w:rPr>
          <w:rFonts w:ascii="Times New Roman" w:cs="Times New Roman" w:eastAsia="Times New Roman" w:hAnsi="Times New Roman"/>
          <w:sz w:val="20"/>
          <w:szCs w:val="20"/>
          <w:color w:val="auto"/>
        </w:rPr>
      </w:pPr>
    </w:p>
    <w:p>
      <w:pPr>
        <w:jc w:val="both"/>
        <w:ind w:left="1300" w:firstLine="652"/>
        <w:spacing w:after="0" w:line="281" w:lineRule="auto"/>
        <w:tabs>
          <w:tab w:leader="none" w:pos="2584"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96" w:lineRule="exact"/>
        <w:rPr>
          <w:rFonts w:ascii="Times New Roman" w:cs="Times New Roman" w:eastAsia="Times New Roman" w:hAnsi="Times New Roman"/>
          <w:sz w:val="19"/>
          <w:szCs w:val="19"/>
          <w:color w:val="auto"/>
        </w:rPr>
      </w:pPr>
    </w:p>
    <w:p>
      <w:pPr>
        <w:ind w:left="2580" w:hanging="628"/>
        <w:spacing w:after="0"/>
        <w:tabs>
          <w:tab w:leader="none" w:pos="258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Registrar nor the Company will be required:</w:t>
      </w:r>
    </w:p>
    <w:p>
      <w:pPr>
        <w:spacing w:after="0" w:line="175" w:lineRule="exact"/>
        <w:rPr>
          <w:rFonts w:ascii="Times New Roman" w:cs="Times New Roman" w:eastAsia="Times New Roman" w:hAnsi="Times New Roman"/>
          <w:sz w:val="20"/>
          <w:szCs w:val="20"/>
          <w:color w:val="auto"/>
        </w:rPr>
      </w:pPr>
    </w:p>
    <w:p>
      <w:pPr>
        <w:jc w:val="both"/>
        <w:ind w:left="1300" w:firstLine="1300"/>
        <w:spacing w:after="0" w:line="261" w:lineRule="auto"/>
        <w:tabs>
          <w:tab w:leader="none" w:pos="3235"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issue, to register the transfer of or to exchange any Notes during a period beginning at the opening of business 15 days before the day of any selection of Notes for redemption under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hereof and ending at the close of business on the day of selection;</w:t>
      </w:r>
    </w:p>
    <w:p>
      <w:pPr>
        <w:spacing w:after="0" w:line="127" w:lineRule="exact"/>
        <w:rPr>
          <w:rFonts w:ascii="Times New Roman" w:cs="Times New Roman" w:eastAsia="Times New Roman" w:hAnsi="Times New Roman"/>
          <w:sz w:val="20"/>
          <w:szCs w:val="20"/>
          <w:color w:val="auto"/>
        </w:rPr>
      </w:pPr>
    </w:p>
    <w:p>
      <w:pPr>
        <w:ind w:left="1300" w:firstLine="1300"/>
        <w:spacing w:after="0" w:line="269" w:lineRule="auto"/>
        <w:tabs>
          <w:tab w:leader="none" w:pos="3238"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register the transfer of or to exchange any Note selected for redemption in whole or in part, except the unredeemed portion of any Note being redeemed in part; or</w:t>
      </w:r>
    </w:p>
    <w:p>
      <w:pPr>
        <w:spacing w:after="0" w:line="118"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register the transfer of or to exchange a Note between a record date and the next succeeding</w:t>
      </w:r>
    </w:p>
    <w:p>
      <w:pPr>
        <w:spacing w:after="0" w:line="2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payment date.</w:t>
      </w:r>
    </w:p>
    <w:p>
      <w:pPr>
        <w:spacing w:after="0" w:line="153"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8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bl>
    <w:p>
      <w:pPr>
        <w:sectPr>
          <w:pgSz w:w="11900" w:h="16838" w:orient="portrait"/>
          <w:cols w:equalWidth="0" w:num="1">
            <w:col w:w="11240"/>
          </w:cols>
          <w:pgMar w:left="320" w:top="1440" w:right="339" w:bottom="1440" w:gutter="0" w:footer="0" w:header="0"/>
        </w:sectPr>
      </w:pPr>
    </w:p>
    <w:bookmarkStart w:id="60" w:name="page61"/>
    <w:bookmarkEnd w:id="60"/>
    <w:p>
      <w:pPr>
        <w:spacing w:after="0" w:line="135" w:lineRule="exact"/>
        <w:rPr>
          <w:sz w:val="20"/>
          <w:szCs w:val="20"/>
          <w:color w:val="auto"/>
        </w:rPr>
      </w:pPr>
    </w:p>
    <w:p>
      <w:pPr>
        <w:ind w:left="1300" w:firstLine="652"/>
        <w:spacing w:after="0" w:line="283" w:lineRule="auto"/>
        <w:tabs>
          <w:tab w:leader="none" w:pos="258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will authenticate Global Notes and Definitive Notes in accordance with the provisions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hereof.</w:t>
      </w:r>
    </w:p>
    <w:p>
      <w:pPr>
        <w:spacing w:after="0" w:line="92"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8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certifications, certificates and Opinions of Counsel required to be submitted to the Registrar pursuant to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to effect a registration of transfer or exchange may be submitted by facsimile or other electronic transmission (e.g., a “.pdf” or “tif”).</w:t>
      </w:r>
    </w:p>
    <w:p>
      <w:pPr>
        <w:spacing w:after="0" w:line="127" w:lineRule="exact"/>
        <w:rPr>
          <w:rFonts w:ascii="Times New Roman" w:cs="Times New Roman" w:eastAsia="Times New Roman" w:hAnsi="Times New Roman"/>
          <w:sz w:val="20"/>
          <w:szCs w:val="20"/>
          <w:color w:val="auto"/>
        </w:rPr>
      </w:pPr>
    </w:p>
    <w:p>
      <w:pPr>
        <w:jc w:val="both"/>
        <w:ind w:left="1300" w:firstLine="652"/>
        <w:spacing w:after="0" w:line="250" w:lineRule="auto"/>
        <w:tabs>
          <w:tab w:leader="none" w:pos="258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have no responsibility or obligation to any beneficial owner of a Global Note, a member of, or a participant in the Depositary or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the payment of any amount, under or with respect to such Notes. All notices and communications to be given to the Holders and all payments to be made to Holders under the Notes shall be given or made only to or upon the order of the registered Holders (which shall be the Depositary or its nominee in the case of a Global Note). The rights of beneficial owners in any Global Note in global form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spacing w:after="0" w:line="142"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8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have no obligation or duty to monitor, determine or inquire as to compliance with any restrictions on transfer imposed under this Indenture or under applicable law with respect to any transfer of any interest in any Note (including without limitation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2.07 </w:t>
      </w:r>
      <w:r>
        <w:rPr>
          <w:rFonts w:ascii="Times New Roman" w:cs="Times New Roman" w:eastAsia="Times New Roman" w:hAnsi="Times New Roman"/>
          <w:sz w:val="20"/>
          <w:szCs w:val="20"/>
          <w:b w:val="1"/>
          <w:bCs w:val="1"/>
          <w:u w:val="single" w:color="auto"/>
          <w:color w:val="auto"/>
        </w:rPr>
        <w:t>Replacement Notes</w:t>
      </w:r>
      <w:r>
        <w:rPr>
          <w:rFonts w:ascii="Times New Roman" w:cs="Times New Roman" w:eastAsia="Times New Roman" w:hAnsi="Times New Roman"/>
          <w:sz w:val="20"/>
          <w:szCs w:val="20"/>
          <w:color w:val="auto"/>
        </w:rPr>
        <w:t>. If any mutilated Note is surrendered to the Trustee or the Company and the Trustee receives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may charge for its expenses in replacing a Note.</w:t>
      </w:r>
    </w:p>
    <w:p>
      <w:pPr>
        <w:spacing w:after="0" w:line="13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Every replacement Note is an additional obligation of the Company and will be entitled to all of the benefits of this Indenture equally and proportionately with all other Notes duly issued hereunder.</w:t>
      </w:r>
    </w:p>
    <w:p>
      <w:pPr>
        <w:spacing w:after="0" w:line="8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2.08 </w:t>
      </w:r>
      <w:r>
        <w:rPr>
          <w:rFonts w:ascii="Times New Roman" w:cs="Times New Roman" w:eastAsia="Times New Roman" w:hAnsi="Times New Roman"/>
          <w:sz w:val="20"/>
          <w:szCs w:val="20"/>
          <w:b w:val="1"/>
          <w:bCs w:val="1"/>
          <w:u w:val="single" w:color="auto"/>
          <w:color w:val="auto"/>
        </w:rPr>
        <w:t>Outstanding Notes</w:t>
      </w:r>
      <w:r>
        <w:rPr>
          <w:rFonts w:ascii="Times New Roman" w:cs="Times New Roman" w:eastAsia="Times New Roman" w:hAnsi="Times New Roman"/>
          <w:sz w:val="20"/>
          <w:szCs w:val="20"/>
          <w:color w:val="auto"/>
        </w:rPr>
        <w:t>. The Notes outstanding at any time are all the Notes authenticated by the Trustee except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those canceled by it, those delivered to it for cancellation, those reductions in the interest in a Global Note effected by the Trustee in accordance with the provisions hereof, and those described in this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as not outstanding. Except as set forth in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hereof, a Note does not cease to be outstanding because the Company or an Affiliate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bl>
    <w:p>
      <w:pPr>
        <w:sectPr>
          <w:pgSz w:w="11900" w:h="16838" w:orient="portrait"/>
          <w:cols w:equalWidth="0" w:num="1">
            <w:col w:w="11240"/>
          </w:cols>
          <w:pgMar w:left="320" w:top="1440" w:right="339" w:bottom="1440" w:gutter="0" w:footer="0" w:header="0"/>
        </w:sectPr>
      </w:pPr>
    </w:p>
    <w:bookmarkStart w:id="61" w:name="page62"/>
    <w:bookmarkEnd w:id="61"/>
    <w:p>
      <w:pPr>
        <w:spacing w:after="0" w:line="13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holds the Note; however, Notes held by the Company or a Subsidiary of the Company shall not be deemed to be outstanding for purposes of </w:t>
      </w:r>
      <w:r>
        <w:rPr>
          <w:rFonts w:ascii="Times New Roman" w:cs="Times New Roman" w:eastAsia="Times New Roman" w:hAnsi="Times New Roman"/>
          <w:sz w:val="20"/>
          <w:szCs w:val="20"/>
          <w:u w:val="single" w:color="auto"/>
          <w:color w:val="auto"/>
        </w:rPr>
        <w:t>Section 3.07(b)</w:t>
      </w:r>
      <w:r>
        <w:rPr>
          <w:rFonts w:ascii="Times New Roman" w:cs="Times New Roman" w:eastAsia="Times New Roman" w:hAnsi="Times New Roman"/>
          <w:sz w:val="20"/>
          <w:szCs w:val="20"/>
          <w:color w:val="auto"/>
        </w:rPr>
        <w:t xml:space="preserve"> hereof.</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If a Note is replaced pursuant to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hereof, it ceases to be outstanding unless the Trustee receives proof satisfactory to it that the replaced Note is held by a protected purchaser.</w:t>
      </w:r>
    </w:p>
    <w:p>
      <w:pPr>
        <w:spacing w:after="0" w:line="9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If the principal amount of any Note is considered paid under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hereof, it ceases to be outstanding and interest on it ceases to accrue.</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the Paying Agent (other than the Company, a Subsidiary or an Affiliate of any thereof) holds, on a redemption date or maturity date, money sufficient to pay Notes payable on that date, then on and after that date such Notes will be deemed to be no longer outstanding and will cease to accrue interest.</w:t>
      </w:r>
    </w:p>
    <w:p>
      <w:pPr>
        <w:spacing w:after="0" w:line="1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Section 2.09 </w:t>
      </w:r>
      <w:r>
        <w:rPr>
          <w:rFonts w:ascii="Times New Roman" w:cs="Times New Roman" w:eastAsia="Times New Roman" w:hAnsi="Times New Roman"/>
          <w:sz w:val="20"/>
          <w:szCs w:val="20"/>
          <w:b w:val="1"/>
          <w:bCs w:val="1"/>
          <w:u w:val="single" w:color="auto"/>
          <w:color w:val="auto"/>
        </w:rPr>
        <w:t>Treasury Notes</w:t>
      </w:r>
      <w:r>
        <w:rPr>
          <w:rFonts w:ascii="Times New Roman" w:cs="Times New Roman" w:eastAsia="Times New Roman" w:hAnsi="Times New Roman"/>
          <w:sz w:val="20"/>
          <w:szCs w:val="20"/>
          <w:color w:val="auto"/>
        </w:rPr>
        <w:t>. In determining whether the Holders of the required principal amount of Notes have concurred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direction, waiver or consent, Notes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Notes that a Responsible Officer of the Trustee actually knows are so owned will be so disregarded.</w:t>
      </w:r>
    </w:p>
    <w:p>
      <w:pPr>
        <w:spacing w:after="0" w:line="1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Section 2.10 </w:t>
      </w:r>
      <w:r>
        <w:rPr>
          <w:rFonts w:ascii="Times New Roman" w:cs="Times New Roman" w:eastAsia="Times New Roman" w:hAnsi="Times New Roman"/>
          <w:sz w:val="20"/>
          <w:szCs w:val="20"/>
          <w:b w:val="1"/>
          <w:bCs w:val="1"/>
          <w:u w:val="single" w:color="auto"/>
          <w:color w:val="auto"/>
        </w:rPr>
        <w:t>Temporary Notes</w:t>
      </w:r>
      <w:r>
        <w:rPr>
          <w:rFonts w:ascii="Times New Roman" w:cs="Times New Roman" w:eastAsia="Times New Roman" w:hAnsi="Times New Roman"/>
          <w:sz w:val="20"/>
          <w:szCs w:val="20"/>
          <w:color w:val="auto"/>
        </w:rPr>
        <w:t>. Until certificates representing Notes are ready for delivery, the Company may prepare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Holders of temporary Notes will be entitled to all of the benefits of this Indenture.</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2.11 </w:t>
      </w:r>
      <w:r>
        <w:rPr>
          <w:rFonts w:ascii="Times New Roman" w:cs="Times New Roman" w:eastAsia="Times New Roman" w:hAnsi="Times New Roman"/>
          <w:sz w:val="20"/>
          <w:szCs w:val="20"/>
          <w:b w:val="1"/>
          <w:bCs w:val="1"/>
          <w:u w:val="single" w:color="auto"/>
          <w:color w:val="auto"/>
        </w:rPr>
        <w:t>Cancellation</w:t>
      </w:r>
      <w:r>
        <w:rPr>
          <w:rFonts w:ascii="Times New Roman" w:cs="Times New Roman" w:eastAsia="Times New Roman" w:hAnsi="Times New Roman"/>
          <w:sz w:val="20"/>
          <w:szCs w:val="20"/>
          <w:color w:val="auto"/>
        </w:rPr>
        <w:t>. The Company at any time may deliver Notes to the Trustee for cancellation. The Registrar and Paying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will forward to the Trustee any Notes surrendered to them for registration of transfer, exchange or payment. The Trustee and no one else will cancel all Notes surrendered for registration of transfer, exchange, payment, replacement or cancellation and will dispose of such canceled Notes in accordance with its customary procedures (subject to the record retention requirements of the Exchange Act). Certification of the destruction of all canceled Notes will be delivered to the Company at the Company’s written request. The Company may not issue new Notes to replace Notes that it has paid or that have been delivered to the Trustee for cancellation.</w:t>
      </w:r>
    </w:p>
    <w:p>
      <w:pPr>
        <w:spacing w:after="0" w:line="1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Section 2.12 </w:t>
      </w:r>
      <w:r>
        <w:rPr>
          <w:rFonts w:ascii="Times New Roman" w:cs="Times New Roman" w:eastAsia="Times New Roman" w:hAnsi="Times New Roman"/>
          <w:sz w:val="20"/>
          <w:szCs w:val="20"/>
          <w:b w:val="1"/>
          <w:bCs w:val="1"/>
          <w:u w:val="single" w:color="auto"/>
          <w:color w:val="auto"/>
        </w:rPr>
        <w:t>Defaulted Interest</w:t>
      </w:r>
      <w:r>
        <w:rPr>
          <w:rFonts w:ascii="Times New Roman" w:cs="Times New Roman" w:eastAsia="Times New Roman" w:hAnsi="Times New Roman"/>
          <w:sz w:val="20"/>
          <w:szCs w:val="20"/>
          <w:color w:val="auto"/>
        </w:rPr>
        <w:t>. If the Company defaults in a payment of interest on the Notes, it will pay the defaulted interest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 any lawful manner plus, to the extent lawful, interest payable on the defaulted interest, to the Persons who are Holders on a subsequent special record date, in each case at the rate provided in the Notes and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hereof. The Company will notify the Trustee in writing of the amount of defaulted interest proposed to be paid on each Note and the date of the proposed payment. The Company will fix or cause to be fixed each such special record date and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special record date may be less than 10 days prior to the related payment date for such defaulted interest. At least 15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 The Trustee shall have no duty whatsoever to determine whether any Defaulted Interest is payable or the amount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bl>
    <w:p>
      <w:pPr>
        <w:sectPr>
          <w:pgSz w:w="11900" w:h="16838" w:orient="portrait"/>
          <w:cols w:equalWidth="0" w:num="1">
            <w:col w:w="11240"/>
          </w:cols>
          <w:pgMar w:left="320" w:top="1440" w:right="339" w:bottom="1440" w:gutter="0" w:footer="0" w:header="0"/>
        </w:sectPr>
      </w:pPr>
    </w:p>
    <w:bookmarkStart w:id="62" w:name="page63"/>
    <w:bookmarkEnd w:id="62"/>
    <w:p>
      <w:pPr>
        <w:spacing w:after="0" w:line="1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2.13 </w:t>
      </w:r>
      <w:r>
        <w:rPr>
          <w:rFonts w:ascii="Times New Roman" w:cs="Times New Roman" w:eastAsia="Times New Roman" w:hAnsi="Times New Roman"/>
          <w:sz w:val="20"/>
          <w:szCs w:val="20"/>
          <w:b w:val="1"/>
          <w:bCs w:val="1"/>
          <w:u w:val="single" w:color="auto"/>
          <w:color w:val="auto"/>
        </w:rPr>
        <w:t>Issuance of Additional Notes</w:t>
      </w:r>
      <w:r>
        <w:rPr>
          <w:rFonts w:ascii="Times New Roman" w:cs="Times New Roman" w:eastAsia="Times New Roman" w:hAnsi="Times New Roman"/>
          <w:sz w:val="20"/>
          <w:szCs w:val="20"/>
          <w:color w:val="auto"/>
        </w:rPr>
        <w:t>. After the Issue Date, the Company will be entitled, subject to its compliance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to issue Additional Notes under this Indenture, which Notes will have the same terms (other than price, date of issuance and the date from which interest will accrue) as the Initial Notes. All the Notes under this Indenture will be treated as a single class for all purposes of this Indenture, including, without limitation, waivers, amendments, redemptions and offers to purchase;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Additional Notes are not fungible with the Initial Notes for United States federal income tax purposes, the Additional Notes will have a separate CUSIP number.</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2.14 </w:t>
      </w:r>
      <w:r>
        <w:rPr>
          <w:rFonts w:ascii="Times New Roman" w:cs="Times New Roman" w:eastAsia="Times New Roman" w:hAnsi="Times New Roman"/>
          <w:sz w:val="20"/>
          <w:szCs w:val="20"/>
          <w:b w:val="1"/>
          <w:bCs w:val="1"/>
          <w:u w:val="single" w:color="auto"/>
          <w:color w:val="auto"/>
        </w:rPr>
        <w:t>CUSIP/ISIN Numbers</w:t>
      </w:r>
      <w:r>
        <w:rPr>
          <w:rFonts w:ascii="Times New Roman" w:cs="Times New Roman" w:eastAsia="Times New Roman" w:hAnsi="Times New Roman"/>
          <w:sz w:val="20"/>
          <w:szCs w:val="20"/>
          <w:color w:val="auto"/>
        </w:rPr>
        <w:t>. The Company in issuing the Notes may use CUSIP and ISIN numbers (in each case, if then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generally in use) and, if so, the Trustee shall use CUSIP and ISIN numbers in notices of redemption as a convenience to Holders; provided that any such notice may state that no representation is made as to the correctness of such numbers either as printed on the Notes or as contained in any notice of redemption and that reliance may be placed only on the other identification numbers printed on the Notes, and any such redemption shall not be affected by any defect in or omission of such numbers. The Company will as promptly as practicable notify the Trustee in writing of any change in the CUSIP and ISIN numbers.</w:t>
      </w:r>
    </w:p>
    <w:p>
      <w:pPr>
        <w:spacing w:after="0" w:line="1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REDEMPTION AND PREPAYMENT</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3.01 </w:t>
      </w:r>
      <w:r>
        <w:rPr>
          <w:rFonts w:ascii="Times New Roman" w:cs="Times New Roman" w:eastAsia="Times New Roman" w:hAnsi="Times New Roman"/>
          <w:sz w:val="20"/>
          <w:szCs w:val="20"/>
          <w:b w:val="1"/>
          <w:bCs w:val="1"/>
          <w:u w:val="single" w:color="auto"/>
          <w:color w:val="auto"/>
        </w:rPr>
        <w:t>Notices to Trustee</w:t>
      </w:r>
      <w:r>
        <w:rPr>
          <w:rFonts w:ascii="Times New Roman" w:cs="Times New Roman" w:eastAsia="Times New Roman" w:hAnsi="Times New Roman"/>
          <w:sz w:val="20"/>
          <w:szCs w:val="20"/>
          <w:color w:val="auto"/>
        </w:rPr>
        <w:t>. If the Company elects to redeem Notes pursuant to the optional redemption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hereof, it must furnish to the Trustee, at least five Business Days (unless the Trustee agrees to a shorter period) before notice of redemption is required to be delivered to Holders pursuant to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an Officers’ Certificate setting forth:</w:t>
      </w:r>
    </w:p>
    <w:p>
      <w:pPr>
        <w:spacing w:after="0" w:line="125" w:lineRule="exact"/>
        <w:rPr>
          <w:sz w:val="20"/>
          <w:szCs w:val="20"/>
          <w:color w:val="auto"/>
        </w:rPr>
      </w:pPr>
    </w:p>
    <w:p>
      <w:pPr>
        <w:ind w:left="1940" w:hanging="636"/>
        <w:spacing w:after="0"/>
        <w:tabs>
          <w:tab w:leader="none" w:pos="19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clause of this Indenture pursuant to which the redemption shall occur;</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Notes to be redeemed; and</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w:t>
      </w:r>
    </w:p>
    <w:p>
      <w:pPr>
        <w:spacing w:after="0" w:line="171"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3.02 </w:t>
      </w:r>
      <w:r>
        <w:rPr>
          <w:rFonts w:ascii="Times New Roman" w:cs="Times New Roman" w:eastAsia="Times New Roman" w:hAnsi="Times New Roman"/>
          <w:sz w:val="20"/>
          <w:szCs w:val="20"/>
          <w:b w:val="1"/>
          <w:bCs w:val="1"/>
          <w:u w:val="single" w:color="auto"/>
          <w:color w:val="auto"/>
        </w:rPr>
        <w:t>Selection of Notes to Be Redeemed or Purchased</w:t>
      </w:r>
      <w:r>
        <w:rPr>
          <w:rFonts w:ascii="Times New Roman" w:cs="Times New Roman" w:eastAsia="Times New Roman" w:hAnsi="Times New Roman"/>
          <w:sz w:val="20"/>
          <w:szCs w:val="20"/>
          <w:color w:val="auto"/>
        </w:rPr>
        <w:t>. If less than all of the Notes are to be redeemed or purchased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 offer to purchase at any time, the Trustee will select Notes for redemption or purchase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as directed by the Company (or, in the case of Notes issued in global form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hereof, in accordance with the procedures of DTC) unless otherwise required by law or applicable stock exchange requirements.</w:t>
      </w:r>
    </w:p>
    <w:p>
      <w:pPr>
        <w:spacing w:after="0" w:line="11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In the event of partial redemption or purchase by lot, the particular Notes to be redeemed or purchased will be selected, unless otherwise provided herein, not less than 10 nor more than 60 days prior to the redemption or purchase date by the Trustee from the outstanding Notes not previously called for redemption or purchase.</w:t>
      </w:r>
    </w:p>
    <w:p>
      <w:pPr>
        <w:spacing w:after="0" w:line="1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Trustee will promptly notify the Company in writing of the Notes selected for redemption or purchase and, in the case of any Note selected for partial redemption or purchase, the principal amount thereof to be redeemed or purchased. Notes and portions of Notes selected will be in minimum amounts of $2,000 or whole multiples of $1,000 in excess thereof; except that if all of the Notes of a Holder are to be redeemed or purchased, the entire outstanding amount of Notes held by such Holder shall be redeemed or purchased. Except as provided in the preceding sentence, provisions of this Indenture that apply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bl>
    <w:p>
      <w:pPr>
        <w:sectPr>
          <w:pgSz w:w="11900" w:h="16838" w:orient="portrait"/>
          <w:cols w:equalWidth="0" w:num="1">
            <w:col w:w="11240"/>
          </w:cols>
          <w:pgMar w:left="320" w:top="1440" w:right="339" w:bottom="1440" w:gutter="0" w:footer="0" w:header="0"/>
        </w:sectPr>
      </w:pPr>
    </w:p>
    <w:bookmarkStart w:id="63" w:name="page64"/>
    <w:bookmarkEnd w:id="63"/>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 called for redemption or purchase also apply to portions of Notes called for redemption or purchase.</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3.03 </w:t>
      </w:r>
      <w:r>
        <w:rPr>
          <w:rFonts w:ascii="Times New Roman" w:cs="Times New Roman" w:eastAsia="Times New Roman" w:hAnsi="Times New Roman"/>
          <w:sz w:val="20"/>
          <w:szCs w:val="20"/>
          <w:b w:val="1"/>
          <w:bCs w:val="1"/>
          <w:u w:val="single" w:color="auto"/>
          <w:color w:val="auto"/>
        </w:rPr>
        <w:t>Notice of Redemption</w:t>
      </w:r>
      <w:r>
        <w:rPr>
          <w:rFonts w:ascii="Times New Roman" w:cs="Times New Roman" w:eastAsia="Times New Roman" w:hAnsi="Times New Roman"/>
          <w:sz w:val="20"/>
          <w:szCs w:val="20"/>
          <w:color w:val="auto"/>
        </w:rPr>
        <w:t>. Subject to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at least 10 days but not more than 60 days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before a redemption date, the Company will mail or cause to be mailed, by first class mail (or otherwise cause to be transmitted in accordance with the Applicable Procedures),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this Indenture pursuant to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XI</w:t>
      </w:r>
      <w:r>
        <w:rPr>
          <w:rFonts w:ascii="Times New Roman" w:cs="Times New Roman" w:eastAsia="Times New Roman" w:hAnsi="Times New Roman"/>
          <w:sz w:val="20"/>
          <w:szCs w:val="20"/>
          <w:color w:val="auto"/>
        </w:rPr>
        <w:t xml:space="preserve"> hereof.</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notice will identify the Notes to be redeemed and will state:</w:t>
      </w:r>
    </w:p>
    <w:p>
      <w:pPr>
        <w:spacing w:after="0" w:line="162" w:lineRule="exact"/>
        <w:rPr>
          <w:sz w:val="20"/>
          <w:szCs w:val="20"/>
          <w:color w:val="auto"/>
        </w:rPr>
      </w:pPr>
    </w:p>
    <w:p>
      <w:pPr>
        <w:ind w:left="1940" w:hanging="636"/>
        <w:spacing w:after="0"/>
        <w:tabs>
          <w:tab w:leader="none" w:pos="19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w:t>
      </w:r>
    </w:p>
    <w:p>
      <w:pPr>
        <w:spacing w:after="0" w:line="161" w:lineRule="exact"/>
        <w:rPr>
          <w:rFonts w:ascii="Times New Roman" w:cs="Times New Roman" w:eastAsia="Times New Roman" w:hAnsi="Times New Roman"/>
          <w:sz w:val="20"/>
          <w:szCs w:val="20"/>
          <w:color w:val="auto"/>
        </w:rPr>
      </w:pPr>
    </w:p>
    <w:p>
      <w:pPr>
        <w:jc w:val="both"/>
        <w:ind w:firstLine="1304"/>
        <w:spacing w:after="0" w:line="268" w:lineRule="auto"/>
        <w:tabs>
          <w:tab w:leader="none" w:pos="193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p>
    <w:p>
      <w:pPr>
        <w:spacing w:after="0" w:line="10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Paying Agent;</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Notes called for redemption must be surrendered to the Paying Agent to collect the redemption price;</w:t>
      </w:r>
    </w:p>
    <w:p>
      <w:pPr>
        <w:spacing w:after="0" w:line="161"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Company defaults in making such redemption payment and, subject to satisfaction of the conditions specified therein, if any, interest on Notes called for redemption ceases to accrue on and after the redemption date;</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conditions to such redemption;</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paragraph of the Notes and/or Section of this Indenture pursuant to which the Notes called for redemption are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redeemed; and</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no representation is made as to the correctness or accuracy of the CUSIP number, if any, listed in such notice or</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printed on the Notes.</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At the Company’s request, the Trustee will give the notice of redemption in the Company’s name and at its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Company has delivered to the Trustee, at least five Business Days before notice of redemption is required to be delivered, mailed or caused to be mailed to Holders pursuant to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(unless a shorter notice shall be agreed to by the Trustee), an Officers’ Certificate requesting that the Trustee give such notice and setting forth the information to be stated in such notice as provided in the preceding paragraph.</w:t>
      </w:r>
    </w:p>
    <w:p>
      <w:pPr>
        <w:spacing w:after="0" w:line="1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At the election of the Company, a notice of redemption may be conditioned upon the occurrence of one or more events specified in the notice, including but not limited to completion of an Equity Offering or Change of Control, other offering, issuance of Indebtedness, or other transaction or event. Such notice may also provide that the performance of the Company’s obligations with respect to such redemption may be performed by another Person. Notice of any redemption in respect thereof will be given prior to the completion thereof and may be partial as a result of only some of the conditions being satisfied. If any redemption is so subject to the satisfaction of one or more conditions precedent,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bl>
    <w:p>
      <w:pPr>
        <w:sectPr>
          <w:pgSz w:w="11900" w:h="16838" w:orient="portrait"/>
          <w:cols w:equalWidth="0" w:num="1">
            <w:col w:w="11240"/>
          </w:cols>
          <w:pgMar w:left="320" w:top="1440" w:right="339" w:bottom="1440" w:gutter="0" w:footer="0" w:header="0"/>
        </w:sectPr>
      </w:pPr>
    </w:p>
    <w:bookmarkStart w:id="64" w:name="page65"/>
    <w:bookmarkEnd w:id="64"/>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redemption date may be delayed until such time as any or all such conditions shall be satisfied (or waived by the Company in its sole discretion) and until the Company has provided the Trustee notice of such satisfaction (or waiver) by at least one Business Day prior to the redemption date (including more than 60 days after the applicable notice of redemption if administratively feasible within the procedures of DTC). Such redemption may not occur and such notice may be rescinded by the Company or such other Person in the event that any or all such conditions shall not have been satisfied (or waived by the Company in its sole discretion) or if the Company determines in its sole discretion that any or all of such conditions will not be satisfied (or waived).</w:t>
      </w:r>
    </w:p>
    <w:p>
      <w:pPr>
        <w:spacing w:after="0" w:line="13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3.04 </w:t>
      </w:r>
      <w:r>
        <w:rPr>
          <w:rFonts w:ascii="Times New Roman" w:cs="Times New Roman" w:eastAsia="Times New Roman" w:hAnsi="Times New Roman"/>
          <w:sz w:val="20"/>
          <w:szCs w:val="20"/>
          <w:b w:val="1"/>
          <w:bCs w:val="1"/>
          <w:u w:val="single" w:color="auto"/>
          <w:color w:val="auto"/>
        </w:rPr>
        <w:t>Effect of Notice of Redemption</w:t>
      </w:r>
      <w:r>
        <w:rPr>
          <w:rFonts w:ascii="Times New Roman" w:cs="Times New Roman" w:eastAsia="Times New Roman" w:hAnsi="Times New Roman"/>
          <w:sz w:val="20"/>
          <w:szCs w:val="20"/>
          <w:color w:val="auto"/>
        </w:rPr>
        <w:t>. Once notice of redemption is mailed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satisfaction of the conditions specified therein, if any, Notes called for redemption become irrevocably due and payable on the redemption date at the redemption price.</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Section 3.05 </w:t>
      </w:r>
      <w:r>
        <w:rPr>
          <w:rFonts w:ascii="Times New Roman" w:cs="Times New Roman" w:eastAsia="Times New Roman" w:hAnsi="Times New Roman"/>
          <w:sz w:val="20"/>
          <w:szCs w:val="20"/>
          <w:b w:val="1"/>
          <w:bCs w:val="1"/>
          <w:u w:val="single" w:color="auto"/>
          <w:color w:val="auto"/>
        </w:rPr>
        <w:t>Deposit of Redemption or Purchase Price</w:t>
      </w:r>
      <w:r>
        <w:rPr>
          <w:rFonts w:ascii="Times New Roman" w:cs="Times New Roman" w:eastAsia="Times New Roman" w:hAnsi="Times New Roman"/>
          <w:sz w:val="20"/>
          <w:szCs w:val="20"/>
          <w:color w:val="auto"/>
        </w:rPr>
        <w:t>. One Business Day prior to the redemption or purchase date,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deposit with the Trustee or with the Paying Agent money sufficient to pay the redemption or purchase price of, accrued interest, if any, on all Notes to be redeemed or purchased on that date. The Trustee or the Paying Agent will promptly return to the Company any money deposited with the Trustee or the Paying Agent by the Company in excess of the amounts necessary to pay the redemption or purchase price of, accrued interest, if any, on all Notes to be redeemed or purchased.</w:t>
      </w:r>
    </w:p>
    <w:p>
      <w:pPr>
        <w:spacing w:after="0" w:line="11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and no additional interest will be payable to Holders whose Note will be subject to redemption by the Company.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hereof.</w:t>
      </w:r>
    </w:p>
    <w:p>
      <w:pPr>
        <w:spacing w:after="0" w:line="13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3.06 </w:t>
      </w:r>
      <w:r>
        <w:rPr>
          <w:rFonts w:ascii="Times New Roman" w:cs="Times New Roman" w:eastAsia="Times New Roman" w:hAnsi="Times New Roman"/>
          <w:sz w:val="20"/>
          <w:szCs w:val="20"/>
          <w:b w:val="1"/>
          <w:bCs w:val="1"/>
          <w:u w:val="single" w:color="auto"/>
          <w:color w:val="auto"/>
        </w:rPr>
        <w:t>Notes Redeemed or Purchased in Part</w:t>
      </w:r>
      <w:r>
        <w:rPr>
          <w:rFonts w:ascii="Times New Roman" w:cs="Times New Roman" w:eastAsia="Times New Roman" w:hAnsi="Times New Roman"/>
          <w:sz w:val="20"/>
          <w:szCs w:val="20"/>
          <w:color w:val="auto"/>
        </w:rPr>
        <w:t>. Upon surrender of a Note that is redeemed or purchased in part,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issue and, upon receipt of an Authentication Order, the Trustee will authenticate for the Holder at the expense of the Company a new Note equal in principal amount to the unredeemed or unpurchased portion of the Note surrendered.</w:t>
      </w:r>
    </w:p>
    <w:p>
      <w:pPr>
        <w:spacing w:after="0" w:line="12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3.07</w:t>
      </w:r>
      <w:r>
        <w:rPr>
          <w:sz w:val="20"/>
          <w:szCs w:val="20"/>
          <w:color w:val="auto"/>
        </w:rPr>
        <w:tab/>
      </w:r>
      <w:r>
        <w:rPr>
          <w:rFonts w:ascii="Times New Roman" w:cs="Times New Roman" w:eastAsia="Times New Roman" w:hAnsi="Times New Roman"/>
          <w:sz w:val="19"/>
          <w:szCs w:val="19"/>
          <w:b w:val="1"/>
          <w:bCs w:val="1"/>
          <w:u w:val="single" w:color="auto"/>
          <w:color w:val="auto"/>
        </w:rPr>
        <w:t>Optional Redemption</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940" w:hanging="555"/>
        <w:spacing w:after="0"/>
        <w:tabs>
          <w:tab w:leader="none" w:pos="19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pursuant to the following paragraphs, the Notes will not be redeemable at the Company’s option prior to</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April 1, 2028.</w:t>
      </w:r>
    </w:p>
    <w:p>
      <w:pPr>
        <w:spacing w:after="0" w:line="160" w:lineRule="exact"/>
        <w:rPr>
          <w:sz w:val="20"/>
          <w:szCs w:val="20"/>
          <w:color w:val="auto"/>
        </w:rPr>
      </w:pPr>
    </w:p>
    <w:p>
      <w:pPr>
        <w:jc w:val="both"/>
        <w:ind w:left="80" w:firstLine="1305"/>
        <w:spacing w:after="0" w:line="253" w:lineRule="auto"/>
        <w:tabs>
          <w:tab w:leader="none" w:pos="193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prior to April 1, 2028, the Company may on any one or more occasions redeem up to 40% of the aggregate principal amount of Notes issued under this Indenture (including any Additional Notes), upon not less than 10 nor more than 60 days’ notice, at a redemption price equal to 107.375% of the principal amount of the Notes redeemed, plus accrued and unpaid interest, if any, to, but not including, the date of redemption (subject to the rights of Holders of Notes on the relevant record date to receive interest on the relevant interest payment date), in an amount not to exceed the net proceeds from one or more Equity Offerings;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bl>
    <w:p>
      <w:pPr>
        <w:sectPr>
          <w:pgSz w:w="11900" w:h="16838" w:orient="portrait"/>
          <w:cols w:equalWidth="0" w:num="1">
            <w:col w:w="11240"/>
          </w:cols>
          <w:pgMar w:left="320" w:top="1440" w:right="339" w:bottom="1440" w:gutter="0" w:footer="0" w:header="0"/>
        </w:sectPr>
      </w:pPr>
    </w:p>
    <w:bookmarkStart w:id="65" w:name="page66"/>
    <w:bookmarkEnd w:id="65"/>
    <w:p>
      <w:pPr>
        <w:spacing w:after="0" w:line="135" w:lineRule="exact"/>
        <w:rPr>
          <w:sz w:val="20"/>
          <w:szCs w:val="20"/>
          <w:color w:val="auto"/>
        </w:rPr>
      </w:pPr>
    </w:p>
    <w:p>
      <w:pPr>
        <w:jc w:val="both"/>
        <w:ind w:left="1300" w:firstLine="652"/>
        <w:spacing w:after="0" w:line="261" w:lineRule="auto"/>
        <w:tabs>
          <w:tab w:leader="none" w:pos="2584"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60% of the aggregate principal amount of Notes (including any Additional Notes, but excluding Notes held by the Company and its Subsidiaries) remains outstanding immediately after the occurrence of such redemption; and</w:t>
      </w:r>
    </w:p>
    <w:p>
      <w:pPr>
        <w:spacing w:after="0" w:line="127"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occurs within 180 days after the closing of such Equity Offering.</w:t>
      </w:r>
    </w:p>
    <w:p>
      <w:pPr>
        <w:spacing w:after="0" w:line="161" w:lineRule="exact"/>
        <w:rPr>
          <w:rFonts w:ascii="Times New Roman" w:cs="Times New Roman" w:eastAsia="Times New Roman" w:hAnsi="Times New Roman"/>
          <w:sz w:val="20"/>
          <w:szCs w:val="20"/>
          <w:color w:val="auto"/>
        </w:rPr>
      </w:pPr>
    </w:p>
    <w:p>
      <w:pPr>
        <w:jc w:val="both"/>
        <w:ind w:left="80" w:firstLine="1305"/>
        <w:spacing w:after="0" w:line="258" w:lineRule="auto"/>
        <w:tabs>
          <w:tab w:leader="none" w:pos="193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prior to April 1, 2028, the Company may on any one or more occasions redeem all or a part of the Notes, upon not less than 10 nor more than 60 days’ notice, at a redemption price equal to 100% of the principal amount of the Notes redeemed, plus the Applicable Premium as of, and accrued and unpaid interest, if any, to, but not including, the date of redemption, subject to the rights of Holders of Notes on the relevant record date to receive interest due on the relevant interest payment date.</w:t>
      </w:r>
    </w:p>
    <w:p>
      <w:pPr>
        <w:spacing w:after="0" w:line="131" w:lineRule="exact"/>
        <w:rPr>
          <w:rFonts w:ascii="Times New Roman" w:cs="Times New Roman" w:eastAsia="Times New Roman" w:hAnsi="Times New Roman"/>
          <w:sz w:val="20"/>
          <w:szCs w:val="20"/>
          <w:color w:val="auto"/>
        </w:rPr>
      </w:pPr>
    </w:p>
    <w:p>
      <w:pPr>
        <w:jc w:val="both"/>
        <w:ind w:left="80" w:firstLine="1305"/>
        <w:spacing w:after="0" w:line="253" w:lineRule="auto"/>
        <w:tabs>
          <w:tab w:leader="none" w:pos="193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after April 1, 2028, the Company may on any one or more occasions redeem all or a part of the Notes, upon not less than 10 nor more than 60 days’ notice, at the redemption prices (expressed as percentages of principal amount) set forth below, plus accrued and unpaid interest, if any, on the Notes redeemed, to, but not including, the applicable date of redemption, if redeemed during the twelve-month period beginning on April 1 of the years indicated below, subject to the rights of Holders of Notes on the relevant record date to receive interest on the relevant interest payment date:</w:t>
      </w:r>
    </w:p>
    <w:p>
      <w:pPr>
        <w:spacing w:after="0" w:line="160"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7"/>
              </w:rPr>
              <w:t>Year</w:t>
            </w:r>
          </w:p>
        </w:tc>
        <w:tc>
          <w:tcPr>
            <w:tcW w:w="812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Percentage</w:t>
            </w:r>
          </w:p>
        </w:tc>
      </w:tr>
      <w:tr>
        <w:trPr>
          <w:trHeight w:val="297"/>
        </w:trPr>
        <w:tc>
          <w:tcPr>
            <w:tcW w:w="8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103.688%</w:t>
            </w:r>
          </w:p>
        </w:tc>
      </w:tr>
      <w:tr>
        <w:trPr>
          <w:trHeight w:val="324"/>
        </w:trPr>
        <w:tc>
          <w:tcPr>
            <w:tcW w:w="8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101.844%</w:t>
            </w:r>
          </w:p>
        </w:tc>
      </w:tr>
      <w:tr>
        <w:trPr>
          <w:trHeight w:val="324"/>
        </w:trPr>
        <w:tc>
          <w:tcPr>
            <w:tcW w:w="8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2030 and thereafter</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100.000%</w:t>
            </w:r>
          </w:p>
        </w:tc>
      </w:tr>
    </w:tbl>
    <w:p>
      <w:pPr>
        <w:spacing w:after="0" w:line="28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Unless the Company defaults in the payment of the redemption price, interest will cease to accrue on the Notes or portions thereof called for redemption on the applicable redemption date.</w:t>
      </w:r>
    </w:p>
    <w:p>
      <w:pPr>
        <w:spacing w:after="0" w:line="106" w:lineRule="exact"/>
        <w:rPr>
          <w:sz w:val="20"/>
          <w:szCs w:val="20"/>
          <w:color w:val="auto"/>
        </w:rPr>
      </w:pPr>
    </w:p>
    <w:p>
      <w:pPr>
        <w:ind w:left="1940" w:hanging="555"/>
        <w:spacing w:after="0"/>
        <w:tabs>
          <w:tab w:leader="none" w:pos="194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redemption pursuant to this </w:t>
      </w:r>
      <w:r>
        <w:rPr>
          <w:rFonts w:ascii="Times New Roman" w:cs="Times New Roman" w:eastAsia="Times New Roman" w:hAnsi="Times New Roman"/>
          <w:sz w:val="19"/>
          <w:szCs w:val="19"/>
          <w:u w:val="single" w:color="auto"/>
          <w:color w:val="auto"/>
        </w:rPr>
        <w:t>Section 3.07</w:t>
      </w:r>
      <w:r>
        <w:rPr>
          <w:rFonts w:ascii="Times New Roman" w:cs="Times New Roman" w:eastAsia="Times New Roman" w:hAnsi="Times New Roman"/>
          <w:sz w:val="19"/>
          <w:szCs w:val="19"/>
          <w:color w:val="auto"/>
        </w:rPr>
        <w:t xml:space="preserve"> shall be made pursuant to the provisions of </w:t>
      </w:r>
      <w:r>
        <w:rPr>
          <w:rFonts w:ascii="Times New Roman" w:cs="Times New Roman" w:eastAsia="Times New Roman" w:hAnsi="Times New Roman"/>
          <w:sz w:val="19"/>
          <w:szCs w:val="19"/>
          <w:u w:val="single" w:color="auto"/>
          <w:color w:val="auto"/>
        </w:rPr>
        <w:t>Sections 3.01</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3.06</w:t>
      </w:r>
    </w:p>
    <w:p>
      <w:pPr>
        <w:spacing w:after="0" w:line="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hereof.</w:t>
      </w:r>
    </w:p>
    <w:p>
      <w:pPr>
        <w:spacing w:after="0" w:line="153" w:lineRule="exact"/>
        <w:rPr>
          <w:sz w:val="20"/>
          <w:szCs w:val="20"/>
          <w:color w:val="auto"/>
        </w:rPr>
      </w:pPr>
    </w:p>
    <w:p>
      <w:pPr>
        <w:jc w:val="both"/>
        <w:ind w:left="80" w:firstLine="1305"/>
        <w:spacing w:after="0" w:line="251" w:lineRule="auto"/>
        <w:tabs>
          <w:tab w:leader="none" w:pos="193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in connection with any tender offer for the Notes, including a Change of Control Offer, Alternate Offer or Asset Sale Offer, if Holders of not less than 90% in aggregate principal amount of the outstanding Notes validly tender and do not withdraw such Notes in such tender offer, and if the Company, or any third party making such tender offer in lieu of the Company, purchases all of the Notes validly tendered and not withdrawn by such holders, then the Company or such third party will have the right upon not less than 10 nor more than 60 days’ prior notice to redeem all Notes that remain outstanding following such purchase at a redemption price equal to the price offered to each Holder (excluding any early tender or incentive fee) in such tender offer plus, to the extent not included in the tender offer payment, accrued and unpaid interest, if any, thereon, to, but excluding, the date of such redemption.</w:t>
      </w:r>
    </w:p>
    <w:p>
      <w:pPr>
        <w:spacing w:after="0" w:line="13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3.08 </w:t>
      </w:r>
      <w:r>
        <w:rPr>
          <w:rFonts w:ascii="Times New Roman" w:cs="Times New Roman" w:eastAsia="Times New Roman" w:hAnsi="Times New Roman"/>
          <w:sz w:val="20"/>
          <w:szCs w:val="20"/>
          <w:b w:val="1"/>
          <w:bCs w:val="1"/>
          <w:u w:val="single" w:color="auto"/>
          <w:color w:val="auto"/>
        </w:rPr>
        <w:t>Mandatory Redemption</w:t>
      </w:r>
      <w:r>
        <w:rPr>
          <w:rFonts w:ascii="Times New Roman" w:cs="Times New Roman" w:eastAsia="Times New Roman" w:hAnsi="Times New Roman"/>
          <w:sz w:val="20"/>
          <w:szCs w:val="20"/>
          <w:color w:val="auto"/>
        </w:rPr>
        <w:t>. The Company is not required to make mandatory redemption payments or sinking fund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payments with respect to the Notes. However, under certain circumstances, the Company may be required to offer to purchase Notes (as described under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hereof). The Company may at any time and from time to time purchase outstanding debt securities or loans, including the Notes, in privately negotiated or open market transactions, by tender offer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bl>
    <w:p>
      <w:pPr>
        <w:sectPr>
          <w:pgSz w:w="11900" w:h="16838" w:orient="portrait"/>
          <w:cols w:equalWidth="0" w:num="1">
            <w:col w:w="11240"/>
          </w:cols>
          <w:pgMar w:left="320" w:top="1440" w:right="339" w:bottom="1440" w:gutter="0" w:footer="0" w:header="0"/>
        </w:sectPr>
      </w:pPr>
    </w:p>
    <w:bookmarkStart w:id="66" w:name="page67"/>
    <w:bookmarkEnd w:id="66"/>
    <w:p>
      <w:pPr>
        <w:spacing w:after="0" w:line="131"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3.09 </w:t>
      </w:r>
      <w:r>
        <w:rPr>
          <w:rFonts w:ascii="Times New Roman" w:cs="Times New Roman" w:eastAsia="Times New Roman" w:hAnsi="Times New Roman"/>
          <w:sz w:val="20"/>
          <w:szCs w:val="20"/>
          <w:b w:val="1"/>
          <w:bCs w:val="1"/>
          <w:u w:val="single" w:color="auto"/>
          <w:color w:val="auto"/>
        </w:rPr>
        <w:t>Offer to Purchase by Application of Excess Proceeds</w:t>
      </w:r>
      <w:r>
        <w:rPr>
          <w:rFonts w:ascii="Times New Roman" w:cs="Times New Roman" w:eastAsia="Times New Roman" w:hAnsi="Times New Roman"/>
          <w:sz w:val="20"/>
          <w:szCs w:val="20"/>
          <w:color w:val="auto"/>
        </w:rPr>
        <w:t>. In the event that,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4.10(d)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is required to commence an offer to all Holders to purchase Notes (an “</w:t>
      </w:r>
      <w:r>
        <w:rPr>
          <w:rFonts w:ascii="Times New Roman" w:cs="Times New Roman" w:eastAsia="Times New Roman" w:hAnsi="Times New Roman"/>
          <w:sz w:val="20"/>
          <w:szCs w:val="20"/>
          <w:u w:val="single" w:color="auto"/>
          <w:color w:val="auto"/>
        </w:rPr>
        <w:t>Asset Sale Offer</w:t>
      </w:r>
      <w:r>
        <w:rPr>
          <w:rFonts w:ascii="Times New Roman" w:cs="Times New Roman" w:eastAsia="Times New Roman" w:hAnsi="Times New Roman"/>
          <w:sz w:val="20"/>
          <w:szCs w:val="20"/>
          <w:color w:val="auto"/>
        </w:rPr>
        <w:t xml:space="preserve">”), it will follow the procedures specified in </w:t>
      </w:r>
      <w:r>
        <w:rPr>
          <w:rFonts w:ascii="Times New Roman" w:cs="Times New Roman" w:eastAsia="Times New Roman" w:hAnsi="Times New Roman"/>
          <w:sz w:val="20"/>
          <w:szCs w:val="20"/>
          <w:u w:val="single" w:color="auto"/>
          <w:color w:val="auto"/>
        </w:rPr>
        <w:t>Section 4.10(d)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and the additional procedures specified below.</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Asset Sale Offer will remain open for a period of at least 20 Business Days following its commencement and not more than 30 Business Days, except to the extent that a longer period is required by applicable law (the “</w:t>
      </w:r>
      <w:r>
        <w:rPr>
          <w:rFonts w:ascii="Times New Roman" w:cs="Times New Roman" w:eastAsia="Times New Roman" w:hAnsi="Times New Roman"/>
          <w:sz w:val="20"/>
          <w:szCs w:val="20"/>
          <w:u w:val="single" w:color="auto"/>
          <w:color w:val="auto"/>
        </w:rPr>
        <w:t>Offer Period</w:t>
      </w:r>
      <w:r>
        <w:rPr>
          <w:rFonts w:ascii="Times New Roman" w:cs="Times New Roman" w:eastAsia="Times New Roman" w:hAnsi="Times New Roman"/>
          <w:sz w:val="20"/>
          <w:szCs w:val="20"/>
          <w:color w:val="auto"/>
        </w:rPr>
        <w:t>”). No later than three Business Days after the termination of the Offer Period (the “</w:t>
      </w:r>
      <w:r>
        <w:rPr>
          <w:rFonts w:ascii="Times New Roman" w:cs="Times New Roman" w:eastAsia="Times New Roman" w:hAnsi="Times New Roman"/>
          <w:sz w:val="20"/>
          <w:szCs w:val="20"/>
          <w:u w:val="single" w:color="auto"/>
          <w:color w:val="auto"/>
        </w:rPr>
        <w:t>Purchase Date</w:t>
      </w:r>
      <w:r>
        <w:rPr>
          <w:rFonts w:ascii="Times New Roman" w:cs="Times New Roman" w:eastAsia="Times New Roman" w:hAnsi="Times New Roman"/>
          <w:sz w:val="20"/>
          <w:szCs w:val="20"/>
          <w:color w:val="auto"/>
        </w:rPr>
        <w:t>”), the Company will apply all Excess Proceeds (the “</w:t>
      </w:r>
      <w:r>
        <w:rPr>
          <w:rFonts w:ascii="Times New Roman" w:cs="Times New Roman" w:eastAsia="Times New Roman" w:hAnsi="Times New Roman"/>
          <w:sz w:val="20"/>
          <w:szCs w:val="20"/>
          <w:u w:val="single" w:color="auto"/>
          <w:color w:val="auto"/>
        </w:rPr>
        <w:t>Offer Amount</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 4.10(d)</w:t>
      </w:r>
      <w:r>
        <w:rPr>
          <w:rFonts w:ascii="Times New Roman" w:cs="Times New Roman" w:eastAsia="Times New Roman" w:hAnsi="Times New Roman"/>
          <w:sz w:val="20"/>
          <w:szCs w:val="20"/>
          <w:color w:val="auto"/>
        </w:rPr>
        <w:t>.</w:t>
      </w:r>
    </w:p>
    <w:p>
      <w:pPr>
        <w:spacing w:after="0" w:line="11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the Purchase Date is on or after an interest record date and on or before the related interest payment date, any accrued and unpaid interest will be paid to the Person in whose name a Note is registered at the close of business on such record date, and no additional interest will be payable to Holders who tender Notes pursuant to the Asset Sale Offer.</w:t>
      </w:r>
    </w:p>
    <w:p>
      <w:pPr>
        <w:spacing w:after="0" w:line="1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Upon the commencement of an Asset Sale Offer, the Company will send, by first class mail (or otherwise cause to be transmitted in accordance with the Applicable Procedures), a notice to the Trustee and each of the Holders. The notice will contain all instructions and materials necessary to enable such Holders to tender Notes pursuant to the Asset Sale Offer. The notice, which will govern the terms of the Asset Sale Offer, will state:</w:t>
      </w:r>
    </w:p>
    <w:p>
      <w:pPr>
        <w:spacing w:after="0" w:line="118" w:lineRule="exact"/>
        <w:rPr>
          <w:sz w:val="20"/>
          <w:szCs w:val="20"/>
          <w:color w:val="auto"/>
        </w:rPr>
      </w:pPr>
    </w:p>
    <w:p>
      <w:pPr>
        <w:ind w:left="740" w:right="20" w:firstLine="564"/>
        <w:spacing w:after="0" w:line="283" w:lineRule="auto"/>
        <w:tabs>
          <w:tab w:leader="none" w:pos="194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the Asset Sale Offer is being made pursuant to this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hereof and the length of time the Asset Sale Offer will remain open;</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Offer Amount, the purchase price and the Purchase Date;</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Note not tendered or accepted for payment will continue to accrue interest;</w:t>
      </w:r>
    </w:p>
    <w:p>
      <w:pPr>
        <w:spacing w:after="0" w:line="175" w:lineRule="exact"/>
        <w:rPr>
          <w:rFonts w:ascii="Times New Roman" w:cs="Times New Roman" w:eastAsia="Times New Roman" w:hAnsi="Times New Roman"/>
          <w:sz w:val="20"/>
          <w:szCs w:val="20"/>
          <w:color w:val="auto"/>
        </w:rPr>
      </w:pPr>
    </w:p>
    <w:p>
      <w:pPr>
        <w:ind w:left="740" w:right="20" w:firstLine="564"/>
        <w:spacing w:after="0" w:line="269" w:lineRule="auto"/>
        <w:tabs>
          <w:tab w:leader="none" w:pos="194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Company defaults in making such payment, any Note accepted for payment pursuant to the Asset Sale Offer will cease to accrue interest after the Purchase Date;</w:t>
      </w:r>
    </w:p>
    <w:p>
      <w:pPr>
        <w:spacing w:after="0" w:line="118" w:lineRule="exact"/>
        <w:rPr>
          <w:rFonts w:ascii="Times New Roman" w:cs="Times New Roman" w:eastAsia="Times New Roman" w:hAnsi="Times New Roman"/>
          <w:sz w:val="20"/>
          <w:szCs w:val="20"/>
          <w:color w:val="auto"/>
        </w:rPr>
      </w:pPr>
    </w:p>
    <w:p>
      <w:pPr>
        <w:ind w:left="740" w:firstLine="564"/>
        <w:spacing w:after="0" w:line="269" w:lineRule="auto"/>
        <w:tabs>
          <w:tab w:leader="none" w:pos="194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Holders electing to have a Note purchased pursuant to an Asset Sale Offer may elect to have Notes purchased in minimum denominations of $2,000 or an integral multiple of $1,000 in excess thereof;</w:t>
      </w:r>
    </w:p>
    <w:p>
      <w:pPr>
        <w:spacing w:after="0" w:line="118" w:lineRule="exact"/>
        <w:rPr>
          <w:rFonts w:ascii="Times New Roman" w:cs="Times New Roman" w:eastAsia="Times New Roman" w:hAnsi="Times New Roman"/>
          <w:sz w:val="20"/>
          <w:szCs w:val="20"/>
          <w:color w:val="auto"/>
        </w:rPr>
      </w:pPr>
    </w:p>
    <w:p>
      <w:pPr>
        <w:jc w:val="both"/>
        <w:ind w:left="740" w:firstLine="564"/>
        <w:spacing w:after="0" w:line="258" w:lineRule="auto"/>
        <w:tabs>
          <w:tab w:leader="none" w:pos="194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Holders electing to have Notes purchased pursuant to any Asset Sale Offer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days before the Purchase Date;</w:t>
      </w:r>
    </w:p>
    <w:p>
      <w:pPr>
        <w:spacing w:after="0" w:line="118" w:lineRule="exact"/>
        <w:rPr>
          <w:rFonts w:ascii="Times New Roman" w:cs="Times New Roman" w:eastAsia="Times New Roman" w:hAnsi="Times New Roman"/>
          <w:sz w:val="20"/>
          <w:szCs w:val="20"/>
          <w:color w:val="auto"/>
        </w:rPr>
      </w:pPr>
    </w:p>
    <w:p>
      <w:pPr>
        <w:jc w:val="both"/>
        <w:ind w:left="740" w:firstLine="564"/>
        <w:spacing w:after="0" w:line="258" w:lineRule="auto"/>
        <w:tabs>
          <w:tab w:leader="none" w:pos="194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Holders will be entitled to withdraw their election if the Company, the Depositary or the Paying Agent, as the case may be, receives, not later than the expiration of the Offer Period, facsimile transmission or letter setting forth the name of the Holder, the principal amount of the Note the Holder delivered for purchase and a statement that such Holder is withdrawing his election to have such Note purchased;</w:t>
      </w:r>
    </w:p>
    <w:p>
      <w:pPr>
        <w:spacing w:after="0" w:line="131" w:lineRule="exact"/>
        <w:rPr>
          <w:rFonts w:ascii="Times New Roman" w:cs="Times New Roman" w:eastAsia="Times New Roman" w:hAnsi="Times New Roman"/>
          <w:sz w:val="20"/>
          <w:szCs w:val="20"/>
          <w:color w:val="auto"/>
        </w:rPr>
      </w:pPr>
    </w:p>
    <w:p>
      <w:pPr>
        <w:ind w:left="740" w:firstLine="564"/>
        <w:spacing w:after="0" w:line="269" w:lineRule="auto"/>
        <w:tabs>
          <w:tab w:leader="none" w:pos="194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if the aggregate principal amount of Notes and other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Indebtedness surrendered by holders thereof (or required to be repaid or redeemed in connection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bl>
    <w:p>
      <w:pPr>
        <w:sectPr>
          <w:pgSz w:w="11900" w:h="16838" w:orient="portrait"/>
          <w:cols w:equalWidth="0" w:num="1">
            <w:col w:w="11240"/>
          </w:cols>
          <w:pgMar w:left="320" w:top="1440" w:right="339" w:bottom="1440" w:gutter="0" w:footer="0" w:header="0"/>
        </w:sectPr>
      </w:pPr>
    </w:p>
    <w:bookmarkStart w:id="67" w:name="page68"/>
    <w:bookmarkEnd w:id="67"/>
    <w:p>
      <w:pPr>
        <w:spacing w:after="0" w:line="135" w:lineRule="exact"/>
        <w:rPr>
          <w:sz w:val="20"/>
          <w:szCs w:val="20"/>
          <w:color w:val="auto"/>
        </w:rPr>
      </w:pPr>
    </w:p>
    <w:p>
      <w:pPr>
        <w:jc w:val="both"/>
        <w:ind w:left="740"/>
        <w:spacing w:after="0" w:line="253" w:lineRule="auto"/>
        <w:rPr>
          <w:sz w:val="20"/>
          <w:szCs w:val="20"/>
          <w:color w:val="auto"/>
        </w:rPr>
      </w:pPr>
      <w:r>
        <w:rPr>
          <w:rFonts w:ascii="Times New Roman" w:cs="Times New Roman" w:eastAsia="Times New Roman" w:hAnsi="Times New Roman"/>
          <w:sz w:val="20"/>
          <w:szCs w:val="20"/>
          <w:color w:val="auto"/>
        </w:rPr>
        <w:t xml:space="preserve">Asset Sale Offer) exceeds the Offer Amount, the Trustee will, in accordance with the procedures of DTC, select the Notes and the representative of such other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Indebtedness will select such other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Indebtedness to be purchased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based on the principal amount of Notes and such other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Indebtedness surrendered (with such adjustments as may be deemed appropriate by the Company so that only Notes in minimum denominations of $2,000, or an integral multiple of $1,000 in excess thereof, will be purchased); and</w:t>
      </w:r>
    </w:p>
    <w:p>
      <w:pPr>
        <w:spacing w:after="0" w:line="138" w:lineRule="exact"/>
        <w:rPr>
          <w:sz w:val="20"/>
          <w:szCs w:val="20"/>
          <w:color w:val="auto"/>
        </w:rPr>
      </w:pPr>
    </w:p>
    <w:p>
      <w:pPr>
        <w:ind w:left="740" w:right="20" w:firstLine="564"/>
        <w:spacing w:after="0" w:line="283" w:lineRule="auto"/>
        <w:tabs>
          <w:tab w:leader="none" w:pos="194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Holders whose Notes were purchased only in part will be issued new Notes equal in principal amount to the unpurchased portion of the Notes surrendered (or transferred by book-entry transfer).</w:t>
      </w:r>
    </w:p>
    <w:p>
      <w:pPr>
        <w:spacing w:after="0" w:line="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On or before the Purchase Date, the Company will, to the extent lawful, accept Notes for payment pursuant to </w:t>
      </w:r>
      <w:r>
        <w:rPr>
          <w:rFonts w:ascii="Times New Roman" w:cs="Times New Roman" w:eastAsia="Times New Roman" w:hAnsi="Times New Roman"/>
          <w:sz w:val="20"/>
          <w:szCs w:val="20"/>
          <w:u w:val="single" w:color="auto"/>
          <w:color w:val="auto"/>
        </w:rPr>
        <w:t>Section 4.10(d)</w:t>
      </w:r>
      <w:r>
        <w:rPr>
          <w:rFonts w:ascii="Times New Roman" w:cs="Times New Roman" w:eastAsia="Times New Roman" w:hAnsi="Times New Roman"/>
          <w:sz w:val="20"/>
          <w:szCs w:val="20"/>
          <w:color w:val="auto"/>
        </w:rPr>
        <w:t xml:space="preserve">, and will deliver or cause to be delivered to the Trustee the Notes properly accepted together with an Officers’ Certificate stating that such Notes or portions thereof were accepted for payment by the Company in accordance with the terms of this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 The Company, the Depositary or the Paying Agent, as the case may be, will promptly (but in any case not later than five days after the Purchase Date) mail or deliver to each tendering Holder an amount equal to the purchase price of the Notes tendered by such Holder and accepted by the Company for purchase, and the Company will promptly issue a new Note, and the Trustee, upon written request from the Company, will authenticate and mail or deliver (or cause to be transferred by book entry) such new Note to such Holder, in a principal amount equal to any unpurchased portion of the Note surrendered. Any Note not so accepted shall be promptly mailed or delivered by the Company to the Holder thereof. The Company will publicly announce the results of the Asset Sale Offer on the Purchase Date.</w:t>
      </w:r>
    </w:p>
    <w:p>
      <w:pPr>
        <w:spacing w:after="0" w:line="13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Other than as specifically provided in this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 xml:space="preserve">, any purchase pursuant to this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 xml:space="preserve"> shall be made pursuant to the provisions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3.06</w:t>
      </w:r>
      <w:r>
        <w:rPr>
          <w:rFonts w:ascii="Times New Roman" w:cs="Times New Roman" w:eastAsia="Times New Roman" w:hAnsi="Times New Roman"/>
          <w:sz w:val="20"/>
          <w:szCs w:val="20"/>
          <w:color w:val="auto"/>
        </w:rPr>
        <w:t xml:space="preserve"> hereof.</w:t>
      </w:r>
    </w:p>
    <w:p>
      <w:pPr>
        <w:spacing w:after="0" w:line="11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4.01 </w:t>
      </w:r>
      <w:r>
        <w:rPr>
          <w:rFonts w:ascii="Times New Roman" w:cs="Times New Roman" w:eastAsia="Times New Roman" w:hAnsi="Times New Roman"/>
          <w:sz w:val="20"/>
          <w:szCs w:val="20"/>
          <w:b w:val="1"/>
          <w:bCs w:val="1"/>
          <w:u w:val="single" w:color="auto"/>
          <w:color w:val="auto"/>
        </w:rPr>
        <w:t>Payment of Notes</w:t>
      </w:r>
      <w:r>
        <w:rPr>
          <w:rFonts w:ascii="Times New Roman" w:cs="Times New Roman" w:eastAsia="Times New Roman" w:hAnsi="Times New Roman"/>
          <w:sz w:val="20"/>
          <w:szCs w:val="20"/>
          <w:color w:val="auto"/>
        </w:rPr>
        <w:t>. The Company will pay or cause to be paid the principal of, premium on, if any, and interest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Notes on the dates and in the manner provided in the Notes. Principal, premium, if any, and interest will be considered paid on the date due if the Paying Agent, if other than the Company or a Subsidiary thereof, holds as of 12:00 p.m. Eastern Time on the due date money deposited by the Company in immediately available funds and designated for and sufficient to pay all principal, premium, if any, and interest, if any, then due. If an interest payment date, redemption date, the maturity date or any other date for any payment in respect of the Notes falls on a day that is not a Business Day, the related payment of principal or interest will be made on the next succeeding Business Day as if made on the date the payment was due, and no interest shall accrue for the intervening period.</w:t>
      </w:r>
    </w:p>
    <w:p>
      <w:pPr>
        <w:spacing w:after="0" w:line="1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will pay interest (including post-petition interest in any proceeding under any Bankruptcy Law) on overdue principal at a rate that is 1% higher than the then applicable interest rate on the Notes to the extent lawful; it will pay interest (including post-petition interest in any proceeding under any Bankruptcy Law) on overdue installments of interest, if any (without regard to any applicable grace period), at the same rate to the extent lawful.</w:t>
      </w:r>
    </w:p>
    <w:p>
      <w:pPr>
        <w:spacing w:after="0" w:line="1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4.02 </w:t>
      </w:r>
      <w:r>
        <w:rPr>
          <w:rFonts w:ascii="Times New Roman" w:cs="Times New Roman" w:eastAsia="Times New Roman" w:hAnsi="Times New Roman"/>
          <w:sz w:val="20"/>
          <w:szCs w:val="20"/>
          <w:b w:val="1"/>
          <w:bCs w:val="1"/>
          <w:u w:val="single" w:color="auto"/>
          <w:color w:val="auto"/>
        </w:rPr>
        <w:t>Maintenance of Office or Agency</w:t>
      </w:r>
      <w:r>
        <w:rPr>
          <w:rFonts w:ascii="Times New Roman" w:cs="Times New Roman" w:eastAsia="Times New Roman" w:hAnsi="Times New Roman"/>
          <w:sz w:val="20"/>
          <w:szCs w:val="20"/>
          <w:color w:val="auto"/>
        </w:rPr>
        <w:t>. The Company will maintain an office or agency (which may be an office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Trustee or an affiliate of the Trustee, Registrar or co-registrar) where Notes may be surrendered for registration of transfer or for exchange and where notices and demands to or upon the Company in respect of the Notes and this Indenture may be served.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bl>
    <w:p>
      <w:pPr>
        <w:sectPr>
          <w:pgSz w:w="11900" w:h="16838" w:orient="portrait"/>
          <w:cols w:equalWidth="0" w:num="1">
            <w:col w:w="11240"/>
          </w:cols>
          <w:pgMar w:left="320" w:top="1440" w:right="339" w:bottom="1440" w:gutter="0" w:footer="0" w:header="0"/>
        </w:sectPr>
      </w:pPr>
    </w:p>
    <w:bookmarkStart w:id="68" w:name="page69"/>
    <w:bookmarkEnd w:id="68"/>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may also from time to time designate one or more other offices or agencies where the Notes may be presented or surrendered for any or all such purposes and may from time to time rescind such designations; provided, however, that no such designation or rescission will in any manner relieve the Company of its obligation to maintain an office or agency for such purposes. The Company will give prompt written notice to the Trustee of any such designation or rescission and of any change in the location of any such other office or agency.</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The Company hereby designates the Corporate Trust Office of the Trustee as one such office or agency of the Company in accordance with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hereof; provided the Corporate Trust Office of the Trustee shall not be an office or agency of the Company for the purpose of effecting service of legal process on the Company.</w:t>
      </w:r>
    </w:p>
    <w:p>
      <w:pPr>
        <w:spacing w:after="0" w:line="1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4.03</w:t>
      </w:r>
      <w:r>
        <w:rPr>
          <w:sz w:val="20"/>
          <w:szCs w:val="20"/>
          <w:color w:val="auto"/>
        </w:rPr>
        <w:tab/>
      </w:r>
      <w:r>
        <w:rPr>
          <w:rFonts w:ascii="Times New Roman" w:cs="Times New Roman" w:eastAsia="Times New Roman" w:hAnsi="Times New Roman"/>
          <w:sz w:val="19"/>
          <w:szCs w:val="19"/>
          <w:b w:val="1"/>
          <w:bCs w:val="1"/>
          <w:u w:val="single" w:color="auto"/>
          <w:color w:val="auto"/>
        </w:rPr>
        <w:t>Reports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1385"/>
        <w:spacing w:after="0" w:line="258" w:lineRule="auto"/>
        <w:tabs>
          <w:tab w:leader="none" w:pos="193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required by the rules and regulations of the SEC, so long as any Notes are outstanding, the Company will furnish to the Holders of Notes or cause the Trustee to furnish to the Holders of Notes (or file with the SEC for public availability), no later than thirty days after the expiration of the time periods specified in the SEC’s rules and regulations for non-accelerated filers after giving effect to any extension under Rule 12b-25 under the Exchange Act or otherwise:</w:t>
      </w:r>
    </w:p>
    <w:p>
      <w:pPr>
        <w:spacing w:after="0" w:line="131"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8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quarterly and annual financial statements with respect to the Company and its Subsidiaries substantially in the form that would be required to be filed with the SEC on Forms 10-Q and 10-K if the Company were required to file such reports, including a “Management’s Discussion and Analysis of Financial Condition and Results of Operations” and, with respect to the annual financial statements only, a report thereon by the Company’s certified independent accountants; and</w:t>
      </w:r>
    </w:p>
    <w:p>
      <w:pPr>
        <w:spacing w:after="0" w:line="124" w:lineRule="exact"/>
        <w:rPr>
          <w:rFonts w:ascii="Times New Roman" w:cs="Times New Roman" w:eastAsia="Times New Roman" w:hAnsi="Times New Roman"/>
          <w:sz w:val="20"/>
          <w:szCs w:val="20"/>
          <w:color w:val="auto"/>
        </w:rPr>
      </w:pPr>
    </w:p>
    <w:p>
      <w:pPr>
        <w:jc w:val="both"/>
        <w:ind w:left="1300" w:firstLine="652"/>
        <w:spacing w:after="0" w:line="264" w:lineRule="auto"/>
        <w:tabs>
          <w:tab w:leader="none" w:pos="2584"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information containing substantially the same information that would be required to be filed with the SEC on Form 8-K if the Company were required to file such reports under Items 1.01 (Entry into a Material Definitive Agreement); 1.03 (Bankruptcy or Receivership); 2.01 (Completion of Acquisition or Disposition of Assets); 2.03 (Creation of a Direct Financial Obligation or an Obligation under an Off-Balance Sheet Arrangement of a Registrant); 2.04 (Triggering Events that Accelerate or Increase a Direct Financial Obligation or an Obligation under an Off-Balance Sheet Arrangement); 4.02 (Non-Reliance on Previously Issued Financial Statements or a Related Audit Report or Completed Interim Review);</w:t>
      </w:r>
    </w:p>
    <w:p>
      <w:pPr>
        <w:spacing w:after="0" w:line="4" w:lineRule="exact"/>
        <w:rPr>
          <w:rFonts w:ascii="Times New Roman" w:cs="Times New Roman" w:eastAsia="Times New Roman" w:hAnsi="Times New Roman"/>
          <w:sz w:val="19"/>
          <w:szCs w:val="19"/>
          <w:color w:val="auto"/>
        </w:rPr>
      </w:pPr>
    </w:p>
    <w:p>
      <w:pPr>
        <w:ind w:left="1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5.01 (Changes in Control of Registrant); 5.02(a)(1) (Resignation of Director due to Disagreement with Registrant); and</w:t>
      </w:r>
    </w:p>
    <w:p>
      <w:pPr>
        <w:spacing w:after="0" w:line="13" w:lineRule="exact"/>
        <w:rPr>
          <w:rFonts w:ascii="Times New Roman" w:cs="Times New Roman" w:eastAsia="Times New Roman" w:hAnsi="Times New Roman"/>
          <w:sz w:val="19"/>
          <w:szCs w:val="19"/>
          <w:color w:val="auto"/>
        </w:rPr>
      </w:pPr>
    </w:p>
    <w:p>
      <w:pPr>
        <w:ind w:left="1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5.02(c)(1) (Name and Position of Newly Appointed Officer and Date of Appointment).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All such reports will be prepared in all material respects in accordance with all of the rules and regulations applicable to such reports. In addition, if required by the rules and regulations of the SEC, the Company will file a copy of each of the reports referred to in clauses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above with the SEC for public availability within the time periods specified above (unless the SEC will not accept such a filing) and will post the reports on its website within those time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bl>
    <w:p>
      <w:pPr>
        <w:sectPr>
          <w:pgSz w:w="11900" w:h="16838" w:orient="portrait"/>
          <w:cols w:equalWidth="0" w:num="1">
            <w:col w:w="11240"/>
          </w:cols>
          <w:pgMar w:left="320" w:top="1440" w:right="339" w:bottom="1440" w:gutter="0" w:footer="0" w:header="0"/>
        </w:sectPr>
      </w:pPr>
    </w:p>
    <w:bookmarkStart w:id="69" w:name="page70"/>
    <w:bookmarkEnd w:id="69"/>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Company may satisfy its obligations in this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with respect to financial information relating to the Company by furnishing financial information relating to any Parent Company; provided that if and so long as such Parent Company has Independent Assets or Operations, the same is accompanied by consolidating information (which need not be audited) that explains in reasonable detail the differences between the information relating to such Parent Company, on the one hand, and the information relating to the Company and its Restricted Subsidiaries on a stand-alone basis, on the other hand.</w:t>
      </w:r>
    </w:p>
    <w:p>
      <w:pPr>
        <w:spacing w:after="0" w:line="13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addition, notwithstanding the foregoing, the financial statements, information, auditors’ reports and other documents and information required to be provided pursuant to the first paragraph of this covenant may be, rather than those of the Company, those of (a) any predecessor or successor of the Company, (b) any Wholly Owned Restricted Subsidiary of the Company that, together with its consolidated Subsidiaries, constitutes substantially all of the assets of the Company and its consolidated Subsidiaries (“Qualified Reporting Subsidiary”) or (c) any Parent Company; provided that, if the financial information required to be provided pursuant to the first paragraph of this covenant relates to such Qualified Reporting Subsidiary of the Company or such Parent Company (in the case of any such Parent Company, if and so long as such Parent Company has Independent Assets or Operations), such financial information will be accompanied by consolidating information (which need not be audited), which may be posted to the website of the Company or on Intralinks, SyndTrak, ClearPar or any comparable password protected online data system, that explains in reasonable detail (in the good faith judgment of the Company) the differences between the information relating to such Qualified Reporting Subsidiary or such Parent Company (as the case may be), on the one hand, and the information relating to the Company and its Subsidiaries on a stand-alone basis, on the other hand.</w:t>
      </w:r>
    </w:p>
    <w:p>
      <w:pPr>
        <w:spacing w:after="0" w:line="146" w:lineRule="exact"/>
        <w:rPr>
          <w:sz w:val="20"/>
          <w:szCs w:val="20"/>
          <w:color w:val="auto"/>
        </w:rPr>
      </w:pPr>
    </w:p>
    <w:p>
      <w:pPr>
        <w:jc w:val="both"/>
        <w:ind w:left="80" w:firstLine="1305"/>
        <w:spacing w:after="0" w:line="251" w:lineRule="auto"/>
        <w:tabs>
          <w:tab w:leader="none" w:pos="1931"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Company has designated any of its Subsidiaries as an Unrestricted Subsidiary and such Unrestricted Subsidiary or group of Unrestricted Subsidiaries, if taken together as one Subsidiary, would constitute a Significant Subsidiary of the Company, then the quarterly and annual financial information required by </w:t>
      </w:r>
      <w:r>
        <w:rPr>
          <w:rFonts w:ascii="Times New Roman" w:cs="Times New Roman" w:eastAsia="Times New Roman" w:hAnsi="Times New Roman"/>
          <w:sz w:val="20"/>
          <w:szCs w:val="20"/>
          <w:u w:val="single" w:color="auto"/>
          <w:color w:val="auto"/>
        </w:rPr>
        <w:t>Section 4.03(a)</w:t>
      </w:r>
      <w:r>
        <w:rPr>
          <w:rFonts w:ascii="Times New Roman" w:cs="Times New Roman" w:eastAsia="Times New Roman" w:hAnsi="Times New Roman"/>
          <w:sz w:val="20"/>
          <w:szCs w:val="20"/>
          <w:color w:val="auto"/>
        </w:rPr>
        <w:t xml:space="preserve"> will include a reasonably detailed presentation, either on the face of the financial statements or in the footnotes thereto, and in Management’s Discussion and Analysis of Financial Condition and Results of Operations, of the financial condition and results of operations of the Company and its Restricted Subsidiaries separate from the financial condition and results of operations of the Unrestricted Subsidiaries of the Company.</w:t>
      </w:r>
    </w:p>
    <w:p>
      <w:pPr>
        <w:spacing w:after="0" w:line="136" w:lineRule="exact"/>
        <w:rPr>
          <w:rFonts w:ascii="Times New Roman" w:cs="Times New Roman" w:eastAsia="Times New Roman" w:hAnsi="Times New Roman"/>
          <w:sz w:val="20"/>
          <w:szCs w:val="20"/>
          <w:color w:val="auto"/>
        </w:rPr>
      </w:pPr>
    </w:p>
    <w:p>
      <w:pPr>
        <w:jc w:val="both"/>
        <w:ind w:left="80" w:firstLine="1305"/>
        <w:spacing w:after="0" w:line="253" w:lineRule="auto"/>
        <w:tabs>
          <w:tab w:leader="none" w:pos="1933"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Defaults or Events of Default arising from a failure to furnish in a timely manner any information required by this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shall be deemed cured (and the Company shall be deemed to be in compliance with this covenant) upon furnishing such information as contemplated by this covenant (but without regard to the date on which such information or report is so furnished); provided that such cure shall not otherwise affect the rights of the holders under “—Events of Defaults and Remedies” if the principal of, premium, if any, on, and interest, if any, on, the Notes have been accelerated in accordance with the terms of this Indenture and such acceleration has not been rescinded or cancelled prior to such cure.</w:t>
      </w:r>
    </w:p>
    <w:p>
      <w:pPr>
        <w:spacing w:after="0" w:line="138" w:lineRule="exact"/>
        <w:rPr>
          <w:rFonts w:ascii="Times New Roman" w:cs="Times New Roman" w:eastAsia="Times New Roman" w:hAnsi="Times New Roman"/>
          <w:sz w:val="20"/>
          <w:szCs w:val="20"/>
          <w:color w:val="auto"/>
        </w:rPr>
      </w:pPr>
    </w:p>
    <w:p>
      <w:pPr>
        <w:jc w:val="both"/>
        <w:ind w:left="80" w:firstLine="1305"/>
        <w:spacing w:after="0" w:line="281" w:lineRule="auto"/>
        <w:tabs>
          <w:tab w:leader="none" w:pos="1931"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so long as any Notes remain outstanding, if at any time they are not required to file with the SEC the reports required by paragraphs </w:t>
      </w:r>
      <w:r>
        <w:rPr>
          <w:rFonts w:ascii="Times New Roman" w:cs="Times New Roman" w:eastAsia="Times New Roman" w:hAnsi="Times New Roman"/>
          <w:sz w:val="19"/>
          <w:szCs w:val="19"/>
          <w:u w:val="single" w:color="auto"/>
          <w:color w:val="auto"/>
        </w:rPr>
        <w:t>(1)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4.03(a)</w:t>
      </w:r>
      <w:r>
        <w:rPr>
          <w:rFonts w:ascii="Times New Roman" w:cs="Times New Roman" w:eastAsia="Times New Roman" w:hAnsi="Times New Roman"/>
          <w:sz w:val="19"/>
          <w:szCs w:val="19"/>
          <w:color w:val="auto"/>
        </w:rPr>
        <w:t>, the Company and the Guarantors will furnish to the Holders and to securities analysts and prospective investors, upon their request, the information required to be delivered pursuant to Rule 144A(d)(4) under the Securities Act.</w:t>
      </w:r>
    </w:p>
    <w:p>
      <w:pPr>
        <w:spacing w:after="0" w:line="96" w:lineRule="exact"/>
        <w:rPr>
          <w:rFonts w:ascii="Times New Roman" w:cs="Times New Roman" w:eastAsia="Times New Roman" w:hAnsi="Times New Roman"/>
          <w:sz w:val="19"/>
          <w:szCs w:val="19"/>
          <w:color w:val="auto"/>
        </w:rPr>
      </w:pPr>
    </w:p>
    <w:p>
      <w:pPr>
        <w:ind w:left="1940" w:hanging="555"/>
        <w:spacing w:after="0"/>
        <w:tabs>
          <w:tab w:leader="none" w:pos="194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Company shall be deemed to have furnished the reports required by paragraphs</w:t>
      </w:r>
    </w:p>
    <w:p>
      <w:pPr>
        <w:spacing w:after="0" w:line="28" w:lineRule="exact"/>
        <w:rPr>
          <w:rFonts w:ascii="Times New Roman" w:cs="Times New Roman" w:eastAsia="Times New Roman" w:hAnsi="Times New Roman"/>
          <w:sz w:val="20"/>
          <w:szCs w:val="20"/>
          <w:color w:val="auto"/>
        </w:rPr>
      </w:pPr>
    </w:p>
    <w:p>
      <w:pPr>
        <w:ind w:left="80" w:firstLine="9"/>
        <w:spacing w:after="0" w:line="267" w:lineRule="auto"/>
        <w:tabs>
          <w:tab w:leader="none" w:pos="360" w:val="left"/>
        </w:tabs>
        <w:numPr>
          <w:ilvl w:val="0"/>
          <w:numId w:val="8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4.03(a)</w:t>
      </w:r>
      <w:r>
        <w:rPr>
          <w:rFonts w:ascii="Times New Roman" w:cs="Times New Roman" w:eastAsia="Times New Roman" w:hAnsi="Times New Roman"/>
          <w:sz w:val="20"/>
          <w:szCs w:val="20"/>
          <w:color w:val="auto"/>
        </w:rPr>
        <w:t xml:space="preserve"> to the Trustee and the Holders on the date the Company files such reports with the SEC via the EDGAR filing system (or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bl>
    <w:p>
      <w:pPr>
        <w:sectPr>
          <w:pgSz w:w="11900" w:h="16838" w:orient="portrait"/>
          <w:cols w:equalWidth="0" w:num="1">
            <w:col w:w="11240"/>
          </w:cols>
          <w:pgMar w:left="320" w:top="1440" w:right="339" w:bottom="1440" w:gutter="0" w:footer="0" w:header="0"/>
        </w:sectPr>
      </w:pPr>
    </w:p>
    <w:bookmarkStart w:id="70" w:name="page71"/>
    <w:bookmarkEnd w:id="70"/>
    <w:p>
      <w:pPr>
        <w:spacing w:after="0" w:line="135" w:lineRule="exact"/>
        <w:rPr>
          <w:sz w:val="20"/>
          <w:szCs w:val="20"/>
          <w:color w:val="auto"/>
        </w:rPr>
      </w:pPr>
    </w:p>
    <w:p>
      <w:pPr>
        <w:ind w:left="80" w:right="20"/>
        <w:spacing w:after="0" w:line="283" w:lineRule="auto"/>
        <w:rPr>
          <w:sz w:val="20"/>
          <w:szCs w:val="20"/>
          <w:color w:val="auto"/>
        </w:rPr>
      </w:pPr>
      <w:r>
        <w:rPr>
          <w:rFonts w:ascii="Times New Roman" w:cs="Times New Roman" w:eastAsia="Times New Roman" w:hAnsi="Times New Roman"/>
          <w:sz w:val="20"/>
          <w:szCs w:val="20"/>
          <w:color w:val="auto"/>
        </w:rPr>
        <w:t>thereto) and such reports become publicly available or by making it available on a public website or on a password protected online data system, which may require a confidentiality acknowledgement.</w:t>
      </w:r>
    </w:p>
    <w:p>
      <w:pPr>
        <w:spacing w:after="0" w:line="92" w:lineRule="exact"/>
        <w:rPr>
          <w:sz w:val="20"/>
          <w:szCs w:val="20"/>
          <w:color w:val="auto"/>
        </w:rPr>
      </w:pPr>
    </w:p>
    <w:p>
      <w:pPr>
        <w:jc w:val="both"/>
        <w:ind w:left="80" w:firstLine="1305"/>
        <w:spacing w:after="0" w:line="252" w:lineRule="auto"/>
        <w:tabs>
          <w:tab w:leader="none" w:pos="193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reports, information and documents to the Trustee under this Indenture is for informational purposes only and the Trustee’s receipt of the foregoing shall not constitute actual or constructive knowledge or notice of any information contained therein, or determinable from information contained therein, including the Company’s compliance with any of its covenants thereunder (as to which the Trustee is entitled to rely exclusively on an Officers’ Certificate). The Trustee shall have no duty to monitor or confirm, on a continuing basis or otherwise, whether the Company posts reports, information or documents on the SEC’s website (via the EDGAR filing system (or any successor thereto)), the Company’s website, Intralinks, SyndTrak, ClearPar or any other comparable password protected online data system, or otherwise, collect any such information from the SEC’s website (via the EDGAR filing system (or any successor thereto)), the Company’s website, Intralinks, SyndTrak, ClearPar or any other comparable password protected online data system, or otherwise, review or analyze reports, information and documents delivered to it, or participate in conference calls.</w:t>
      </w:r>
    </w:p>
    <w:p>
      <w:pPr>
        <w:spacing w:after="0" w:line="13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4.04</w:t>
      </w:r>
      <w:r>
        <w:rPr>
          <w:sz w:val="20"/>
          <w:szCs w:val="20"/>
          <w:color w:val="auto"/>
        </w:rPr>
        <w:tab/>
      </w:r>
      <w:r>
        <w:rPr>
          <w:rFonts w:ascii="Times New Roman" w:cs="Times New Roman" w:eastAsia="Times New Roman" w:hAnsi="Times New Roman"/>
          <w:sz w:val="19"/>
          <w:szCs w:val="19"/>
          <w:b w:val="1"/>
          <w:bCs w:val="1"/>
          <w:u w:val="single" w:color="auto"/>
          <w:color w:val="auto"/>
        </w:rPr>
        <w:t>Compliance Certificate</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80" w:firstLine="1305"/>
        <w:spacing w:after="0" w:line="250" w:lineRule="auto"/>
        <w:tabs>
          <w:tab w:leader="none" w:pos="193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Guarantor shall deliver to the Trustee, within 120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premium on, if any, or interest on the Notes is prohibited or if such event has occurred, a description of the event and what action the Company is taking or proposes to take with respect thereto.</w:t>
      </w:r>
    </w:p>
    <w:p>
      <w:pPr>
        <w:spacing w:after="0" w:line="142" w:lineRule="exact"/>
        <w:rPr>
          <w:rFonts w:ascii="Times New Roman" w:cs="Times New Roman" w:eastAsia="Times New Roman" w:hAnsi="Times New Roman"/>
          <w:sz w:val="20"/>
          <w:szCs w:val="20"/>
          <w:color w:val="auto"/>
        </w:rPr>
      </w:pPr>
    </w:p>
    <w:p>
      <w:pPr>
        <w:jc w:val="both"/>
        <w:ind w:left="80" w:firstLine="1305"/>
        <w:spacing w:after="0" w:line="261" w:lineRule="auto"/>
        <w:tabs>
          <w:tab w:leader="none" w:pos="193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any of the Notes are outstanding, the Company will deliver to the Trustee, forthwith within 30 days of any Officer becoming aware of any Default or Event of Default, an Officers’ Certificate specifying such Default or Event of Default and what action the Company is taking or proposes to take with respect thereto.</w:t>
      </w:r>
    </w:p>
    <w:p>
      <w:pPr>
        <w:spacing w:after="0" w:line="12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4.05 </w:t>
      </w:r>
      <w:r>
        <w:rPr>
          <w:rFonts w:ascii="Times New Roman" w:cs="Times New Roman" w:eastAsia="Times New Roman" w:hAnsi="Times New Roman"/>
          <w:sz w:val="20"/>
          <w:szCs w:val="20"/>
          <w:b w:val="1"/>
          <w:bCs w:val="1"/>
          <w:u w:val="single" w:color="auto"/>
          <w:color w:val="auto"/>
        </w:rPr>
        <w:t>Taxes</w:t>
      </w:r>
      <w:r>
        <w:rPr>
          <w:rFonts w:ascii="Times New Roman" w:cs="Times New Roman" w:eastAsia="Times New Roman" w:hAnsi="Times New Roman"/>
          <w:sz w:val="20"/>
          <w:szCs w:val="20"/>
          <w:color w:val="auto"/>
        </w:rPr>
        <w:t>. The Company will pay, and will cause each of its Restricted Subsidiaries to pay, prior to delinquency,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taxes, assessments, and governmental levies except such as are contested in good faith and by appropriate proceedings or where the failure to effect such payment is not adverse in any material respect to the Holders of the Notes.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4.06 </w:t>
      </w:r>
      <w:r>
        <w:rPr>
          <w:rFonts w:ascii="Times New Roman" w:cs="Times New Roman" w:eastAsia="Times New Roman" w:hAnsi="Times New Roman"/>
          <w:sz w:val="20"/>
          <w:szCs w:val="20"/>
          <w:b w:val="1"/>
          <w:bCs w:val="1"/>
          <w:u w:val="single" w:color="auto"/>
          <w:color w:val="auto"/>
        </w:rPr>
        <w:t>Stay, Extension and Usury Laws</w:t>
      </w:r>
      <w:r>
        <w:rPr>
          <w:rFonts w:ascii="Times New Roman" w:cs="Times New Roman" w:eastAsia="Times New Roman" w:hAnsi="Times New Roman"/>
          <w:sz w:val="20"/>
          <w:szCs w:val="20"/>
          <w:color w:val="auto"/>
        </w:rPr>
        <w:t>. The Company and each of the Guarantors covenants (to the extent that it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that it will not, by resort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bl>
    <w:p>
      <w:pPr>
        <w:sectPr>
          <w:pgSz w:w="11900" w:h="16838" w:orient="portrait"/>
          <w:cols w:equalWidth="0" w:num="1">
            <w:col w:w="11240"/>
          </w:cols>
          <w:pgMar w:left="320" w:top="1440" w:right="339" w:bottom="1440" w:gutter="0" w:footer="0" w:header="0"/>
        </w:sectPr>
      </w:pPr>
    </w:p>
    <w:bookmarkStart w:id="71" w:name="page72"/>
    <w:bookmarkEnd w:id="71"/>
    <w:p>
      <w:pPr>
        <w:spacing w:after="0" w:line="13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such law, hinder, delay or impede the execution of any power herein granted to the Trustee, but will suffer and permit the execution of every such power as though no such law has been enacted.</w:t>
      </w:r>
    </w:p>
    <w:p>
      <w:pPr>
        <w:spacing w:after="0" w:line="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4.07</w:t>
      </w:r>
      <w:r>
        <w:rPr>
          <w:sz w:val="20"/>
          <w:szCs w:val="20"/>
          <w:color w:val="auto"/>
        </w:rPr>
        <w:tab/>
      </w:r>
      <w:r>
        <w:rPr>
          <w:rFonts w:ascii="Times New Roman" w:cs="Times New Roman" w:eastAsia="Times New Roman" w:hAnsi="Times New Roman"/>
          <w:sz w:val="19"/>
          <w:szCs w:val="19"/>
          <w:b w:val="1"/>
          <w:bCs w:val="1"/>
          <w:u w:val="single" w:color="auto"/>
          <w:color w:val="auto"/>
        </w:rPr>
        <w:t>Restricted Payments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left="1940" w:hanging="555"/>
        <w:spacing w:after="0"/>
        <w:tabs>
          <w:tab w:leader="none" w:pos="19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and will not permit any of its Restricted Subsidiaries to, directly or indirectly:</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8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or pay any dividend or make any other payment or distribution on account of the Company’s or any of its Restricted Subsidiaries’ Equity Interests (including, without limitation, any payment in connection with any merger or consolidation involving the Company or any of its Restricted Subsidiaries) or to the direct or indirect holders of the Company’s or any of its Restricted Subsidiaries’ Equity Interests in their capacity as such (other than dividends or distributions payable in Equity Interests (other than Disqualified Stock) of the Company and other than dividends or distributions payable to the Company or a Restricted Subsidiary thereof);</w:t>
      </w:r>
    </w:p>
    <w:p>
      <w:pPr>
        <w:spacing w:after="0" w:line="138"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8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redeem or otherwise acquire or retire for value (including, without limitation, in connection with any merger or consolidation involving the Company) any Equity Interests of the Company or any direct or indirect parent of the Company;</w:t>
      </w:r>
    </w:p>
    <w:p>
      <w:pPr>
        <w:spacing w:after="0" w:line="127"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8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payment on or with respect to, or purchase, redeem, defease or otherwise acquire or retire for value any Indebtedness of the Company or any Guarantor that is contractually subordinated in right of payment to the Notes or to any Note Guarantee (excluding any intercompany Indebtedness between or among the Company and any of its Restricted Subsidiaries), except a payment of interest or a payment of principal at or within one year of the Stated Maturity thereof; or</w:t>
      </w:r>
    </w:p>
    <w:p>
      <w:pPr>
        <w:spacing w:after="0" w:line="137"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Restricted Investment</w:t>
      </w:r>
    </w:p>
    <w:p>
      <w:pPr>
        <w:spacing w:after="0" w:line="16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 xml:space="preserve">(all such payments and other actions set forth in these clauses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above being collectively referred to as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unless, at the time of and after giving effect to such Restricted Payment:</w:t>
      </w:r>
    </w:p>
    <w:p>
      <w:pPr>
        <w:spacing w:after="0" w:line="92" w:lineRule="exact"/>
        <w:rPr>
          <w:sz w:val="20"/>
          <w:szCs w:val="20"/>
          <w:color w:val="auto"/>
        </w:rPr>
      </w:pPr>
    </w:p>
    <w:p>
      <w:pPr>
        <w:ind w:left="1300" w:firstLine="652"/>
        <w:spacing w:after="0" w:line="283" w:lineRule="auto"/>
        <w:tabs>
          <w:tab w:leader="none" w:pos="259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Payment Default or Event of Default has occurred and is continuing or would occur as a consequence of such Restricted Payment;</w:t>
      </w:r>
    </w:p>
    <w:p>
      <w:pPr>
        <w:spacing w:after="0" w:line="105" w:lineRule="exact"/>
        <w:rPr>
          <w:rFonts w:ascii="Times New Roman" w:cs="Times New Roman" w:eastAsia="Times New Roman" w:hAnsi="Times New Roman"/>
          <w:sz w:val="20"/>
          <w:szCs w:val="20"/>
          <w:color w:val="auto"/>
        </w:rPr>
      </w:pPr>
    </w:p>
    <w:p>
      <w:pPr>
        <w:jc w:val="both"/>
        <w:ind w:left="1300" w:firstLine="652"/>
        <w:spacing w:after="0" w:line="254" w:lineRule="auto"/>
        <w:tabs>
          <w:tab w:leader="none" w:pos="259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would, at the time of such Restricted Payment and after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thereto as if such Restricted Payment had been made at the beginning of the applicable four-quarter period, have been permitted to incur at least $1.00 of additional Indebtedness pursuant to the Fixed Charge Coverage Ratio test set forth in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xml:space="preserve"> hereof; and</w:t>
      </w:r>
    </w:p>
    <w:p>
      <w:pPr>
        <w:spacing w:after="0" w:line="133"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9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Restricted Payment, together with the aggregate amount of all other Restricted Payments made by the Company and its Restricted Subsidiaries since the Issue Date (excluding Restricted Payments permitted by clauses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(16)</w:t>
      </w:r>
      <w:r>
        <w:rPr>
          <w:rFonts w:ascii="Times New Roman" w:cs="Times New Roman" w:eastAsia="Times New Roman" w:hAnsi="Times New Roman"/>
          <w:sz w:val="20"/>
          <w:szCs w:val="20"/>
          <w:color w:val="auto"/>
        </w:rPr>
        <w:t xml:space="preserve"> of paragraph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4.07</w:t>
      </w:r>
      <w:r>
        <w:rPr>
          <w:rFonts w:ascii="Times New Roman" w:cs="Times New Roman" w:eastAsia="Times New Roman" w:hAnsi="Times New Roman"/>
          <w:sz w:val="20"/>
          <w:szCs w:val="20"/>
          <w:color w:val="auto"/>
        </w:rPr>
        <w:t>), is less than the sum, without duplication, of:</w:t>
      </w:r>
    </w:p>
    <w:p>
      <w:pPr>
        <w:spacing w:after="0" w:line="127" w:lineRule="exact"/>
        <w:rPr>
          <w:rFonts w:ascii="Times New Roman" w:cs="Times New Roman" w:eastAsia="Times New Roman" w:hAnsi="Times New Roman"/>
          <w:sz w:val="20"/>
          <w:szCs w:val="20"/>
          <w:color w:val="auto"/>
        </w:rPr>
      </w:pPr>
    </w:p>
    <w:p>
      <w:pPr>
        <w:ind w:left="1960" w:firstLine="640"/>
        <w:spacing w:after="0" w:line="269" w:lineRule="auto"/>
        <w:tabs>
          <w:tab w:leader="none" w:pos="3247"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of the Consolidated Net Income of the Company for the period (taken as one accounting period) commencing with the start of the Company’s fiscal quarter in which the Issue Date occurs to the end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bl>
    <w:p>
      <w:pPr>
        <w:sectPr>
          <w:pgSz w:w="11900" w:h="16838" w:orient="portrait"/>
          <w:cols w:equalWidth="0" w:num="1">
            <w:col w:w="11240"/>
          </w:cols>
          <w:pgMar w:left="320" w:top="1440" w:right="339" w:bottom="1440" w:gutter="0" w:footer="0" w:header="0"/>
        </w:sectPr>
      </w:pPr>
    </w:p>
    <w:bookmarkStart w:id="72" w:name="page73"/>
    <w:bookmarkEnd w:id="72"/>
    <w:p>
      <w:pPr>
        <w:spacing w:after="0" w:line="135" w:lineRule="exact"/>
        <w:rPr>
          <w:sz w:val="20"/>
          <w:szCs w:val="20"/>
          <w:color w:val="auto"/>
        </w:rPr>
      </w:pPr>
    </w:p>
    <w:p>
      <w:pPr>
        <w:jc w:val="both"/>
        <w:ind w:left="1880"/>
        <w:spacing w:after="0" w:line="261" w:lineRule="auto"/>
        <w:rPr>
          <w:sz w:val="20"/>
          <w:szCs w:val="20"/>
          <w:color w:val="auto"/>
        </w:rPr>
      </w:pPr>
      <w:r>
        <w:rPr>
          <w:rFonts w:ascii="Times New Roman" w:cs="Times New Roman" w:eastAsia="Times New Roman" w:hAnsi="Times New Roman"/>
          <w:sz w:val="20"/>
          <w:szCs w:val="20"/>
          <w:color w:val="auto"/>
        </w:rPr>
        <w:t xml:space="preserve">Company’s most recently ended fiscal quarter for which internal financial statements are available at the time of such Restricted Payment (or, if such Consolidated Net Income for such period is a deficit, less 100% of such deficit); </w:t>
      </w:r>
      <w:r>
        <w:rPr>
          <w:rFonts w:ascii="Times New Roman" w:cs="Times New Roman" w:eastAsia="Times New Roman" w:hAnsi="Times New Roman"/>
          <w:sz w:val="20"/>
          <w:szCs w:val="20"/>
          <w:u w:val="single" w:color="auto"/>
          <w:color w:val="auto"/>
        </w:rPr>
        <w:t>plus</w:t>
      </w:r>
    </w:p>
    <w:p>
      <w:pPr>
        <w:spacing w:after="0" w:line="127" w:lineRule="exact"/>
        <w:rPr>
          <w:sz w:val="20"/>
          <w:szCs w:val="20"/>
          <w:color w:val="auto"/>
        </w:rPr>
      </w:pPr>
    </w:p>
    <w:p>
      <w:pPr>
        <w:jc w:val="both"/>
        <w:ind w:left="1880" w:firstLine="640"/>
        <w:spacing w:after="0" w:line="251" w:lineRule="auto"/>
        <w:tabs>
          <w:tab w:leader="none" w:pos="3170"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 of the aggregate net cash proceeds and the Fair Market Value of assets (other than cash) received by the Company since the Issue Date as a contribution to its common equity capital or from the issue or sale of Qualifying Equity Interests of the Company or from the issue or sale of convertible or exchangeable Disqualified Stock of the Company or convertible or exchangeable debt securities of the Company, in each case that have been converted into or exchanged for such Qualifying Equity Interests of the Company (other than Qualifying Equity Interests and convertible or exchangeable Disqualified Stock or debt securities sold to a Subsidiary of the Company); </w:t>
      </w:r>
      <w:r>
        <w:rPr>
          <w:rFonts w:ascii="Times New Roman" w:cs="Times New Roman" w:eastAsia="Times New Roman" w:hAnsi="Times New Roman"/>
          <w:sz w:val="20"/>
          <w:szCs w:val="20"/>
          <w:u w:val="single" w:color="auto"/>
          <w:color w:val="auto"/>
        </w:rPr>
        <w:t>plus</w:t>
      </w:r>
    </w:p>
    <w:p>
      <w:pPr>
        <w:spacing w:after="0" w:line="138" w:lineRule="exact"/>
        <w:rPr>
          <w:rFonts w:ascii="Times New Roman" w:cs="Times New Roman" w:eastAsia="Times New Roman" w:hAnsi="Times New Roman"/>
          <w:sz w:val="20"/>
          <w:szCs w:val="20"/>
          <w:color w:val="auto"/>
        </w:rPr>
      </w:pPr>
    </w:p>
    <w:p>
      <w:pPr>
        <w:jc w:val="both"/>
        <w:ind w:left="1880" w:firstLine="640"/>
        <w:spacing w:after="0" w:line="258" w:lineRule="auto"/>
        <w:tabs>
          <w:tab w:leader="none" w:pos="3170"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any Restricted Investment that was made after the Issue Date is (a) sold for cash or otherwise cancelled, liquidated or repaid for cash, or (b) made in an entity that subsequently becomes a Restricted Subsidiary of the Company, the Fair Market Value of such Restricted Investment as of the date such entity becomes a Restricted Subsidiary (or, if less, the amount of cash received upon repayment or sale); </w:t>
      </w:r>
      <w:r>
        <w:rPr>
          <w:rFonts w:ascii="Times New Roman" w:cs="Times New Roman" w:eastAsia="Times New Roman" w:hAnsi="Times New Roman"/>
          <w:sz w:val="20"/>
          <w:szCs w:val="20"/>
          <w:u w:val="single" w:color="auto"/>
          <w:color w:val="auto"/>
        </w:rPr>
        <w:t>plus</w:t>
      </w:r>
    </w:p>
    <w:p>
      <w:pPr>
        <w:spacing w:after="0" w:line="118" w:lineRule="exact"/>
        <w:rPr>
          <w:rFonts w:ascii="Times New Roman" w:cs="Times New Roman" w:eastAsia="Times New Roman" w:hAnsi="Times New Roman"/>
          <w:sz w:val="20"/>
          <w:szCs w:val="20"/>
          <w:color w:val="auto"/>
        </w:rPr>
      </w:pPr>
    </w:p>
    <w:p>
      <w:pPr>
        <w:jc w:val="both"/>
        <w:ind w:left="1880" w:firstLine="640"/>
        <w:spacing w:after="0" w:line="253" w:lineRule="auto"/>
        <w:tabs>
          <w:tab w:leader="none" w:pos="3167"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any Unrestricted Subsidiary of the Company designated as such after the Issue Date is redesignated as a Restricted Subsidiary pursuant to the terms of this Indenture or is merged or consolidated with or into, or transfers or otherwise disposes of all or substantially all of its properties or assets to or is liquidated into, the Company or a Restricted Subsidiary after the Issue Date, the Fair Market Value of the Company’s Restricted Investment in such Subsidiary (or of the properties or assets disposed of, as applicable) as of the date of such redesignation, merger, consolidation, transfer, disposition or liquidation, after deducting any Indebtedness associated with the Unrestricted Subsidiary so designated; </w:t>
      </w:r>
      <w:r>
        <w:rPr>
          <w:rFonts w:ascii="Times New Roman" w:cs="Times New Roman" w:eastAsia="Times New Roman" w:hAnsi="Times New Roman"/>
          <w:sz w:val="20"/>
          <w:szCs w:val="20"/>
          <w:u w:val="single" w:color="auto"/>
          <w:color w:val="auto"/>
        </w:rPr>
        <w:t>plus</w:t>
      </w:r>
    </w:p>
    <w:p>
      <w:pPr>
        <w:spacing w:after="0" w:line="125" w:lineRule="exact"/>
        <w:rPr>
          <w:rFonts w:ascii="Times New Roman" w:cs="Times New Roman" w:eastAsia="Times New Roman" w:hAnsi="Times New Roman"/>
          <w:sz w:val="20"/>
          <w:szCs w:val="20"/>
          <w:color w:val="auto"/>
        </w:rPr>
      </w:pPr>
    </w:p>
    <w:p>
      <w:pPr>
        <w:jc w:val="both"/>
        <w:ind w:left="1880" w:firstLine="640"/>
        <w:spacing w:after="0" w:line="268" w:lineRule="auto"/>
        <w:tabs>
          <w:tab w:leader="none" w:pos="3172"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 of any dividends received in cash by the Company or a Restricted Subsidiary thereof after the Issue Date from an Unrestricted Subsidiary of the Company to the extent that such dividends were not otherwise included in the Consolidated Net Income of the Company for such period; </w:t>
      </w:r>
      <w:r>
        <w:rPr>
          <w:rFonts w:ascii="Times New Roman" w:cs="Times New Roman" w:eastAsia="Times New Roman" w:hAnsi="Times New Roman"/>
          <w:sz w:val="20"/>
          <w:szCs w:val="20"/>
          <w:u w:val="single" w:color="auto"/>
          <w:color w:val="auto"/>
        </w:rPr>
        <w:t>plus</w:t>
      </w:r>
    </w:p>
    <w:p>
      <w:pPr>
        <w:spacing w:after="0" w:line="107" w:lineRule="exact"/>
        <w:rPr>
          <w:rFonts w:ascii="Times New Roman" w:cs="Times New Roman" w:eastAsia="Times New Roman" w:hAnsi="Times New Roman"/>
          <w:sz w:val="20"/>
          <w:szCs w:val="20"/>
          <w:color w:val="auto"/>
        </w:rPr>
      </w:pPr>
    </w:p>
    <w:p>
      <w:pPr>
        <w:ind w:left="3160" w:hanging="640"/>
        <w:spacing w:after="0"/>
        <w:tabs>
          <w:tab w:leader="none" w:pos="3160"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 million.</w:t>
      </w:r>
    </w:p>
    <w:p>
      <w:pPr>
        <w:spacing w:after="0" w:line="175" w:lineRule="exact"/>
        <w:rPr>
          <w:rFonts w:ascii="Times New Roman" w:cs="Times New Roman" w:eastAsia="Times New Roman" w:hAnsi="Times New Roman"/>
          <w:sz w:val="20"/>
          <w:szCs w:val="20"/>
          <w:color w:val="auto"/>
        </w:rPr>
      </w:pPr>
    </w:p>
    <w:p>
      <w:pPr>
        <w:ind w:left="1860" w:hanging="555"/>
        <w:spacing w:after="0"/>
        <w:tabs>
          <w:tab w:leader="none" w:pos="18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w:t>
      </w:r>
      <w:r>
        <w:rPr>
          <w:rFonts w:ascii="Times New Roman" w:cs="Times New Roman" w:eastAsia="Times New Roman" w:hAnsi="Times New Roman"/>
          <w:sz w:val="20"/>
          <w:szCs w:val="20"/>
          <w:u w:val="single" w:color="auto"/>
          <w:color w:val="auto"/>
        </w:rPr>
        <w:t>Section 4.07(a)</w:t>
      </w:r>
      <w:r>
        <w:rPr>
          <w:rFonts w:ascii="Times New Roman" w:cs="Times New Roman" w:eastAsia="Times New Roman" w:hAnsi="Times New Roman"/>
          <w:sz w:val="20"/>
          <w:szCs w:val="20"/>
          <w:color w:val="auto"/>
        </w:rPr>
        <w:t xml:space="preserve"> hereof will not prohibit:</w:t>
      </w:r>
    </w:p>
    <w:p>
      <w:pPr>
        <w:spacing w:after="0" w:line="161" w:lineRule="exact"/>
        <w:rPr>
          <w:rFonts w:ascii="Times New Roman" w:cs="Times New Roman" w:eastAsia="Times New Roman" w:hAnsi="Times New Roman"/>
          <w:sz w:val="20"/>
          <w:szCs w:val="20"/>
          <w:color w:val="auto"/>
        </w:rPr>
      </w:pPr>
    </w:p>
    <w:p>
      <w:pPr>
        <w:jc w:val="both"/>
        <w:ind w:left="1220" w:firstLine="652"/>
        <w:spacing w:after="0" w:line="268" w:lineRule="auto"/>
        <w:tabs>
          <w:tab w:leader="none" w:pos="2504"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Indenture;</w:t>
      </w:r>
    </w:p>
    <w:p>
      <w:pPr>
        <w:spacing w:after="0" w:line="107" w:lineRule="exact"/>
        <w:rPr>
          <w:rFonts w:ascii="Times New Roman" w:cs="Times New Roman" w:eastAsia="Times New Roman" w:hAnsi="Times New Roman"/>
          <w:sz w:val="20"/>
          <w:szCs w:val="20"/>
          <w:color w:val="auto"/>
        </w:rPr>
      </w:pPr>
    </w:p>
    <w:p>
      <w:pPr>
        <w:jc w:val="both"/>
        <w:ind w:left="1220" w:firstLine="652"/>
        <w:spacing w:after="0" w:line="261" w:lineRule="auto"/>
        <w:tabs>
          <w:tab w:leader="none" w:pos="2504"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making of any Restricted Payment in exchange for, or out of or with the net cash proceeds of the substantially concurrent sale (other than to a Subsidiary of the Company) of, Equity Interests of the Company (other than Disqualified Stock) or from the substantially concurrent contribution of common equity capital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bl>
    <w:p>
      <w:pPr>
        <w:sectPr>
          <w:pgSz w:w="11900" w:h="16838" w:orient="portrait"/>
          <w:cols w:equalWidth="0" w:num="1">
            <w:col w:w="11160"/>
          </w:cols>
          <w:pgMar w:left="400" w:top="1440" w:right="339" w:bottom="1440" w:gutter="0" w:footer="0" w:header="0"/>
        </w:sectPr>
      </w:pPr>
    </w:p>
    <w:bookmarkStart w:id="73" w:name="page74"/>
    <w:bookmarkEnd w:id="73"/>
    <w:p>
      <w:pPr>
        <w:spacing w:after="0" w:line="135" w:lineRule="exact"/>
        <w:rPr>
          <w:sz w:val="20"/>
          <w:szCs w:val="20"/>
          <w:color w:val="auto"/>
        </w:rPr>
      </w:pPr>
    </w:p>
    <w:p>
      <w:pPr>
        <w:jc w:val="both"/>
        <w:ind w:left="1220"/>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such net cash proceeds that are utilized for any such Restricted Payment will not be considered to be net proceeds of Qualifying Equity Interests for purposes of </w:t>
      </w:r>
      <w:r>
        <w:rPr>
          <w:rFonts w:ascii="Times New Roman" w:cs="Times New Roman" w:eastAsia="Times New Roman" w:hAnsi="Times New Roman"/>
          <w:sz w:val="20"/>
          <w:szCs w:val="20"/>
          <w:u w:val="single" w:color="auto"/>
          <w:color w:val="auto"/>
        </w:rPr>
        <w:t>Section 4.07(a)(iii)(B)</w:t>
      </w:r>
      <w:r>
        <w:rPr>
          <w:rFonts w:ascii="Times New Roman" w:cs="Times New Roman" w:eastAsia="Times New Roman" w:hAnsi="Times New Roman"/>
          <w:sz w:val="20"/>
          <w:szCs w:val="20"/>
          <w:color w:val="auto"/>
        </w:rPr>
        <w:t xml:space="preserve"> and will not be considered to be net cash proceeds from an Equity Offering for purposes of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of this Indenture;</w:t>
      </w:r>
    </w:p>
    <w:p>
      <w:pPr>
        <w:spacing w:after="0" w:line="127" w:lineRule="exact"/>
        <w:rPr>
          <w:sz w:val="20"/>
          <w:szCs w:val="20"/>
          <w:color w:val="auto"/>
        </w:rPr>
      </w:pPr>
    </w:p>
    <w:p>
      <w:pPr>
        <w:jc w:val="both"/>
        <w:ind w:left="1220" w:firstLine="652"/>
        <w:spacing w:after="0" w:line="261" w:lineRule="auto"/>
        <w:tabs>
          <w:tab w:leader="none" w:pos="25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payment of any dividend (or, in the case of any partnership or limited liability company, any similar distribution) by a Restricted Subsidiary of the Company to the holders of its Equity Interests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or on a basis more favorable to the Company;</w:t>
      </w:r>
    </w:p>
    <w:p>
      <w:pPr>
        <w:spacing w:after="0" w:line="127" w:lineRule="exact"/>
        <w:rPr>
          <w:rFonts w:ascii="Times New Roman" w:cs="Times New Roman" w:eastAsia="Times New Roman" w:hAnsi="Times New Roman"/>
          <w:sz w:val="20"/>
          <w:szCs w:val="20"/>
          <w:color w:val="auto"/>
        </w:rPr>
      </w:pPr>
    </w:p>
    <w:p>
      <w:pPr>
        <w:jc w:val="both"/>
        <w:ind w:left="1220" w:firstLine="652"/>
        <w:spacing w:after="0" w:line="261" w:lineRule="auto"/>
        <w:tabs>
          <w:tab w:leader="none" w:pos="25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repurchase, redemption, defeasance or other acquisition or retirement for value of Indebtedness of the Company or any Guarantor that is contractually subordinated to the Notes or to any Note Guarantee with the net cash proceeds from a substantially concurrent incurrence of Permitted Refinancing Indebtedness;</w:t>
      </w:r>
    </w:p>
    <w:p>
      <w:pPr>
        <w:spacing w:after="0" w:line="113" w:lineRule="exact"/>
        <w:rPr>
          <w:rFonts w:ascii="Times New Roman" w:cs="Times New Roman" w:eastAsia="Times New Roman" w:hAnsi="Times New Roman"/>
          <w:sz w:val="20"/>
          <w:szCs w:val="20"/>
          <w:color w:val="auto"/>
        </w:rPr>
      </w:pPr>
    </w:p>
    <w:p>
      <w:pPr>
        <w:jc w:val="both"/>
        <w:ind w:left="1220" w:firstLine="652"/>
        <w:spacing w:after="0" w:line="250" w:lineRule="auto"/>
        <w:tabs>
          <w:tab w:leader="none" w:pos="25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repurchase, redemption or other acquisition or retirement for value of any Equity Interests of the Company or any Restricted Subsidiary thereof held by any future, current or former officer, director, employee or consultant of the Company or any of its Restricted Subsidiaries pursuant to any employment agreement, equity subscription agreement, stock option agreement, shareholders’ agreement or similar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price paid for all such repurchased, redeemed, acquired or retired Equity Interests may not exceed $5.0 million in any calendar year (with unused amounts in any year carried over to future years), including the amount of cash proceeds from any key man life insurance received in such calendar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amount may be increased by an amount not to exceed the cash proceeds from the sale of Equity Interests of the Company to current or former members of management, directors, managers or consultants of the Company or any of its Subsidiaries that occurs after the date of this Indenture, to the extent the cash proceeds from the sale of such Equity Interests have not otherwise been applied to the making of Restricted Payments by virtue of </w:t>
      </w:r>
      <w:r>
        <w:rPr>
          <w:rFonts w:ascii="Times New Roman" w:cs="Times New Roman" w:eastAsia="Times New Roman" w:hAnsi="Times New Roman"/>
          <w:sz w:val="20"/>
          <w:szCs w:val="20"/>
          <w:u w:val="single" w:color="auto"/>
          <w:color w:val="auto"/>
        </w:rPr>
        <w:t>Section 4.07(a)(iii)(B)</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jc w:val="both"/>
        <w:ind w:left="1220" w:firstLine="652"/>
        <w:spacing w:after="0" w:line="253" w:lineRule="auto"/>
        <w:tabs>
          <w:tab w:leader="none" w:pos="25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repurchase of Equity Interests deemed to occur upon the exercise of stock options, warrants or other convertible or exchangeable securities to the extent such Equity Interests represent a portion of the exercise price of those stock options, warrants or other convertible or exchangeable securities, the withholding of a portion of Equity Interests granted or awarded to a current or former officer, director, employee or consultant to pay for the taxes payable by such person upon such grant or award (or vesting thereof), or the cancellation of stock options, warrants or other Equity Interest awards;</w:t>
      </w:r>
    </w:p>
    <w:p>
      <w:pPr>
        <w:spacing w:after="0" w:line="124" w:lineRule="exact"/>
        <w:rPr>
          <w:rFonts w:ascii="Times New Roman" w:cs="Times New Roman" w:eastAsia="Times New Roman" w:hAnsi="Times New Roman"/>
          <w:sz w:val="20"/>
          <w:szCs w:val="20"/>
          <w:color w:val="auto"/>
        </w:rPr>
      </w:pPr>
    </w:p>
    <w:p>
      <w:pPr>
        <w:jc w:val="both"/>
        <w:ind w:left="1220" w:firstLine="652"/>
        <w:spacing w:after="0" w:line="268" w:lineRule="auto"/>
        <w:tabs>
          <w:tab w:leader="none" w:pos="25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declaration and payment of regularly scheduled or accrued dividends to holders of any class or series of Disqualified Stock of the Company or any preferred stock of any Restricted Subsidiary issued on or after the date of this Indenture in accordance with the Fixed Charge Coverage Ratio test described in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xml:space="preserve"> hereof;</w:t>
      </w:r>
    </w:p>
    <w:p>
      <w:pPr>
        <w:spacing w:after="0" w:line="107" w:lineRule="exact"/>
        <w:rPr>
          <w:rFonts w:ascii="Times New Roman" w:cs="Times New Roman" w:eastAsia="Times New Roman" w:hAnsi="Times New Roman"/>
          <w:sz w:val="20"/>
          <w:szCs w:val="20"/>
          <w:color w:val="auto"/>
        </w:rPr>
      </w:pPr>
    </w:p>
    <w:p>
      <w:pPr>
        <w:jc w:val="both"/>
        <w:ind w:left="1220" w:firstLine="652"/>
        <w:spacing w:after="0" w:line="261" w:lineRule="auto"/>
        <w:tabs>
          <w:tab w:leader="none" w:pos="25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cash, dividends, distributions, advances or other Restricted Payments by the Company or any of its Restricted Subsidiaries to allow the payment of cash in lieu of the issuance of fractional shares upon (i) the exercise of options or warrants or (ii) the conversion or exchange of Capital Stock of any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bl>
    <w:p>
      <w:pPr>
        <w:sectPr>
          <w:pgSz w:w="11900" w:h="16838" w:orient="portrait"/>
          <w:cols w:equalWidth="0" w:num="1">
            <w:col w:w="11160"/>
          </w:cols>
          <w:pgMar w:left="400" w:top="1440" w:right="339" w:bottom="1440" w:gutter="0" w:footer="0" w:header="0"/>
        </w:sectPr>
      </w:pPr>
    </w:p>
    <w:bookmarkStart w:id="74" w:name="page75"/>
    <w:bookmarkEnd w:id="74"/>
    <w:p>
      <w:pPr>
        <w:spacing w:after="0" w:line="135" w:lineRule="exact"/>
        <w:rPr>
          <w:sz w:val="20"/>
          <w:szCs w:val="20"/>
          <w:color w:val="auto"/>
        </w:rPr>
      </w:pPr>
    </w:p>
    <w:p>
      <w:pPr>
        <w:ind w:left="2500" w:hanging="628"/>
        <w:spacing w:after="0"/>
        <w:tabs>
          <w:tab w:leader="none" w:pos="2500" w:val="left"/>
        </w:tabs>
        <w:numPr>
          <w:ilvl w:val="2"/>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left="1220" w:firstLine="652"/>
        <w:spacing w:after="0" w:line="254" w:lineRule="auto"/>
        <w:tabs>
          <w:tab w:leader="none" w:pos="2508" w:val="left"/>
        </w:tabs>
        <w:numPr>
          <w:ilvl w:val="2"/>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other Restricted Payments in an aggregate amount since the Issue Date not to exceed the greater of (a) $125.0 million and (b) 8.00% of Consolidated Total Assets as of the date of such Restricted Payment; and (ii) other Restricted Payments so long as, after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to the payment of any such Restricted Payment, the Consolidated Total Debt Ratio shall be less than 2.00 to 1.00;</w:t>
      </w:r>
    </w:p>
    <w:p>
      <w:pPr>
        <w:spacing w:after="0" w:line="133" w:lineRule="exact"/>
        <w:rPr>
          <w:rFonts w:ascii="Times New Roman" w:cs="Times New Roman" w:eastAsia="Times New Roman" w:hAnsi="Times New Roman"/>
          <w:sz w:val="20"/>
          <w:szCs w:val="20"/>
          <w:color w:val="auto"/>
        </w:rPr>
      </w:pPr>
    </w:p>
    <w:p>
      <w:pPr>
        <w:jc w:val="both"/>
        <w:ind w:left="1220" w:firstLine="652"/>
        <w:spacing w:after="0" w:line="258" w:lineRule="auto"/>
        <w:tabs>
          <w:tab w:leader="none" w:pos="2501" w:val="left"/>
        </w:tabs>
        <w:numPr>
          <w:ilvl w:val="2"/>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repurchase, redemption or other acquisition or retirement for value of any subordinated Indebtedness pursuant to provisions similar to those described in </w:t>
      </w:r>
      <w:r>
        <w:rPr>
          <w:rFonts w:ascii="Times New Roman" w:cs="Times New Roman" w:eastAsia="Times New Roman" w:hAnsi="Times New Roman"/>
          <w:sz w:val="20"/>
          <w:szCs w:val="20"/>
          <w:u w:val="single" w:color="auto"/>
          <w:color w:val="auto"/>
        </w:rPr>
        <w:t>Sections 4.10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Notes tendered by Holders in connection with a Change of Control Offer or Asset Sale Offer, as applicable, have been repurchased, redeemed or acquired for value;</w:t>
      </w:r>
    </w:p>
    <w:p>
      <w:pPr>
        <w:spacing w:after="0" w:line="118" w:lineRule="exact"/>
        <w:rPr>
          <w:rFonts w:ascii="Times New Roman" w:cs="Times New Roman" w:eastAsia="Times New Roman" w:hAnsi="Times New Roman"/>
          <w:sz w:val="20"/>
          <w:szCs w:val="20"/>
          <w:color w:val="auto"/>
        </w:rPr>
      </w:pPr>
    </w:p>
    <w:p>
      <w:pPr>
        <w:ind w:left="2520" w:hanging="648"/>
        <w:spacing w:after="0"/>
        <w:tabs>
          <w:tab w:leader="none" w:pos="2520" w:val="left"/>
        </w:tabs>
        <w:numPr>
          <w:ilvl w:val="2"/>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or payments of Receivables Fees;</w:t>
      </w:r>
    </w:p>
    <w:p>
      <w:pPr>
        <w:spacing w:after="0" w:line="175" w:lineRule="exact"/>
        <w:rPr>
          <w:rFonts w:ascii="Times New Roman" w:cs="Times New Roman" w:eastAsia="Times New Roman" w:hAnsi="Times New Roman"/>
          <w:sz w:val="20"/>
          <w:szCs w:val="20"/>
          <w:color w:val="auto"/>
        </w:rPr>
      </w:pPr>
    </w:p>
    <w:p>
      <w:pPr>
        <w:jc w:val="both"/>
        <w:ind w:left="1220" w:firstLine="652"/>
        <w:spacing w:after="0" w:line="261" w:lineRule="auto"/>
        <w:tabs>
          <w:tab w:leader="none" w:pos="2508" w:val="left"/>
        </w:tabs>
        <w:numPr>
          <w:ilvl w:val="2"/>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declaration and payment of regularly scheduled or accrued dividends to holders of the common stock of the Company and repurchases of common stock of the Company on or after the Issue Date in an aggregate amount not to exceed the greater of (a) $50.0 million and (b) 3.00% of Consolidated Total Assets in any fiscal year;</w:t>
      </w:r>
    </w:p>
    <w:p>
      <w:pPr>
        <w:spacing w:after="0" w:line="127" w:lineRule="exact"/>
        <w:rPr>
          <w:rFonts w:ascii="Times New Roman" w:cs="Times New Roman" w:eastAsia="Times New Roman" w:hAnsi="Times New Roman"/>
          <w:sz w:val="20"/>
          <w:szCs w:val="20"/>
          <w:color w:val="auto"/>
        </w:rPr>
      </w:pPr>
    </w:p>
    <w:p>
      <w:pPr>
        <w:ind w:left="1220" w:right="20" w:firstLine="652"/>
        <w:spacing w:after="0" w:line="269" w:lineRule="auto"/>
        <w:tabs>
          <w:tab w:leader="none" w:pos="2508" w:val="left"/>
        </w:tabs>
        <w:numPr>
          <w:ilvl w:val="2"/>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distribution, by dividend or otherwise, or other transfer or disposition of shares of Capital Stock of, Equity Interests in, or Indebtedness owed to the Company or a Restricted Subsidiary by, Unrestricted Subsidiaries;</w:t>
      </w:r>
    </w:p>
    <w:p>
      <w:pPr>
        <w:spacing w:after="0" w:line="118" w:lineRule="exact"/>
        <w:rPr>
          <w:rFonts w:ascii="Times New Roman" w:cs="Times New Roman" w:eastAsia="Times New Roman" w:hAnsi="Times New Roman"/>
          <w:sz w:val="20"/>
          <w:szCs w:val="20"/>
          <w:color w:val="auto"/>
        </w:rPr>
      </w:pPr>
    </w:p>
    <w:p>
      <w:pPr>
        <w:jc w:val="both"/>
        <w:ind w:left="1220" w:firstLine="652"/>
        <w:spacing w:after="0" w:line="253" w:lineRule="auto"/>
        <w:tabs>
          <w:tab w:leader="none" w:pos="2508" w:val="left"/>
        </w:tabs>
        <w:numPr>
          <w:ilvl w:val="2"/>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making of cash payments in connection with any conversion of Convertible Indebtedness of the Company or any Restricted Subsidiary in an aggregate amount since the Issue Date not to exceed the sum of (a) the principal amount of such Convertible Indebtedness, plus accrued interest thereon, plus (b) any payments received by the Company or any Restricted Subsidiary pursuant to the exercise, settlement or termination of any related Permitted Bond Hedge Transaction; and</w:t>
      </w:r>
    </w:p>
    <w:p>
      <w:pPr>
        <w:spacing w:after="0" w:line="137" w:lineRule="exact"/>
        <w:rPr>
          <w:rFonts w:ascii="Times New Roman" w:cs="Times New Roman" w:eastAsia="Times New Roman" w:hAnsi="Times New Roman"/>
          <w:sz w:val="20"/>
          <w:szCs w:val="20"/>
          <w:color w:val="auto"/>
        </w:rPr>
      </w:pPr>
    </w:p>
    <w:p>
      <w:pPr>
        <w:jc w:val="both"/>
        <w:ind w:left="1220" w:firstLine="652"/>
        <w:spacing w:after="0" w:line="267" w:lineRule="auto"/>
        <w:tabs>
          <w:tab w:leader="none" w:pos="2508" w:val="left"/>
        </w:tabs>
        <w:numPr>
          <w:ilvl w:val="2"/>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payments in connection with (a) a Permitted Bond Hedge Transaction and (b) the settlement of any related Permitted Warrant Transaction (i) by delivery of shares of the Company’s common equity upon settlement thereof or</w:t>
      </w:r>
    </w:p>
    <w:p>
      <w:pPr>
        <w:spacing w:after="0" w:line="1" w:lineRule="exact"/>
        <w:rPr>
          <w:rFonts w:ascii="Times New Roman" w:cs="Times New Roman" w:eastAsia="Times New Roman" w:hAnsi="Times New Roman"/>
          <w:sz w:val="19"/>
          <w:szCs w:val="19"/>
          <w:color w:val="auto"/>
        </w:rPr>
      </w:pPr>
    </w:p>
    <w:p>
      <w:pPr>
        <w:ind w:left="1220" w:firstLine="4"/>
        <w:spacing w:after="0" w:line="267" w:lineRule="auto"/>
        <w:tabs>
          <w:tab w:leader="none" w:pos="153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 set-off against the related Permitted Bond Hedge Transaction or (B) payment of an early termination amount thereof in common equity upon any early termination thereof.</w:t>
      </w:r>
    </w:p>
    <w:p>
      <w:pPr>
        <w:spacing w:after="0" w:line="107" w:lineRule="exact"/>
        <w:rPr>
          <w:rFonts w:ascii="Times New Roman" w:cs="Times New Roman" w:eastAsia="Times New Roman" w:hAnsi="Times New Roman"/>
          <w:sz w:val="20"/>
          <w:szCs w:val="20"/>
          <w:color w:val="auto"/>
        </w:rPr>
      </w:pPr>
    </w:p>
    <w:p>
      <w:pPr>
        <w:jc w:val="both"/>
        <w:ind w:left="-80" w:firstLine="1385"/>
        <w:spacing w:after="0" w:line="253" w:lineRule="auto"/>
        <w:tabs>
          <w:tab w:leader="none" w:pos="1854"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all Restricted Payments (other than cash) will be the Fair Market Value on the date of the Restricted Payment (or, in the case of a dividend or distribution, on the date of declaration) of the asset(s) or securities proposed to be transferred or issued by the Company or such Restricted Subsidiary, as the case may be, pursuant to the Restricted Payment. For purposes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4.07</w:t>
      </w:r>
      <w:r>
        <w:rPr>
          <w:rFonts w:ascii="Times New Roman" w:cs="Times New Roman" w:eastAsia="Times New Roman" w:hAnsi="Times New Roman"/>
          <w:sz w:val="20"/>
          <w:szCs w:val="20"/>
          <w:color w:val="auto"/>
        </w:rPr>
        <w:t>, if a particular Restricted Payment involves a non-cash payment, including a distribution of assets, then such Restricted Payment shall be deemed to be an amount equal to the cash portion of such Restricted Payment, if any, plus an amount equal to the Fair Market Value of the non-cash portion of such Restricted Payment.</w:t>
      </w:r>
    </w:p>
    <w:p>
      <w:pPr>
        <w:spacing w:after="0" w:line="138" w:lineRule="exact"/>
        <w:rPr>
          <w:rFonts w:ascii="Times New Roman" w:cs="Times New Roman" w:eastAsia="Times New Roman" w:hAnsi="Times New Roman"/>
          <w:sz w:val="20"/>
          <w:szCs w:val="20"/>
          <w:color w:val="auto"/>
        </w:rPr>
      </w:pPr>
    </w:p>
    <w:p>
      <w:pPr>
        <w:jc w:val="both"/>
        <w:ind w:left="-80" w:firstLine="1385"/>
        <w:spacing w:after="0" w:line="258" w:lineRule="auto"/>
        <w:tabs>
          <w:tab w:leader="none" w:pos="1852"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purposes of determining compliance with this </w:t>
      </w:r>
      <w:r>
        <w:rPr>
          <w:rFonts w:ascii="Times New Roman" w:cs="Times New Roman" w:eastAsia="Times New Roman" w:hAnsi="Times New Roman"/>
          <w:sz w:val="20"/>
          <w:szCs w:val="20"/>
          <w:u w:val="single" w:color="auto"/>
          <w:color w:val="auto"/>
        </w:rPr>
        <w:t>Section 4.07</w:t>
      </w:r>
      <w:r>
        <w:rPr>
          <w:rFonts w:ascii="Times New Roman" w:cs="Times New Roman" w:eastAsia="Times New Roman" w:hAnsi="Times New Roman"/>
          <w:sz w:val="20"/>
          <w:szCs w:val="20"/>
          <w:color w:val="auto"/>
        </w:rPr>
        <w:t>, (i) a Restricted Payment or Permitted Investment need not be permitted solely by reference to one category of permitted Restricted Payments (or any portion thereof) or Permitted Investments (or any portion thereof) described in the above clauses or the definitions thereof but may be permitted in part under any combination thereof and (ii) in the event that a Restricted Payment (or any portion thereof) or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bl>
    <w:p>
      <w:pPr>
        <w:sectPr>
          <w:pgSz w:w="11900" w:h="16838" w:orient="portrait"/>
          <w:cols w:equalWidth="0" w:num="1">
            <w:col w:w="11160"/>
          </w:cols>
          <w:pgMar w:left="400" w:top="1440" w:right="339" w:bottom="1440" w:gutter="0" w:footer="0" w:header="0"/>
        </w:sectPr>
      </w:pPr>
    </w:p>
    <w:bookmarkStart w:id="75" w:name="page76"/>
    <w:bookmarkEnd w:id="75"/>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Investment (or any portion thereof) meets the criteria of more than one of the types of Restricted Payments or (or any portion thereof) Permitted Investments (or any portion thereof) described in the above clauses or the definitions thereof, the Company, in its sole discretion, may divide and classify, and from time to time may divide and reclassify (based on circumstances existing at the time of such division or reclassification), such Restricted Payment (or any portion thereof) or Permitted Investment (or any portion thereof) if it would have been permitted at the time such Restricted Payment or Permitted Investment was made and at the time of any such reclassification.</w:t>
      </w:r>
    </w:p>
    <w:p>
      <w:pPr>
        <w:spacing w:after="0" w:line="13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4.08</w:t>
      </w:r>
      <w:r>
        <w:rPr>
          <w:sz w:val="20"/>
          <w:szCs w:val="20"/>
          <w:color w:val="auto"/>
        </w:rPr>
        <w:tab/>
      </w:r>
      <w:r>
        <w:rPr>
          <w:rFonts w:ascii="Times New Roman" w:cs="Times New Roman" w:eastAsia="Times New Roman" w:hAnsi="Times New Roman"/>
          <w:sz w:val="19"/>
          <w:szCs w:val="19"/>
          <w:b w:val="1"/>
          <w:bCs w:val="1"/>
          <w:u w:val="single" w:color="auto"/>
          <w:color w:val="auto"/>
        </w:rPr>
        <w:t>Dividend and Other Payment Restrictions Affecting Restricted Subsidiaries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firstLine="1385"/>
        <w:spacing w:after="0" w:line="269" w:lineRule="auto"/>
        <w:tabs>
          <w:tab w:leader="none" w:pos="193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and will not permit any of its Restricted Subsidiaries to, directly or indirectly, create or permit to exist or become effective any consensual encumbrance or restriction on the ability of any Restricted Subsidiary to:</w:t>
      </w:r>
    </w:p>
    <w:p>
      <w:pPr>
        <w:spacing w:after="0" w:line="118"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84"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or make any other distributions on its Capital Stock to the Company or any of its Restricted Subsidiaries or with respect to any other interest or participation in, or measured by, its profits, or pay any indebtedness owed to the Company or any of its Restricted Subsidiaries;</w:t>
      </w:r>
    </w:p>
    <w:p>
      <w:pPr>
        <w:spacing w:after="0" w:line="127"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loans or advances to the Company or any of its Restricted Subsidiaries; or</w:t>
      </w:r>
    </w:p>
    <w:p>
      <w:pPr>
        <w:spacing w:after="0" w:line="161"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lease or transfer any of its properties or assets to the Company or any of its Restricted Subsidiaries.</w:t>
      </w:r>
    </w:p>
    <w:p>
      <w:pPr>
        <w:spacing w:after="0" w:line="175" w:lineRule="exact"/>
        <w:rPr>
          <w:rFonts w:ascii="Times New Roman" w:cs="Times New Roman" w:eastAsia="Times New Roman" w:hAnsi="Times New Roman"/>
          <w:sz w:val="20"/>
          <w:szCs w:val="20"/>
          <w:color w:val="auto"/>
        </w:rPr>
      </w:pPr>
    </w:p>
    <w:p>
      <w:pPr>
        <w:ind w:left="1940" w:hanging="555"/>
        <w:spacing w:after="0"/>
        <w:tabs>
          <w:tab w:leader="none" w:pos="19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restrictions in </w:t>
      </w:r>
      <w:r>
        <w:rPr>
          <w:rFonts w:ascii="Times New Roman" w:cs="Times New Roman" w:eastAsia="Times New Roman" w:hAnsi="Times New Roman"/>
          <w:sz w:val="20"/>
          <w:szCs w:val="20"/>
          <w:u w:val="single" w:color="auto"/>
          <w:color w:val="auto"/>
        </w:rPr>
        <w:t>Section 4.08(a)</w:t>
      </w:r>
      <w:r>
        <w:rPr>
          <w:rFonts w:ascii="Times New Roman" w:cs="Times New Roman" w:eastAsia="Times New Roman" w:hAnsi="Times New Roman"/>
          <w:sz w:val="20"/>
          <w:szCs w:val="20"/>
          <w:color w:val="auto"/>
        </w:rPr>
        <w:t xml:space="preserve"> hereof will not apply to encumbrances or restrictions existing under or by reason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w:t>
      </w:r>
    </w:p>
    <w:p>
      <w:pPr>
        <w:spacing w:after="0" w:line="153"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84"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agreement in existence on the date of this Indenture, including agreements governing Existing Indebtedness as in effect on the date of this Indenture and any amendments, restatements, modifications, renewals, supplements, refundings, replacements or refinancings of those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amendments, restatements, modifications, renewals, supplements, refundings, replacements or refinancings are not in the good faith judgment of an officer of the Company materially more restrictive, taken as a whole, with respect to such dividend and other payment restrictions than those contained in those agreements on the date of this Indenture;</w:t>
      </w:r>
    </w:p>
    <w:p>
      <w:pPr>
        <w:spacing w:after="0" w:line="124"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Indenture, the Notes and the Note Guarantees;</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84"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agreements governing other Indebtedness permitted to be incurred under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hereof and any amendments, restatements, modifications, renewals, supplements, refundings, replacements or refinancings of those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restrictions therein, taken as a whole, are not (i) materially more restrictive, taken as a whole, than those contained in this Indenture, the Notes and the Note Guarantees, (ii) materially more disadvantageous, taken as a whole, to the holders than is customary in comparable financings for similarly situated issuers, or (iii) will not materially impair the Company’s ability to make payments on the Notes when due, in each case, in the good faith judgment of the Company;</w:t>
      </w:r>
    </w:p>
    <w:p>
      <w:pPr>
        <w:spacing w:after="0" w:line="12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law, rule, regulation or order or the terms of any license, authorization, concession or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bl>
    <w:p>
      <w:pPr>
        <w:sectPr>
          <w:pgSz w:w="11900" w:h="16838" w:orient="portrait"/>
          <w:cols w:equalWidth="0" w:num="1">
            <w:col w:w="11240"/>
          </w:cols>
          <w:pgMar w:left="320" w:top="1440" w:right="339" w:bottom="1440" w:gutter="0" w:footer="0" w:header="0"/>
        </w:sectPr>
      </w:pPr>
    </w:p>
    <w:bookmarkStart w:id="76" w:name="page77"/>
    <w:bookmarkEnd w:id="76"/>
    <w:p>
      <w:pPr>
        <w:spacing w:after="0" w:line="135" w:lineRule="exact"/>
        <w:rPr>
          <w:sz w:val="20"/>
          <w:szCs w:val="20"/>
          <w:color w:val="auto"/>
        </w:rPr>
      </w:pPr>
    </w:p>
    <w:p>
      <w:pPr>
        <w:jc w:val="both"/>
        <w:ind w:left="1220" w:firstLine="652"/>
        <w:spacing w:after="0" w:line="250" w:lineRule="auto"/>
        <w:tabs>
          <w:tab w:leader="none" w:pos="250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instrument or agreement governing Indebtedness or Capital Stock of a Person acquired by or merged or consolidated with or into the Company or any of its Restricted Subsidiaries, or of an Unrestricted Subsidiary that is designated a Restricted Subsidiary or that is assumed in connection with or in contemplation of such acquisition of assets from such Person, in each case as in effect at the time of such transaction, which encumbrance or restriction is not applicable to any Person, or the properties or assets of any Person, other than the Person, or the property or assets of the Person, so acquired or merged;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Indebtedness, such Indebtedness was permitted by the terms of this Indenture to be incurred;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for purposes of this clause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if a Person other than the Company is the successor issuer with respect thereto, any Subsidiary thereof or agreement or instrument of such Person or any such Subsidiary shall be deemed acquired or assumed, as the case may be, by the Company or a Restricted Subsidiary, as the case may be, when such Person becomes such successor issuer;</w:t>
      </w:r>
    </w:p>
    <w:p>
      <w:pPr>
        <w:spacing w:after="0" w:line="142" w:lineRule="exact"/>
        <w:rPr>
          <w:rFonts w:ascii="Times New Roman" w:cs="Times New Roman" w:eastAsia="Times New Roman" w:hAnsi="Times New Roman"/>
          <w:sz w:val="20"/>
          <w:szCs w:val="20"/>
          <w:color w:val="auto"/>
        </w:rPr>
      </w:pPr>
    </w:p>
    <w:p>
      <w:pPr>
        <w:jc w:val="both"/>
        <w:ind w:left="1220" w:firstLine="652"/>
        <w:spacing w:after="0" w:line="261" w:lineRule="auto"/>
        <w:tabs>
          <w:tab w:leader="none" w:pos="250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non-assignment and similar provisions in contracts, leases, sub-leases, licenses and sub-licenses and provisions restricting sub-letting or sub-licensing in contracts, leases, sub-leases, licenses and sub-licenses entered into in the ordinary course of business;</w:t>
      </w:r>
    </w:p>
    <w:p>
      <w:pPr>
        <w:spacing w:after="0" w:line="127" w:lineRule="exact"/>
        <w:rPr>
          <w:rFonts w:ascii="Times New Roman" w:cs="Times New Roman" w:eastAsia="Times New Roman" w:hAnsi="Times New Roman"/>
          <w:sz w:val="20"/>
          <w:szCs w:val="20"/>
          <w:color w:val="auto"/>
        </w:rPr>
      </w:pPr>
    </w:p>
    <w:p>
      <w:pPr>
        <w:jc w:val="both"/>
        <w:ind w:left="1220" w:firstLine="652"/>
        <w:spacing w:after="0" w:line="254" w:lineRule="auto"/>
        <w:tabs>
          <w:tab w:leader="none" w:pos="250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mortgage financings, purchase money obligations for property acquired in the ordinary course of business and Finance Lease Obligations that impose restrictions on the property purchased or leased of the nature described in clause</w:t>
      </w:r>
    </w:p>
    <w:p>
      <w:pPr>
        <w:spacing w:after="0" w:line="1" w:lineRule="exact"/>
        <w:rPr>
          <w:rFonts w:ascii="Times New Roman" w:cs="Times New Roman" w:eastAsia="Times New Roman" w:hAnsi="Times New Roman"/>
          <w:sz w:val="20"/>
          <w:szCs w:val="20"/>
          <w:color w:val="auto"/>
        </w:rPr>
      </w:pPr>
    </w:p>
    <w:p>
      <w:pPr>
        <w:ind w:left="1500" w:hanging="276"/>
        <w:spacing w:after="0"/>
        <w:tabs>
          <w:tab w:leader="none" w:pos="1500" w:val="left"/>
        </w:tabs>
        <w:numPr>
          <w:ilvl w:val="0"/>
          <w:numId w:val="1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Section 4.08(a)</w:t>
      </w:r>
      <w:r>
        <w:rPr>
          <w:rFonts w:ascii="Times New Roman" w:cs="Times New Roman" w:eastAsia="Times New Roman" w:hAnsi="Times New Roman"/>
          <w:sz w:val="20"/>
          <w:szCs w:val="20"/>
          <w:color w:val="auto"/>
        </w:rPr>
        <w:t xml:space="preserve"> hereof;</w:t>
      </w:r>
    </w:p>
    <w:p>
      <w:pPr>
        <w:spacing w:after="0" w:line="159" w:lineRule="exact"/>
        <w:rPr>
          <w:rFonts w:ascii="Times New Roman" w:cs="Times New Roman" w:eastAsia="Times New Roman" w:hAnsi="Times New Roman"/>
          <w:sz w:val="20"/>
          <w:szCs w:val="20"/>
          <w:u w:val="single" w:color="auto"/>
          <w:color w:val="auto"/>
        </w:rPr>
      </w:pPr>
    </w:p>
    <w:p>
      <w:pPr>
        <w:jc w:val="both"/>
        <w:ind w:left="1220" w:firstLine="652"/>
        <w:spacing w:after="0" w:line="254" w:lineRule="auto"/>
        <w:tabs>
          <w:tab w:leader="none" w:pos="2504"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Restricted Subsidiary (or any of its property or assets), encumbrances or restrictions imposed pursuant to an agreement entered into for the direct or indirect sale or disposition of all or substantially all the Capital Stock or assets of such Restricted Subsidiary (or the property or assets that are subject to such restriction) pending the closing of such sale or disposition;</w:t>
      </w:r>
    </w:p>
    <w:p>
      <w:pPr>
        <w:spacing w:after="0" w:line="133" w:lineRule="exact"/>
        <w:rPr>
          <w:rFonts w:ascii="Times New Roman" w:cs="Times New Roman" w:eastAsia="Times New Roman" w:hAnsi="Times New Roman"/>
          <w:sz w:val="20"/>
          <w:szCs w:val="20"/>
          <w:color w:val="auto"/>
        </w:rPr>
      </w:pPr>
    </w:p>
    <w:p>
      <w:pPr>
        <w:jc w:val="both"/>
        <w:ind w:left="1220" w:firstLine="652"/>
        <w:spacing w:after="0" w:line="261" w:lineRule="auto"/>
        <w:tabs>
          <w:tab w:leader="none" w:pos="2504"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Refinancing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restrictions contained in the agreements governing such Permitted Refinancing Indebtedness are not in the good faith judgment of an officer of the Company materially more restrictive, taken as a whole, than those contained in the agreements governing the Indebtedness being refinanced;</w:t>
      </w:r>
    </w:p>
    <w:p>
      <w:pPr>
        <w:spacing w:after="0" w:line="127" w:lineRule="exact"/>
        <w:rPr>
          <w:rFonts w:ascii="Times New Roman" w:cs="Times New Roman" w:eastAsia="Times New Roman" w:hAnsi="Times New Roman"/>
          <w:sz w:val="20"/>
          <w:szCs w:val="20"/>
          <w:color w:val="auto"/>
        </w:rPr>
      </w:pPr>
    </w:p>
    <w:p>
      <w:pPr>
        <w:ind w:left="1220" w:firstLine="652"/>
        <w:spacing w:after="0" w:line="269" w:lineRule="auto"/>
        <w:tabs>
          <w:tab w:leader="none" w:pos="2508"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permitted to be incurred under the provisions of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hereof that limit the right of the debtor to dispose of the assets subject to such Liens;</w:t>
      </w:r>
    </w:p>
    <w:p>
      <w:pPr>
        <w:spacing w:after="0" w:line="118" w:lineRule="exact"/>
        <w:rPr>
          <w:rFonts w:ascii="Times New Roman" w:cs="Times New Roman" w:eastAsia="Times New Roman" w:hAnsi="Times New Roman"/>
          <w:sz w:val="20"/>
          <w:szCs w:val="20"/>
          <w:color w:val="auto"/>
        </w:rPr>
      </w:pPr>
    </w:p>
    <w:p>
      <w:pPr>
        <w:jc w:val="both"/>
        <w:ind w:left="1220" w:firstLine="652"/>
        <w:spacing w:after="0" w:line="258" w:lineRule="auto"/>
        <w:tabs>
          <w:tab w:leader="none" w:pos="2501"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limiting the disposition or distribution of assets or property in joint venture agreements, asset sale agreements, sale-leaseback agreements, stock sale agreements, licenses, sub-licenses, leases, sub-leases and other similar agreements (including agreements entered into in connection with a Restricted Investment) in the ordinary course of business, which limitation is applicable only to the assets that are the subject of such agreements;</w:t>
      </w:r>
    </w:p>
    <w:p>
      <w:pPr>
        <w:spacing w:after="0" w:line="118" w:lineRule="exact"/>
        <w:rPr>
          <w:rFonts w:ascii="Times New Roman" w:cs="Times New Roman" w:eastAsia="Times New Roman" w:hAnsi="Times New Roman"/>
          <w:sz w:val="20"/>
          <w:szCs w:val="20"/>
          <w:color w:val="auto"/>
        </w:rPr>
      </w:pPr>
    </w:p>
    <w:p>
      <w:pPr>
        <w:jc w:val="both"/>
        <w:ind w:left="1220" w:firstLine="652"/>
        <w:spacing w:after="0" w:line="261" w:lineRule="auto"/>
        <w:tabs>
          <w:tab w:leader="none" w:pos="2508"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cash, Cash Equivalents or other deposits or net worth imposed by customers or suppliers or required by insurance, surety or bonding companies, in each case, under contracts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bl>
    <w:p>
      <w:pPr>
        <w:sectPr>
          <w:pgSz w:w="11900" w:h="16838" w:orient="portrait"/>
          <w:cols w:equalWidth="0" w:num="1">
            <w:col w:w="11160"/>
          </w:cols>
          <w:pgMar w:left="400" w:top="1440" w:right="339" w:bottom="1440" w:gutter="0" w:footer="0" w:header="0"/>
        </w:sectPr>
      </w:pPr>
    </w:p>
    <w:bookmarkStart w:id="77" w:name="page78"/>
    <w:bookmarkEnd w:id="77"/>
    <w:p>
      <w:pPr>
        <w:spacing w:after="0" w:line="135" w:lineRule="exact"/>
        <w:rPr>
          <w:sz w:val="20"/>
          <w:szCs w:val="20"/>
          <w:color w:val="auto"/>
        </w:rPr>
      </w:pPr>
    </w:p>
    <w:p>
      <w:pPr>
        <w:jc w:val="both"/>
        <w:ind w:left="1220" w:firstLine="652"/>
        <w:spacing w:after="0" w:line="261" w:lineRule="auto"/>
        <w:tabs>
          <w:tab w:leader="none" w:pos="250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encumbrance or restriction arising or agreed to in the ordinary course of business, not relating to any Indebtedness, and that does not, individually or in the aggregate, detract from the value of the property or assets of the Company or any of its Restricted Subsidiaries in any manner material to the Company or its Restricted Subsidiaries;</w:t>
      </w:r>
    </w:p>
    <w:p>
      <w:pPr>
        <w:spacing w:after="0" w:line="127" w:lineRule="exact"/>
        <w:rPr>
          <w:rFonts w:ascii="Times New Roman" w:cs="Times New Roman" w:eastAsia="Times New Roman" w:hAnsi="Times New Roman"/>
          <w:sz w:val="20"/>
          <w:szCs w:val="20"/>
          <w:color w:val="auto"/>
        </w:rPr>
      </w:pPr>
    </w:p>
    <w:p>
      <w:pPr>
        <w:ind w:left="1220" w:firstLine="652"/>
        <w:spacing w:after="0" w:line="269" w:lineRule="auto"/>
        <w:tabs>
          <w:tab w:leader="none" w:pos="250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encumbrances or restrictions contained in agreements in connection with Hedging Obligations or Treasury Management Obligations permitted under this Indenture;</w:t>
      </w:r>
    </w:p>
    <w:p>
      <w:pPr>
        <w:spacing w:after="0" w:line="118" w:lineRule="exact"/>
        <w:rPr>
          <w:rFonts w:ascii="Times New Roman" w:cs="Times New Roman" w:eastAsia="Times New Roman" w:hAnsi="Times New Roman"/>
          <w:sz w:val="20"/>
          <w:szCs w:val="20"/>
          <w:color w:val="auto"/>
        </w:rPr>
      </w:pPr>
    </w:p>
    <w:p>
      <w:pPr>
        <w:ind w:left="1220" w:firstLine="652"/>
        <w:spacing w:after="0" w:line="283" w:lineRule="auto"/>
        <w:tabs>
          <w:tab w:leader="none" w:pos="250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virtue of any transfer of, agreement to transfer, option or right with respect to, any property or assets of the Company or any Restricted Subsidiary not otherwise prohibited by this Indenture;</w:t>
      </w:r>
    </w:p>
    <w:p>
      <w:pPr>
        <w:spacing w:after="0" w:line="92" w:lineRule="exact"/>
        <w:rPr>
          <w:rFonts w:ascii="Times New Roman" w:cs="Times New Roman" w:eastAsia="Times New Roman" w:hAnsi="Times New Roman"/>
          <w:sz w:val="20"/>
          <w:szCs w:val="20"/>
          <w:color w:val="auto"/>
        </w:rPr>
      </w:pPr>
    </w:p>
    <w:p>
      <w:pPr>
        <w:jc w:val="both"/>
        <w:ind w:left="1220" w:firstLine="652"/>
        <w:spacing w:after="0" w:line="257" w:lineRule="auto"/>
        <w:tabs>
          <w:tab w:leader="none" w:pos="250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exists with respect to a Person that becomes a Restricted Subsidiary or merges with or into a Restricted Subsidiary of the Company, on or after the date of this Indenture, which is in existence at the time such Person becomes a Restricted Subsidiary, but not created in connection with or in anticipation of such Person becoming a Restricted Subsidiary, and which is not applicable to any Person or the property or assets of any Person other than such Person or the property or assets of such Person becoming a Restricted Subsidiary;</w:t>
      </w:r>
    </w:p>
    <w:p>
      <w:pPr>
        <w:spacing w:after="0" w:line="118" w:lineRule="exact"/>
        <w:rPr>
          <w:rFonts w:ascii="Times New Roman" w:cs="Times New Roman" w:eastAsia="Times New Roman" w:hAnsi="Times New Roman"/>
          <w:sz w:val="20"/>
          <w:szCs w:val="20"/>
          <w:color w:val="auto"/>
        </w:rPr>
      </w:pPr>
    </w:p>
    <w:p>
      <w:pPr>
        <w:ind w:left="1220" w:firstLine="652"/>
        <w:spacing w:after="0" w:line="283" w:lineRule="auto"/>
        <w:tabs>
          <w:tab w:leader="none" w:pos="250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cash or other deposits or net worth imposed by customers under contracts entered into in the ordinary course of business or consistent with industry practice;</w:t>
      </w:r>
    </w:p>
    <w:p>
      <w:pPr>
        <w:spacing w:after="0" w:line="92" w:lineRule="exact"/>
        <w:rPr>
          <w:rFonts w:ascii="Times New Roman" w:cs="Times New Roman" w:eastAsia="Times New Roman" w:hAnsi="Times New Roman"/>
          <w:sz w:val="20"/>
          <w:szCs w:val="20"/>
          <w:color w:val="auto"/>
        </w:rPr>
      </w:pPr>
    </w:p>
    <w:p>
      <w:pPr>
        <w:jc w:val="both"/>
        <w:ind w:left="1220" w:firstLine="652"/>
        <w:spacing w:after="0" w:line="258" w:lineRule="auto"/>
        <w:tabs>
          <w:tab w:leader="none" w:pos="250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under customary provisions in partnership agreements, limited liability company organizational or governance documents, joint venture agreements, corporate charters, stockholders’ agreements and other similar agreements and documents on the transfer of ownership interests in such partnership, limited liability company, joint venture or similar person;</w:t>
      </w:r>
    </w:p>
    <w:p>
      <w:pPr>
        <w:spacing w:after="0" w:line="131" w:lineRule="exact"/>
        <w:rPr>
          <w:rFonts w:ascii="Times New Roman" w:cs="Times New Roman" w:eastAsia="Times New Roman" w:hAnsi="Times New Roman"/>
          <w:sz w:val="20"/>
          <w:szCs w:val="20"/>
          <w:color w:val="auto"/>
        </w:rPr>
      </w:pPr>
    </w:p>
    <w:p>
      <w:pPr>
        <w:ind w:left="1220" w:firstLine="652"/>
        <w:spacing w:after="0" w:line="269" w:lineRule="auto"/>
        <w:tabs>
          <w:tab w:leader="none" w:pos="250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customary provisions restricting dispositions of real property interests set forth in any reciprocal easement agreements of the Company or any Restricted Subsidiary;</w:t>
      </w:r>
    </w:p>
    <w:p>
      <w:pPr>
        <w:spacing w:after="0" w:line="118" w:lineRule="exact"/>
        <w:rPr>
          <w:rFonts w:ascii="Times New Roman" w:cs="Times New Roman" w:eastAsia="Times New Roman" w:hAnsi="Times New Roman"/>
          <w:sz w:val="20"/>
          <w:szCs w:val="20"/>
          <w:color w:val="auto"/>
        </w:rPr>
      </w:pPr>
    </w:p>
    <w:p>
      <w:pPr>
        <w:ind w:left="1220" w:firstLine="652"/>
        <w:spacing w:after="0" w:line="269" w:lineRule="auto"/>
        <w:tabs>
          <w:tab w:leader="none" w:pos="250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security agreement governing a Lien permitted under this Indenture containing customary restrictions on the transfer of any property or assets;</w:t>
      </w:r>
    </w:p>
    <w:p>
      <w:pPr>
        <w:spacing w:after="0" w:line="118" w:lineRule="exact"/>
        <w:rPr>
          <w:rFonts w:ascii="Times New Roman" w:cs="Times New Roman" w:eastAsia="Times New Roman" w:hAnsi="Times New Roman"/>
          <w:sz w:val="20"/>
          <w:szCs w:val="20"/>
          <w:color w:val="auto"/>
        </w:rPr>
      </w:pPr>
    </w:p>
    <w:p>
      <w:pPr>
        <w:ind w:left="2520" w:hanging="648"/>
        <w:spacing w:after="0"/>
        <w:tabs>
          <w:tab w:leader="none" w:pos="252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pursuant to the terms of a Permitted Receivables Financing; and</w:t>
      </w:r>
    </w:p>
    <w:p>
      <w:pPr>
        <w:spacing w:after="0" w:line="175" w:lineRule="exact"/>
        <w:rPr>
          <w:rFonts w:ascii="Times New Roman" w:cs="Times New Roman" w:eastAsia="Times New Roman" w:hAnsi="Times New Roman"/>
          <w:sz w:val="20"/>
          <w:szCs w:val="20"/>
          <w:color w:val="auto"/>
        </w:rPr>
      </w:pPr>
    </w:p>
    <w:p>
      <w:pPr>
        <w:jc w:val="both"/>
        <w:ind w:left="1220" w:firstLine="652"/>
        <w:spacing w:after="0" w:line="253" w:lineRule="auto"/>
        <w:tabs>
          <w:tab w:leader="none" w:pos="250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encumbrance or restriction existing under any agreement that extends, renews, refinances, replaces, amends, modifies, restates or supplements the agreements containing the encumbrances or restrictions in the foregoing clauses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(21)</w:t>
      </w:r>
      <w:r>
        <w:rPr>
          <w:rFonts w:ascii="Times New Roman" w:cs="Times New Roman" w:eastAsia="Times New Roman" w:hAnsi="Times New Roman"/>
          <w:sz w:val="20"/>
          <w:szCs w:val="20"/>
          <w:color w:val="auto"/>
        </w:rPr>
        <w:t xml:space="preserve">, or in this clause </w:t>
      </w:r>
      <w:r>
        <w:rPr>
          <w:rFonts w:ascii="Times New Roman" w:cs="Times New Roman" w:eastAsia="Times New Roman" w:hAnsi="Times New Roman"/>
          <w:sz w:val="20"/>
          <w:szCs w:val="20"/>
          <w:u w:val="single" w:color="auto"/>
          <w:color w:val="auto"/>
        </w:rPr>
        <w:t>(22)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terms and conditions of any such encumbrances or restrictions are in the good faith judgment of an officer of the Company no more restrictive in any material respect than those under or pursuant to the agreement so extended, renewed, refinanced, replaced, amended, modified, restated or supplemented.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bl>
    <w:p>
      <w:pPr>
        <w:sectPr>
          <w:pgSz w:w="11900" w:h="16838" w:orient="portrait"/>
          <w:cols w:equalWidth="0" w:num="1">
            <w:col w:w="11160"/>
          </w:cols>
          <w:pgMar w:left="400" w:top="1440" w:right="339" w:bottom="1440" w:gutter="0" w:footer="0" w:header="0"/>
        </w:sectPr>
      </w:pPr>
    </w:p>
    <w:bookmarkStart w:id="78" w:name="page79"/>
    <w:bookmarkEnd w:id="78"/>
    <w:p>
      <w:pPr>
        <w:spacing w:after="0" w:line="135"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20"/>
          <w:szCs w:val="20"/>
          <w:color w:val="auto"/>
        </w:rPr>
        <w:t xml:space="preserve">(c)Nothing contained in this </w:t>
      </w:r>
      <w:r>
        <w:rPr>
          <w:rFonts w:ascii="Times New Roman" w:cs="Times New Roman" w:eastAsia="Times New Roman" w:hAnsi="Times New Roman"/>
          <w:sz w:val="20"/>
          <w:szCs w:val="20"/>
          <w:u w:val="single" w:color="auto"/>
          <w:color w:val="auto"/>
        </w:rPr>
        <w:t>Section 4.08</w:t>
      </w:r>
      <w:r>
        <w:rPr>
          <w:rFonts w:ascii="Times New Roman" w:cs="Times New Roman" w:eastAsia="Times New Roman" w:hAnsi="Times New Roman"/>
          <w:sz w:val="20"/>
          <w:szCs w:val="20"/>
          <w:color w:val="auto"/>
        </w:rPr>
        <w:t xml:space="preserve"> shall prevent the Company or any Restricted Subsidiary from (i) creating, incurring, assuming or suffering to exist any Liens otherwise permitted pursuant to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hereof, or (ii) restricting the sale or other disposition of property or assets of the Company or any of its Restricted Subsidiaries that secure Indebtedness of the Company or any of its Restricted Subsidiaries incurred in accordance with this Indenture.</w:t>
      </w:r>
    </w:p>
    <w:p>
      <w:pPr>
        <w:spacing w:after="0" w:line="118"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20"/>
          <w:szCs w:val="20"/>
          <w:color w:val="auto"/>
        </w:rPr>
        <w:t xml:space="preserve">(d)For purposes of determining compliance with this </w:t>
      </w:r>
      <w:r>
        <w:rPr>
          <w:rFonts w:ascii="Times New Roman" w:cs="Times New Roman" w:eastAsia="Times New Roman" w:hAnsi="Times New Roman"/>
          <w:sz w:val="20"/>
          <w:szCs w:val="20"/>
          <w:u w:val="single" w:color="auto"/>
          <w:color w:val="auto"/>
        </w:rPr>
        <w:t>Section 4.08</w:t>
      </w:r>
      <w:r>
        <w:rPr>
          <w:rFonts w:ascii="Times New Roman" w:cs="Times New Roman" w:eastAsia="Times New Roman" w:hAnsi="Times New Roman"/>
          <w:sz w:val="20"/>
          <w:szCs w:val="20"/>
          <w:color w:val="auto"/>
        </w:rPr>
        <w:t>, (1) the priority of any preferred stock in receiving dividends prior to distributions being paid on common equity shall not be deemed a restriction on the ability to make distributions on Equity Interests and (2) the subordination of loans or advances made to the Company or a Restricted Subsidiary to other Indebtedness incurred by the Company or any such Restricted Subsidiary shall not be deemed a restriction on the ability to make loans or advances.</w:t>
      </w:r>
    </w:p>
    <w:p>
      <w:pPr>
        <w:spacing w:after="0" w:line="12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4.09</w:t>
      </w:r>
      <w:r>
        <w:rPr>
          <w:sz w:val="20"/>
          <w:szCs w:val="20"/>
          <w:color w:val="auto"/>
        </w:rPr>
        <w:tab/>
      </w:r>
      <w:r>
        <w:rPr>
          <w:rFonts w:ascii="Times New Roman" w:cs="Times New Roman" w:eastAsia="Times New Roman" w:hAnsi="Times New Roman"/>
          <w:sz w:val="19"/>
          <w:szCs w:val="19"/>
          <w:b w:val="1"/>
          <w:bCs w:val="1"/>
          <w:u w:val="single" w:color="auto"/>
          <w:color w:val="auto"/>
        </w:rPr>
        <w:t>Incurrence of Indebtedness and Issuance of Preferred Stock</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1053"/>
        <w:spacing w:after="0" w:line="252" w:lineRule="auto"/>
        <w:rPr>
          <w:sz w:val="20"/>
          <w:szCs w:val="20"/>
          <w:color w:val="auto"/>
        </w:rPr>
      </w:pPr>
      <w:r>
        <w:rPr>
          <w:rFonts w:ascii="Times New Roman" w:cs="Times New Roman" w:eastAsia="Times New Roman" w:hAnsi="Times New Roman"/>
          <w:sz w:val="20"/>
          <w:szCs w:val="20"/>
          <w:color w:val="auto"/>
        </w:rPr>
        <w:t>(a)The Company will not, and will not permit any of its Restricted Subsidiaries to, directly or indirectly, create, incur, issue, assume, guarantee or otherwise become directly or indirectly liable, contingently or otherwise, with respect to (collectively, “</w:t>
      </w:r>
      <w:r>
        <w:rPr>
          <w:rFonts w:ascii="Times New Roman" w:cs="Times New Roman" w:eastAsia="Times New Roman" w:hAnsi="Times New Roman"/>
          <w:sz w:val="20"/>
          <w:szCs w:val="20"/>
          <w:u w:val="single" w:color="auto"/>
          <w:color w:val="auto"/>
        </w:rPr>
        <w:t>incur</w:t>
      </w:r>
      <w:r>
        <w:rPr>
          <w:rFonts w:ascii="Times New Roman" w:cs="Times New Roman" w:eastAsia="Times New Roman" w:hAnsi="Times New Roman"/>
          <w:sz w:val="20"/>
          <w:szCs w:val="20"/>
          <w:color w:val="auto"/>
        </w:rPr>
        <w:t xml:space="preserve">”) any Indebtedness (including Acquired Debt), and the Company will not issue any Disqualified Stock and will not permit any of its Restricted Subsidiaries to issue any shares of preferred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Company may incur Indebtedness (including Acquired Debt), the Company may issue Disqualified Stock, and the Restricted Subsidiaries of the Company may incur Indebtedness (including Acquired Debt) or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such preferred stock is issued, as the case may be, would have been at least 2.0 to 1.0, determined on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(including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application of the net proceeds therefrom), as if the additional Indebtedness had been incurred or the Disqualified Stock or the preferred stock had been issued, as the case may be, at the beginning of such four-quarter period.</w:t>
      </w:r>
    </w:p>
    <w:p>
      <w:pPr>
        <w:spacing w:after="0" w:line="123" w:lineRule="exact"/>
        <w:rPr>
          <w:sz w:val="20"/>
          <w:szCs w:val="20"/>
          <w:color w:val="auto"/>
        </w:rPr>
      </w:pPr>
    </w:p>
    <w:p>
      <w:pPr>
        <w:jc w:val="both"/>
        <w:ind w:firstLine="1053"/>
        <w:spacing w:after="0" w:line="283" w:lineRule="auto"/>
        <w:rPr>
          <w:sz w:val="20"/>
          <w:szCs w:val="20"/>
          <w:color w:val="auto"/>
        </w:rPr>
      </w:pPr>
      <w:r>
        <w:rPr>
          <w:rFonts w:ascii="Times New Roman" w:cs="Times New Roman" w:eastAsia="Times New Roman" w:hAnsi="Times New Roman"/>
          <w:sz w:val="20"/>
          <w:szCs w:val="20"/>
          <w:color w:val="auto"/>
        </w:rPr>
        <w:t xml:space="preserve">(b)The provisions 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xml:space="preserve"> hereof will not prohibit the incurrence of any of the following items of Indebtedness or issuances of Disqualified Stock or preferred stock, as applicable (collectively, “</w:t>
      </w:r>
      <w:r>
        <w:rPr>
          <w:rFonts w:ascii="Times New Roman" w:cs="Times New Roman" w:eastAsia="Times New Roman" w:hAnsi="Times New Roman"/>
          <w:sz w:val="20"/>
          <w:szCs w:val="20"/>
          <w:u w:val="single" w:color="auto"/>
          <w:color w:val="auto"/>
        </w:rPr>
        <w:t>Permitted Debt</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jc w:val="both"/>
        <w:ind w:left="1300" w:firstLine="652"/>
        <w:spacing w:after="0" w:line="253" w:lineRule="auto"/>
        <w:tabs>
          <w:tab w:leader="none" w:pos="258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by the Company and any Guarantor of additional Indebtedness and letters of credit under Credit Facilities in an aggregate principal amount at any one time outstanding under this clause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(with letters of credit being deemed to have a principal amount equal to the maximum potential liability of the Company and its Restricted Subsidiaries thereunder) not to exceed (as of the date of incurrence of Indebtedness under this clause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and after giving </w:t>
      </w:r>
      <w:r>
        <w:rPr>
          <w:rFonts w:ascii="Times New Roman" w:cs="Times New Roman" w:eastAsia="Times New Roman" w:hAnsi="Times New Roman"/>
          <w:sz w:val="20"/>
          <w:szCs w:val="20"/>
          <w:u w:val="single" w:color="auto"/>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forma</w:t>
      </w:r>
      <w:r>
        <w:rPr>
          <w:rFonts w:ascii="Times New Roman" w:cs="Times New Roman" w:eastAsia="Times New Roman" w:hAnsi="Times New Roman"/>
          <w:sz w:val="20"/>
          <w:szCs w:val="20"/>
          <w:color w:val="auto"/>
        </w:rPr>
        <w:t xml:space="preserve"> effect to such incurrence and the application of net proceeds therefrom) the greater of (A) $300.0 million and (B) 20.0% of Consolidated Total Assets as of the date of such incurrence;</w:t>
      </w:r>
    </w:p>
    <w:p>
      <w:pPr>
        <w:spacing w:after="0" w:line="138" w:lineRule="exact"/>
        <w:rPr>
          <w:rFonts w:ascii="Times New Roman" w:cs="Times New Roman" w:eastAsia="Times New Roman" w:hAnsi="Times New Roman"/>
          <w:sz w:val="20"/>
          <w:szCs w:val="20"/>
          <w:color w:val="auto"/>
        </w:rPr>
      </w:pPr>
    </w:p>
    <w:p>
      <w:pPr>
        <w:ind w:left="1300" w:firstLine="652"/>
        <w:spacing w:after="0" w:line="283" w:lineRule="auto"/>
        <w:tabs>
          <w:tab w:leader="none" w:pos="258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Company and its Restricted Subsidiaries of the Existing Indebtedness and Disqualified Stock existing on the date of this Indenture;</w:t>
      </w:r>
    </w:p>
    <w:p>
      <w:pPr>
        <w:spacing w:after="0" w:line="92" w:lineRule="exact"/>
        <w:rPr>
          <w:rFonts w:ascii="Times New Roman" w:cs="Times New Roman" w:eastAsia="Times New Roman" w:hAnsi="Times New Roman"/>
          <w:sz w:val="20"/>
          <w:szCs w:val="20"/>
          <w:color w:val="auto"/>
        </w:rPr>
      </w:pPr>
    </w:p>
    <w:p>
      <w:pPr>
        <w:ind w:left="1300" w:firstLine="652"/>
        <w:spacing w:after="0" w:line="310" w:lineRule="auto"/>
        <w:tabs>
          <w:tab w:leader="none" w:pos="2584"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by the Company and the Guarantors of Indebtedness represented by the Notes to be issued on the date of this Indenture and the related Note Guarantees (other than any Additional Notes and related Note Guarantees);</w:t>
      </w:r>
    </w:p>
    <w:p>
      <w:pPr>
        <w:spacing w:after="0" w:line="70" w:lineRule="exact"/>
        <w:rPr>
          <w:rFonts w:ascii="Times New Roman" w:cs="Times New Roman" w:eastAsia="Times New Roman" w:hAnsi="Times New Roman"/>
          <w:sz w:val="19"/>
          <w:szCs w:val="19"/>
          <w:color w:val="auto"/>
        </w:rPr>
      </w:pPr>
    </w:p>
    <w:p>
      <w:pPr>
        <w:ind w:left="1300" w:right="20" w:firstLine="652"/>
        <w:spacing w:after="0" w:line="283" w:lineRule="auto"/>
        <w:tabs>
          <w:tab w:leader="none" w:pos="258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Company or any of its Restricted Subsidiaries of Indebtedness represented by Finance Lease Obligations, mortgage financings, purchase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bl>
    <w:p>
      <w:pPr>
        <w:sectPr>
          <w:pgSz w:w="11900" w:h="16838" w:orient="portrait"/>
          <w:cols w:equalWidth="0" w:num="1">
            <w:col w:w="11240"/>
          </w:cols>
          <w:pgMar w:left="320" w:top="1440" w:right="339" w:bottom="1440" w:gutter="0" w:footer="0" w:header="0"/>
        </w:sectPr>
      </w:pPr>
    </w:p>
    <w:bookmarkStart w:id="79" w:name="page80"/>
    <w:bookmarkEnd w:id="79"/>
    <w:p>
      <w:pPr>
        <w:spacing w:after="0" w:line="135" w:lineRule="exact"/>
        <w:rPr>
          <w:sz w:val="20"/>
          <w:szCs w:val="20"/>
          <w:color w:val="auto"/>
        </w:rPr>
      </w:pPr>
    </w:p>
    <w:p>
      <w:pPr>
        <w:jc w:val="both"/>
        <w:ind w:left="1220"/>
        <w:spacing w:after="0" w:line="258" w:lineRule="auto"/>
        <w:rPr>
          <w:sz w:val="20"/>
          <w:szCs w:val="20"/>
          <w:color w:val="auto"/>
        </w:rPr>
      </w:pPr>
      <w:r>
        <w:rPr>
          <w:rFonts w:ascii="Times New Roman" w:cs="Times New Roman" w:eastAsia="Times New Roman" w:hAnsi="Times New Roman"/>
          <w:sz w:val="20"/>
          <w:szCs w:val="20"/>
          <w:color w:val="auto"/>
        </w:rPr>
        <w:t>money obligations or Disqualified Stock, in an aggregate principal amount or accreted liquidation preference, including all Permitted Refinancing Indebtedness incurred or issued to renew, refund, refinance, replace, defease or discharge any Indebtedness or Disqualified Stock incurred or issued pursuant to this clause (4), not to exceed the greater of (A) $125.0 million or (B) 8.00% of Consolidated Total Assets as of the date of such incurrence;</w:t>
      </w:r>
    </w:p>
    <w:p>
      <w:pPr>
        <w:spacing w:after="0" w:line="118" w:lineRule="exact"/>
        <w:rPr>
          <w:sz w:val="20"/>
          <w:szCs w:val="20"/>
          <w:color w:val="auto"/>
        </w:rPr>
      </w:pPr>
    </w:p>
    <w:p>
      <w:pPr>
        <w:jc w:val="both"/>
        <w:ind w:left="1220" w:firstLine="652"/>
        <w:spacing w:after="0" w:line="253" w:lineRule="auto"/>
        <w:tabs>
          <w:tab w:leader="none" w:pos="250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by the Company or any of its Restricted Subsidiaries of Permitted Refinancing Indebtedness or the issuance by the Company of Disqualified Stock (including additional Disqualified Stock issued to pay premiums, retirement costs, accrued dividends and fees and expenses in connection therewith) in exchange for, or the net proceeds of which are used to renew, refund, refinance, replace, defease, discharge or extend any Indebtedness or Disqualified Stock (other than intercompany Indebtedness or Disqualified Stock) that was permitted by this Indenture to be incurred 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xml:space="preserve"> hereof or clauses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(19)</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4.09(b)</w:t>
      </w:r>
      <w:r>
        <w:rPr>
          <w:rFonts w:ascii="Times New Roman" w:cs="Times New Roman" w:eastAsia="Times New Roman" w:hAnsi="Times New Roman"/>
          <w:sz w:val="20"/>
          <w:szCs w:val="20"/>
          <w:color w:val="auto"/>
        </w:rPr>
        <w:t>;</w:t>
      </w:r>
    </w:p>
    <w:p>
      <w:pPr>
        <w:spacing w:after="0" w:line="138" w:lineRule="exact"/>
        <w:rPr>
          <w:rFonts w:ascii="Times New Roman" w:cs="Times New Roman" w:eastAsia="Times New Roman" w:hAnsi="Times New Roman"/>
          <w:sz w:val="20"/>
          <w:szCs w:val="20"/>
          <w:color w:val="auto"/>
        </w:rPr>
      </w:pPr>
    </w:p>
    <w:p>
      <w:pPr>
        <w:ind w:left="1220" w:firstLine="652"/>
        <w:spacing w:after="0" w:line="283" w:lineRule="auto"/>
        <w:tabs>
          <w:tab w:leader="none" w:pos="250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by the Company or any of its Restricted Subsidiaries of intercompany Indebtedness between or among the Company and any of its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w:t>
      </w:r>
    </w:p>
    <w:p>
      <w:pPr>
        <w:spacing w:after="0" w:line="92" w:lineRule="exact"/>
        <w:rPr>
          <w:rFonts w:ascii="Times New Roman" w:cs="Times New Roman" w:eastAsia="Times New Roman" w:hAnsi="Times New Roman"/>
          <w:sz w:val="20"/>
          <w:szCs w:val="20"/>
          <w:color w:val="auto"/>
        </w:rPr>
      </w:pPr>
    </w:p>
    <w:p>
      <w:pPr>
        <w:ind w:left="3160" w:hanging="640"/>
        <w:spacing w:after="0"/>
        <w:tabs>
          <w:tab w:leader="none" w:pos="316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w:t>
      </w:r>
    </w:p>
    <w:p>
      <w:pPr>
        <w:spacing w:after="0" w:line="175" w:lineRule="exact"/>
        <w:rPr>
          <w:rFonts w:ascii="Times New Roman" w:cs="Times New Roman" w:eastAsia="Times New Roman" w:hAnsi="Times New Roman"/>
          <w:sz w:val="20"/>
          <w:szCs w:val="20"/>
          <w:color w:val="auto"/>
        </w:rPr>
      </w:pPr>
    </w:p>
    <w:p>
      <w:pPr>
        <w:ind w:left="3800" w:hanging="632"/>
        <w:spacing w:after="0"/>
        <w:tabs>
          <w:tab w:leader="none" w:pos="380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any Guarantor is the obligor on such Indebtedness; and</w:t>
      </w:r>
    </w:p>
    <w:p>
      <w:pPr>
        <w:spacing w:after="0" w:line="161" w:lineRule="exact"/>
        <w:rPr>
          <w:rFonts w:ascii="Times New Roman" w:cs="Times New Roman" w:eastAsia="Times New Roman" w:hAnsi="Times New Roman"/>
          <w:sz w:val="20"/>
          <w:szCs w:val="20"/>
          <w:color w:val="auto"/>
        </w:rPr>
      </w:pPr>
    </w:p>
    <w:p>
      <w:pPr>
        <w:ind w:left="3800" w:hanging="632"/>
        <w:spacing w:after="0"/>
        <w:tabs>
          <w:tab w:leader="none" w:pos="380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payee is not the Company or a Guarantor,</w:t>
      </w:r>
    </w:p>
    <w:p>
      <w:pPr>
        <w:spacing w:after="0" w:line="175" w:lineRule="exact"/>
        <w:rPr>
          <w:sz w:val="20"/>
          <w:szCs w:val="20"/>
          <w:color w:val="auto"/>
        </w:rPr>
      </w:pPr>
    </w:p>
    <w:p>
      <w:pPr>
        <w:jc w:val="both"/>
        <w:ind w:left="1220"/>
        <w:spacing w:after="0" w:line="258" w:lineRule="auto"/>
        <w:rPr>
          <w:sz w:val="20"/>
          <w:szCs w:val="20"/>
          <w:color w:val="auto"/>
        </w:rPr>
      </w:pPr>
      <w:r>
        <w:rPr>
          <w:rFonts w:ascii="Times New Roman" w:cs="Times New Roman" w:eastAsia="Times New Roman" w:hAnsi="Times New Roman"/>
          <w:sz w:val="20"/>
          <w:szCs w:val="20"/>
          <w:color w:val="auto"/>
        </w:rPr>
        <w:t>then such Indebtedness (excluding any Indebtedness in respect of accounts payable incurred in connection with goods and services rendered in the ordinary course of business or consistent with past practice) must be unsecured and expressly subordinated to the prior payment in full in cash of all Obligations then due with respect to the Notes, in the case of the Company, or the Note Guarantee, in the case of a Guarantor; and</w:t>
      </w:r>
    </w:p>
    <w:p>
      <w:pPr>
        <w:spacing w:after="0" w:line="118" w:lineRule="exact"/>
        <w:rPr>
          <w:sz w:val="20"/>
          <w:szCs w:val="20"/>
          <w:color w:val="auto"/>
        </w:rPr>
      </w:pPr>
    </w:p>
    <w:p>
      <w:pPr>
        <w:ind w:left="1220" w:firstLine="1300"/>
        <w:spacing w:after="0" w:line="283" w:lineRule="auto"/>
        <w:tabs>
          <w:tab w:leader="none" w:pos="315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 any subsequent issuance or transfer of Equity Interests that results in any Indebtedness incurred under this clause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being held by a Person other than the Company or a Restricted Subsidiary thereof; and</w:t>
      </w:r>
    </w:p>
    <w:p>
      <w:pPr>
        <w:spacing w:after="0" w:line="92" w:lineRule="exact"/>
        <w:rPr>
          <w:rFonts w:ascii="Times New Roman" w:cs="Times New Roman" w:eastAsia="Times New Roman" w:hAnsi="Times New Roman"/>
          <w:sz w:val="20"/>
          <w:szCs w:val="20"/>
          <w:color w:val="auto"/>
        </w:rPr>
      </w:pPr>
    </w:p>
    <w:p>
      <w:pPr>
        <w:ind w:left="1880" w:firstLine="1288"/>
        <w:spacing w:after="0" w:line="283" w:lineRule="auto"/>
        <w:tabs>
          <w:tab w:leader="none" w:pos="3812"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sale or other transfer of any Indebtedness incurred under this clause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to a Person that is not either the Company or a Restricted Subsidiary thereof,</w:t>
      </w:r>
    </w:p>
    <w:p>
      <w:pPr>
        <w:spacing w:after="0" w:line="106" w:lineRule="exact"/>
        <w:rPr>
          <w:sz w:val="20"/>
          <w:szCs w:val="20"/>
          <w:color w:val="auto"/>
        </w:rPr>
      </w:pPr>
    </w:p>
    <w:p>
      <w:pPr>
        <w:ind w:left="1220"/>
        <w:spacing w:after="0" w:line="269" w:lineRule="auto"/>
        <w:rPr>
          <w:sz w:val="20"/>
          <w:szCs w:val="20"/>
          <w:color w:val="auto"/>
        </w:rPr>
      </w:pPr>
      <w:r>
        <w:rPr>
          <w:rFonts w:ascii="Times New Roman" w:cs="Times New Roman" w:eastAsia="Times New Roman" w:hAnsi="Times New Roman"/>
          <w:sz w:val="20"/>
          <w:szCs w:val="20"/>
          <w:color w:val="auto"/>
        </w:rPr>
        <w:t xml:space="preserve">will be deemed, in each case, to constitute an incurrence of such Indebtedness by the Company or such Restricted Subsidiary, as the case may be, that was not permitted by this clause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w:t>
      </w:r>
    </w:p>
    <w:p>
      <w:pPr>
        <w:spacing w:after="0" w:line="119" w:lineRule="exact"/>
        <w:rPr>
          <w:sz w:val="20"/>
          <w:szCs w:val="20"/>
          <w:color w:val="auto"/>
        </w:rPr>
      </w:pPr>
    </w:p>
    <w:p>
      <w:pPr>
        <w:ind w:left="1220" w:firstLine="652"/>
        <w:spacing w:after="0" w:line="269" w:lineRule="auto"/>
        <w:tabs>
          <w:tab w:leader="none" w:pos="250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issuance by any of the Restricted Subsidiaries to the Company or to any of its Restricted Subsidiaries of shares of preferred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w:t>
      </w:r>
    </w:p>
    <w:p>
      <w:pPr>
        <w:spacing w:after="0" w:line="118" w:lineRule="exact"/>
        <w:rPr>
          <w:rFonts w:ascii="Times New Roman" w:cs="Times New Roman" w:eastAsia="Times New Roman" w:hAnsi="Times New Roman"/>
          <w:sz w:val="20"/>
          <w:szCs w:val="20"/>
          <w:color w:val="auto"/>
        </w:rPr>
      </w:pPr>
    </w:p>
    <w:p>
      <w:pPr>
        <w:ind w:left="1220" w:firstLine="1300"/>
        <w:spacing w:after="0" w:line="283" w:lineRule="auto"/>
        <w:tabs>
          <w:tab w:leader="none" w:pos="3155"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subsequent issuance or transfer of Equity Interests that results in any such preferred stock being held by a Person other than the Company or a Restricted Subsidiary thereof; and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bl>
    <w:p>
      <w:pPr>
        <w:sectPr>
          <w:pgSz w:w="11900" w:h="16838" w:orient="portrait"/>
          <w:cols w:equalWidth="0" w:num="1">
            <w:col w:w="11160"/>
          </w:cols>
          <w:pgMar w:left="400" w:top="1440" w:right="339" w:bottom="1440" w:gutter="0" w:footer="0" w:header="0"/>
        </w:sectPr>
      </w:pPr>
    </w:p>
    <w:bookmarkStart w:id="80" w:name="page81"/>
    <w:bookmarkEnd w:id="80"/>
    <w:p>
      <w:pPr>
        <w:spacing w:after="0" w:line="135" w:lineRule="exact"/>
        <w:rPr>
          <w:sz w:val="20"/>
          <w:szCs w:val="20"/>
          <w:color w:val="auto"/>
        </w:rPr>
      </w:pPr>
    </w:p>
    <w:p>
      <w:pPr>
        <w:ind w:left="1220" w:firstLine="1300"/>
        <w:spacing w:after="0" w:line="283" w:lineRule="auto"/>
        <w:tabs>
          <w:tab w:leader="none" w:pos="315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or other transfer of any such preferred stock to a Person that is not either the Company or a Restricted Subsidiary thereof,</w:t>
      </w:r>
    </w:p>
    <w:p>
      <w:pPr>
        <w:spacing w:after="0" w:line="92" w:lineRule="exact"/>
        <w:rPr>
          <w:sz w:val="20"/>
          <w:szCs w:val="20"/>
          <w:color w:val="auto"/>
        </w:rPr>
      </w:pPr>
    </w:p>
    <w:p>
      <w:pPr>
        <w:ind w:left="1220"/>
        <w:spacing w:after="0" w:line="283" w:lineRule="auto"/>
        <w:rPr>
          <w:sz w:val="20"/>
          <w:szCs w:val="20"/>
          <w:color w:val="auto"/>
        </w:rPr>
      </w:pPr>
      <w:r>
        <w:rPr>
          <w:rFonts w:ascii="Times New Roman" w:cs="Times New Roman" w:eastAsia="Times New Roman" w:hAnsi="Times New Roman"/>
          <w:sz w:val="20"/>
          <w:szCs w:val="20"/>
          <w:color w:val="auto"/>
        </w:rPr>
        <w:t xml:space="preserve">will be deemed, in each case, to constitute an issuance of such preferred stock by such Restricted Subsidiary that was not permitted by this clause </w:t>
      </w:r>
      <w:r>
        <w:rPr>
          <w:rFonts w:ascii="Times New Roman" w:cs="Times New Roman" w:eastAsia="Times New Roman" w:hAnsi="Times New Roman"/>
          <w:sz w:val="20"/>
          <w:szCs w:val="20"/>
          <w:u w:val="single" w:color="auto"/>
          <w:color w:val="auto"/>
        </w:rPr>
        <w:t>(7)</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ind w:left="1220" w:firstLine="652"/>
        <w:spacing w:after="0" w:line="283" w:lineRule="auto"/>
        <w:tabs>
          <w:tab w:leader="none" w:pos="250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Company or any of its Restricted Subsidiaries of Hedging Obligations and Obligations with respect to Treasury Management Arrangements in the ordinary course of business;</w:t>
      </w:r>
    </w:p>
    <w:p>
      <w:pPr>
        <w:spacing w:after="0" w:line="105" w:lineRule="exact"/>
        <w:rPr>
          <w:rFonts w:ascii="Times New Roman" w:cs="Times New Roman" w:eastAsia="Times New Roman" w:hAnsi="Times New Roman"/>
          <w:sz w:val="20"/>
          <w:szCs w:val="20"/>
          <w:color w:val="auto"/>
        </w:rPr>
      </w:pPr>
    </w:p>
    <w:p>
      <w:pPr>
        <w:jc w:val="both"/>
        <w:ind w:left="1220" w:firstLine="652"/>
        <w:spacing w:after="0" w:line="254" w:lineRule="auto"/>
        <w:tabs>
          <w:tab w:leader="none" w:pos="250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guarantee by the Company or any Restricted Subsidiary of Indebtedness of the Company or a Restricted Subsidiary thereof, to the extent that the guaranteed Indebtedness was permitted to be incurred by another provision of this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Indebtedness being guaranteed is subordinated to or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with the Notes, then the Guarantee must be subordinated or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as applicable, to the same extent as the Indebtedness guaranteed;</w:t>
      </w:r>
    </w:p>
    <w:p>
      <w:pPr>
        <w:spacing w:after="0" w:line="133" w:lineRule="exact"/>
        <w:rPr>
          <w:rFonts w:ascii="Times New Roman" w:cs="Times New Roman" w:eastAsia="Times New Roman" w:hAnsi="Times New Roman"/>
          <w:sz w:val="20"/>
          <w:szCs w:val="20"/>
          <w:color w:val="auto"/>
        </w:rPr>
      </w:pPr>
    </w:p>
    <w:p>
      <w:pPr>
        <w:jc w:val="both"/>
        <w:ind w:left="1220" w:firstLine="652"/>
        <w:spacing w:after="0" w:line="253" w:lineRule="auto"/>
        <w:tabs>
          <w:tab w:leader="none" w:pos="250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Company or any of its Restricted Subsidiaries of Indebtedness in respect of letters of credit, workers’ compensation claims, health, disability or other employee benefits or property, casualty or liability insurance, self-insurance obligations, statutory obligations, bankers’ acceptances, bank guarantees, customs bonds, stay bonds, performance and surety bonds, completion guarantees, bid bonds, appeal bonds and similar obligations in the ordinary course of business or consistent with industry practice;</w:t>
      </w:r>
    </w:p>
    <w:p>
      <w:pPr>
        <w:spacing w:after="0" w:line="137" w:lineRule="exact"/>
        <w:rPr>
          <w:rFonts w:ascii="Times New Roman" w:cs="Times New Roman" w:eastAsia="Times New Roman" w:hAnsi="Times New Roman"/>
          <w:sz w:val="20"/>
          <w:szCs w:val="20"/>
          <w:color w:val="auto"/>
        </w:rPr>
      </w:pPr>
    </w:p>
    <w:p>
      <w:pPr>
        <w:jc w:val="both"/>
        <w:ind w:left="1220" w:firstLine="652"/>
        <w:spacing w:after="0" w:line="261" w:lineRule="auto"/>
        <w:tabs>
          <w:tab w:leader="none" w:pos="2501"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Company or any of its Restricted Subsidiaries of Indebtedness arising from the honoring by a bank or other financial institution of a check, draft or similar instrument inadvertently drawn against insufficient funds, so long as such Indebtedness is covered within ten Business Days;</w:t>
      </w:r>
    </w:p>
    <w:p>
      <w:pPr>
        <w:spacing w:after="0" w:line="127" w:lineRule="exact"/>
        <w:rPr>
          <w:rFonts w:ascii="Times New Roman" w:cs="Times New Roman" w:eastAsia="Times New Roman" w:hAnsi="Times New Roman"/>
          <w:sz w:val="20"/>
          <w:szCs w:val="20"/>
          <w:color w:val="auto"/>
        </w:rPr>
      </w:pPr>
    </w:p>
    <w:p>
      <w:pPr>
        <w:jc w:val="both"/>
        <w:ind w:left="1220" w:firstLine="652"/>
        <w:spacing w:after="0" w:line="253" w:lineRule="auto"/>
        <w:tabs>
          <w:tab w:leader="none" w:pos="250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by Foreign Subsidiaries of Indebtedness in an aggregate principal amount at any time outstanding pursuant to this clause </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color w:val="auto"/>
        </w:rPr>
        <w:t xml:space="preserve">, including all Permitted Refinancing Indebtedness incurred to renew, refund, refinance, replace, defease or discharge any Indebtedness incurred pursuant to this clause </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color w:val="auto"/>
        </w:rPr>
        <w:t>, not to exceed the greater of (i) $100.0 million and (ii) 6.50% of Consolidated Total Assets (or the equivalent thereof, measured at the time of each incurrence, in the applicable foreign currency);</w:t>
      </w:r>
    </w:p>
    <w:p>
      <w:pPr>
        <w:spacing w:after="0" w:line="137" w:lineRule="exact"/>
        <w:rPr>
          <w:rFonts w:ascii="Times New Roman" w:cs="Times New Roman" w:eastAsia="Times New Roman" w:hAnsi="Times New Roman"/>
          <w:sz w:val="20"/>
          <w:szCs w:val="20"/>
          <w:color w:val="auto"/>
        </w:rPr>
      </w:pPr>
    </w:p>
    <w:p>
      <w:pPr>
        <w:ind w:left="1220" w:firstLine="652"/>
        <w:spacing w:after="0" w:line="269" w:lineRule="auto"/>
        <w:tabs>
          <w:tab w:leader="none" w:pos="250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Company or any of its Restricted Subsidiaries of Indebtedness in respect of endorsements of negotiable instruments in the ordinary course of business;</w:t>
      </w:r>
    </w:p>
    <w:p>
      <w:pPr>
        <w:spacing w:after="0" w:line="118" w:lineRule="exact"/>
        <w:rPr>
          <w:rFonts w:ascii="Times New Roman" w:cs="Times New Roman" w:eastAsia="Times New Roman" w:hAnsi="Times New Roman"/>
          <w:sz w:val="20"/>
          <w:szCs w:val="20"/>
          <w:color w:val="auto"/>
        </w:rPr>
      </w:pPr>
    </w:p>
    <w:p>
      <w:pPr>
        <w:ind w:left="1220" w:firstLine="652"/>
        <w:spacing w:after="0" w:line="269" w:lineRule="auto"/>
        <w:tabs>
          <w:tab w:leader="none" w:pos="250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Company or any of its Restricted Subsidiaries of Indebtedness consisting of the financing of insurance premiums in the ordinary course of business;</w:t>
      </w:r>
    </w:p>
    <w:p>
      <w:pPr>
        <w:spacing w:after="0" w:line="118" w:lineRule="exact"/>
        <w:rPr>
          <w:rFonts w:ascii="Times New Roman" w:cs="Times New Roman" w:eastAsia="Times New Roman" w:hAnsi="Times New Roman"/>
          <w:sz w:val="20"/>
          <w:szCs w:val="20"/>
          <w:color w:val="auto"/>
        </w:rPr>
      </w:pPr>
    </w:p>
    <w:p>
      <w:pPr>
        <w:ind w:left="2520" w:hanging="648"/>
        <w:spacing w:after="0"/>
        <w:tabs>
          <w:tab w:leader="none" w:pos="252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Company or any of its Restricted Subsidiaries of:</w:t>
      </w:r>
    </w:p>
    <w:p>
      <w:pPr>
        <w:spacing w:after="0" w:line="175" w:lineRule="exact"/>
        <w:rPr>
          <w:rFonts w:ascii="Times New Roman" w:cs="Times New Roman" w:eastAsia="Times New Roman" w:hAnsi="Times New Roman"/>
          <w:sz w:val="20"/>
          <w:szCs w:val="20"/>
          <w:color w:val="auto"/>
        </w:rPr>
      </w:pPr>
    </w:p>
    <w:p>
      <w:pPr>
        <w:jc w:val="both"/>
        <w:ind w:left="1220" w:right="20" w:firstLine="1300"/>
        <w:spacing w:after="0" w:line="261" w:lineRule="auto"/>
        <w:tabs>
          <w:tab w:leader="none" w:pos="3155"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seller financing, seller notes and other similar obligations incurred in connection with any Permitted Investment (including any such Indebtedness assumed in connection with an acquisition permitted hereunder)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bl>
    <w:p>
      <w:pPr>
        <w:sectPr>
          <w:pgSz w:w="11900" w:h="16838" w:orient="portrait"/>
          <w:cols w:equalWidth="0" w:num="1">
            <w:col w:w="11160"/>
          </w:cols>
          <w:pgMar w:left="400" w:top="1440" w:right="339" w:bottom="1440" w:gutter="0" w:footer="0" w:header="0"/>
        </w:sectPr>
      </w:pPr>
    </w:p>
    <w:bookmarkStart w:id="81" w:name="page82"/>
    <w:bookmarkEnd w:id="81"/>
    <w:p>
      <w:pPr>
        <w:spacing w:after="0" w:line="135" w:lineRule="exact"/>
        <w:rPr>
          <w:sz w:val="20"/>
          <w:szCs w:val="20"/>
          <w:color w:val="auto"/>
        </w:rPr>
      </w:pPr>
    </w:p>
    <w:p>
      <w:pPr>
        <w:ind w:left="1220" w:right="20"/>
        <w:spacing w:after="0" w:line="283" w:lineRule="auto"/>
        <w:rPr>
          <w:sz w:val="20"/>
          <w:szCs w:val="20"/>
          <w:color w:val="auto"/>
        </w:rPr>
      </w:pPr>
      <w:r>
        <w:rPr>
          <w:rFonts w:ascii="Times New Roman" w:cs="Times New Roman" w:eastAsia="Times New Roman" w:hAnsi="Times New Roman"/>
          <w:sz w:val="20"/>
          <w:szCs w:val="20"/>
          <w:color w:val="auto"/>
        </w:rPr>
        <w:t>aggregate principal amount not to exceed the greater of (i) $50.0 million and (ii) 3.00% of Consolidated Total Assets as of the date of such incurrence; or</w:t>
      </w:r>
    </w:p>
    <w:p>
      <w:pPr>
        <w:spacing w:after="0" w:line="92" w:lineRule="exact"/>
        <w:rPr>
          <w:sz w:val="20"/>
          <w:szCs w:val="20"/>
          <w:color w:val="auto"/>
        </w:rPr>
      </w:pPr>
    </w:p>
    <w:p>
      <w:pPr>
        <w:jc w:val="both"/>
        <w:ind w:left="1220" w:firstLine="1300"/>
        <w:spacing w:after="0" w:line="258" w:lineRule="auto"/>
        <w:tabs>
          <w:tab w:leader="none" w:pos="3158"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agreements of the Company or its Restricted Subsidiaries providing for working capital adjustments, purchase price adjustments, non-competes, consulting, deferred compensation, holdbacks, earn-out obligations, contingent consideration, contributions and similar obligations incurred in connection with any Permitted Investment or disposition of any business;</w:t>
      </w:r>
    </w:p>
    <w:p>
      <w:pPr>
        <w:spacing w:after="0" w:line="131" w:lineRule="exact"/>
        <w:rPr>
          <w:rFonts w:ascii="Times New Roman" w:cs="Times New Roman" w:eastAsia="Times New Roman" w:hAnsi="Times New Roman"/>
          <w:sz w:val="20"/>
          <w:szCs w:val="20"/>
          <w:color w:val="auto"/>
        </w:rPr>
      </w:pPr>
    </w:p>
    <w:p>
      <w:pPr>
        <w:jc w:val="both"/>
        <w:ind w:left="1220" w:firstLine="652"/>
        <w:spacing w:after="0" w:line="250" w:lineRule="auto"/>
        <w:tabs>
          <w:tab w:leader="none" w:pos="250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 the Company or any Restricted Subsidiary incurred to finance an acquisition or (b) any Person that is assumed by the Company or a Restricted Subsidiary in connection with the acquisition of such Person or Indebtedness of any Person that becomes a Restricted Subsidiary (or of any Person not previously a Restricted Subsidiary that is merged or consolidated with or into the Company or a Restricted Subsidiary) after the date hereof as a result of an Investment permitted hereunder and all Permitted Refinancing Indebtedness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of the preceding subclauses (a) and (b) of this clause </w:t>
      </w:r>
      <w:r>
        <w:rPr>
          <w:rFonts w:ascii="Times New Roman" w:cs="Times New Roman" w:eastAsia="Times New Roman" w:hAnsi="Times New Roman"/>
          <w:sz w:val="20"/>
          <w:szCs w:val="20"/>
          <w:u w:val="single" w:color="auto"/>
          <w:color w:val="auto"/>
        </w:rPr>
        <w:t>(16)</w:t>
      </w:r>
      <w:r>
        <w:rPr>
          <w:rFonts w:ascii="Times New Roman" w:cs="Times New Roman" w:eastAsia="Times New Roman" w:hAnsi="Times New Roman"/>
          <w:sz w:val="20"/>
          <w:szCs w:val="20"/>
          <w:color w:val="auto"/>
        </w:rPr>
        <w:t xml:space="preserve">, after giving effect to such Person becoming a Restricted Subsidiary (or to such acquisition, merger or consolidation), the Company would be permitted to incur at least $1.00 of additional Indebtedness pursuant to the Fixed Charge Coverage Ratio test set forth in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xml:space="preserve"> or the Fixed Charge Coverage Ratio of the Company would equal or exceed the Fixed Charge Coverage Ratio of the Company immediately prior to giving effect thereto;</w:t>
      </w:r>
    </w:p>
    <w:p>
      <w:pPr>
        <w:spacing w:after="0" w:line="142" w:lineRule="exact"/>
        <w:rPr>
          <w:rFonts w:ascii="Times New Roman" w:cs="Times New Roman" w:eastAsia="Times New Roman" w:hAnsi="Times New Roman"/>
          <w:sz w:val="20"/>
          <w:szCs w:val="20"/>
          <w:color w:val="auto"/>
        </w:rPr>
      </w:pPr>
    </w:p>
    <w:p>
      <w:pPr>
        <w:jc w:val="both"/>
        <w:ind w:left="1220" w:firstLine="652"/>
        <w:spacing w:after="0" w:line="253" w:lineRule="auto"/>
        <w:tabs>
          <w:tab w:leader="none" w:pos="250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consisting of promissory notes issued by the Company or any of its Restricted Subsidiaries to any future, current or former employee, director or consultant of the Company, any of the Company’s direct or indirect parents or any of the Company’s Subsidiaries (or permitted transferees, assigns, estates or heirs of such employee, director or consultant), to finance the purchase or redemption of Equity Interests of the Company, any of the Company’s direct or indirect parents or any of the Company’s Subsidiaries permitted by </w:t>
      </w:r>
      <w:r>
        <w:rPr>
          <w:rFonts w:ascii="Times New Roman" w:cs="Times New Roman" w:eastAsia="Times New Roman" w:hAnsi="Times New Roman"/>
          <w:sz w:val="20"/>
          <w:szCs w:val="20"/>
          <w:u w:val="single" w:color="auto"/>
          <w:color w:val="auto"/>
        </w:rPr>
        <w:t>Section 4.07</w:t>
      </w:r>
      <w:r>
        <w:rPr>
          <w:rFonts w:ascii="Times New Roman" w:cs="Times New Roman" w:eastAsia="Times New Roman" w:hAnsi="Times New Roman"/>
          <w:sz w:val="20"/>
          <w:szCs w:val="20"/>
          <w:color w:val="auto"/>
        </w:rPr>
        <w:t xml:space="preserve"> hereof;</w:t>
      </w:r>
    </w:p>
    <w:p>
      <w:pPr>
        <w:spacing w:after="0" w:line="124" w:lineRule="exact"/>
        <w:rPr>
          <w:rFonts w:ascii="Times New Roman" w:cs="Times New Roman" w:eastAsia="Times New Roman" w:hAnsi="Times New Roman"/>
          <w:sz w:val="20"/>
          <w:szCs w:val="20"/>
          <w:color w:val="auto"/>
        </w:rPr>
      </w:pPr>
    </w:p>
    <w:p>
      <w:pPr>
        <w:ind w:left="2520" w:hanging="648"/>
        <w:spacing w:after="0"/>
        <w:tabs>
          <w:tab w:leader="none" w:pos="25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left="1220" w:firstLine="652"/>
        <w:spacing w:after="0" w:line="251" w:lineRule="auto"/>
        <w:tabs>
          <w:tab w:leader="none" w:pos="250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by the Company or any of its Restricted Subsidiaries of additional Indebtedness or Disqualified Stock in an aggregate principal amount (or accreted value or liquidation preference, as applicable) at any time outstanding, including all Permitted Refinancing Indebtedness incurred to renew, refund, refinance, replace, defease or discharge any Indebtedness incurred pursuant to this clause </w:t>
      </w:r>
      <w:r>
        <w:rPr>
          <w:rFonts w:ascii="Times New Roman" w:cs="Times New Roman" w:eastAsia="Times New Roman" w:hAnsi="Times New Roman"/>
          <w:sz w:val="20"/>
          <w:szCs w:val="20"/>
          <w:u w:val="single" w:color="auto"/>
          <w:color w:val="auto"/>
        </w:rPr>
        <w:t>(19)</w:t>
      </w:r>
      <w:r>
        <w:rPr>
          <w:rFonts w:ascii="Times New Roman" w:cs="Times New Roman" w:eastAsia="Times New Roman" w:hAnsi="Times New Roman"/>
          <w:sz w:val="20"/>
          <w:szCs w:val="20"/>
          <w:color w:val="auto"/>
        </w:rPr>
        <w:t xml:space="preserve">, not to exceed, as of the date of such incurrence, the greater of (A) $125.0 million and (B) 8.00% of Consolidated Total Assets (it being understood that any Indebtedness incurred pursuant to this clause </w:t>
      </w:r>
      <w:r>
        <w:rPr>
          <w:rFonts w:ascii="Times New Roman" w:cs="Times New Roman" w:eastAsia="Times New Roman" w:hAnsi="Times New Roman"/>
          <w:sz w:val="20"/>
          <w:szCs w:val="20"/>
          <w:u w:val="single" w:color="auto"/>
          <w:color w:val="auto"/>
        </w:rPr>
        <w:t>(19)</w:t>
      </w:r>
      <w:r>
        <w:rPr>
          <w:rFonts w:ascii="Times New Roman" w:cs="Times New Roman" w:eastAsia="Times New Roman" w:hAnsi="Times New Roman"/>
          <w:sz w:val="20"/>
          <w:szCs w:val="20"/>
          <w:color w:val="auto"/>
        </w:rPr>
        <w:t xml:space="preserve"> shall cease to be deemed incurred or outstanding for purposes of this clause </w:t>
      </w:r>
      <w:r>
        <w:rPr>
          <w:rFonts w:ascii="Times New Roman" w:cs="Times New Roman" w:eastAsia="Times New Roman" w:hAnsi="Times New Roman"/>
          <w:sz w:val="20"/>
          <w:szCs w:val="20"/>
          <w:u w:val="single" w:color="auto"/>
          <w:color w:val="auto"/>
        </w:rPr>
        <w:t>(19)</w:t>
      </w:r>
      <w:r>
        <w:rPr>
          <w:rFonts w:ascii="Times New Roman" w:cs="Times New Roman" w:eastAsia="Times New Roman" w:hAnsi="Times New Roman"/>
          <w:sz w:val="20"/>
          <w:szCs w:val="20"/>
          <w:color w:val="auto"/>
        </w:rPr>
        <w:t xml:space="preserve"> but shall be deemed incurred for the purposes 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xml:space="preserve"> from and after the first date on which the Company or such Restricted Subsidiary could have incurred such Indebtedness 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xml:space="preserve"> without reliance upon this clause </w:t>
      </w:r>
      <w:r>
        <w:rPr>
          <w:rFonts w:ascii="Times New Roman" w:cs="Times New Roman" w:eastAsia="Times New Roman" w:hAnsi="Times New Roman"/>
          <w:sz w:val="20"/>
          <w:szCs w:val="20"/>
          <w:u w:val="single" w:color="auto"/>
          <w:color w:val="auto"/>
        </w:rPr>
        <w:t>(19)</w:t>
      </w:r>
      <w:r>
        <w:rPr>
          <w:rFonts w:ascii="Times New Roman" w:cs="Times New Roman" w:eastAsia="Times New Roman" w:hAnsi="Times New Roman"/>
          <w:sz w:val="20"/>
          <w:szCs w:val="20"/>
          <w:color w:val="auto"/>
        </w:rPr>
        <w:t>);</w:t>
      </w:r>
    </w:p>
    <w:p>
      <w:pPr>
        <w:spacing w:after="0" w:line="141" w:lineRule="exact"/>
        <w:rPr>
          <w:rFonts w:ascii="Times New Roman" w:cs="Times New Roman" w:eastAsia="Times New Roman" w:hAnsi="Times New Roman"/>
          <w:sz w:val="20"/>
          <w:szCs w:val="20"/>
          <w:color w:val="auto"/>
        </w:rPr>
      </w:pPr>
    </w:p>
    <w:p>
      <w:pPr>
        <w:ind w:left="1220" w:firstLine="652"/>
        <w:spacing w:after="0" w:line="269" w:lineRule="auto"/>
        <w:tabs>
          <w:tab w:leader="none" w:pos="250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Company or any of its Restricted Subsidiaries to the extent the proceeds of such Indebtedness are deposited and used to defease or satisfy and discharge all of the Notes then outstanding;</w:t>
      </w:r>
    </w:p>
    <w:p>
      <w:pPr>
        <w:spacing w:after="0" w:line="118" w:lineRule="exact"/>
        <w:rPr>
          <w:rFonts w:ascii="Times New Roman" w:cs="Times New Roman" w:eastAsia="Times New Roman" w:hAnsi="Times New Roman"/>
          <w:sz w:val="20"/>
          <w:szCs w:val="20"/>
          <w:color w:val="auto"/>
        </w:rPr>
      </w:pPr>
    </w:p>
    <w:p>
      <w:pPr>
        <w:ind w:left="1220" w:firstLine="652"/>
        <w:spacing w:after="0" w:line="283" w:lineRule="auto"/>
        <w:tabs>
          <w:tab w:leader="none" w:pos="250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to employees of the Company and its Restricted Subsidiaries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bl>
    <w:p>
      <w:pPr>
        <w:sectPr>
          <w:pgSz w:w="11900" w:h="16838" w:orient="portrait"/>
          <w:cols w:equalWidth="0" w:num="1">
            <w:col w:w="11160"/>
          </w:cols>
          <w:pgMar w:left="400" w:top="1440" w:right="339" w:bottom="1440" w:gutter="0" w:footer="0" w:header="0"/>
        </w:sectPr>
      </w:pPr>
    </w:p>
    <w:bookmarkStart w:id="82" w:name="page83"/>
    <w:bookmarkEnd w:id="82"/>
    <w:p>
      <w:pPr>
        <w:spacing w:after="0" w:line="135" w:lineRule="exact"/>
        <w:rPr>
          <w:sz w:val="20"/>
          <w:szCs w:val="20"/>
          <w:color w:val="auto"/>
        </w:rPr>
      </w:pPr>
    </w:p>
    <w:p>
      <w:pPr>
        <w:ind w:left="1300" w:firstLine="652"/>
        <w:spacing w:after="0" w:line="283" w:lineRule="auto"/>
        <w:tabs>
          <w:tab w:leader="none" w:pos="258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the Company and its Restricted Subsidiaries in respect of netting services, overdraft protections and similar arrangements, in each case, in connection with deposit accounts; and</w:t>
      </w:r>
    </w:p>
    <w:p>
      <w:pPr>
        <w:spacing w:after="0" w:line="92"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in respect of credit card programs.</w:t>
      </w:r>
    </w:p>
    <w:p>
      <w:pPr>
        <w:spacing w:after="0" w:line="17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highlight w:val="white"/>
        </w:rPr>
        <w:t>, in the event that an item of Indebtedness meets the criteria of more</w:t>
      </w:r>
      <w:r>
        <w:rPr>
          <w:rFonts w:ascii="Times New Roman" w:cs="Times New Roman" w:eastAsia="Times New Roman" w:hAnsi="Times New Roman"/>
          <w:sz w:val="20"/>
          <w:szCs w:val="20"/>
          <w:color w:val="auto"/>
        </w:rPr>
        <w:t xml:space="preserve"> than one of the categories of Permitted Debt described in clauses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(23)</w:t>
      </w:r>
      <w:r>
        <w:rPr>
          <w:rFonts w:ascii="Times New Roman" w:cs="Times New Roman" w:eastAsia="Times New Roman" w:hAnsi="Times New Roman"/>
          <w:sz w:val="20"/>
          <w:szCs w:val="20"/>
          <w:color w:val="auto"/>
        </w:rPr>
        <w:t xml:space="preserve"> above, or is entitled to be incurred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4.09(a)</w:t>
      </w:r>
      <w:r>
        <w:rPr>
          <w:rFonts w:ascii="Times New Roman" w:cs="Times New Roman" w:eastAsia="Times New Roman" w:hAnsi="Times New Roman"/>
          <w:sz w:val="20"/>
          <w:szCs w:val="20"/>
          <w:color w:val="auto"/>
        </w:rPr>
        <w:t xml:space="preserve"> hereof, the Company will be permitted to divide and classify such item of Indebtedness in more than one of such categories on the date of its incurrence, or later reclassify all or a portion of such item of Indebtedness, in any manner that complies with this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The accrual of interest or preferred stock dividends,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preferred stock or Disqualified Stock in the form of additional shares of the same class of preferred stock or Disqualified Stock will not be deemed to be an incurrence of Indebtedness or an issuance of preferred stock or Disqualified Stock for purposes of this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each such case, that the amount thereof is included in Fixed Charges of the Company as accrued. For purposes of determining compliance with any U.S. dollar-denominated restriction on the incurrence of Indebtedness, the U.S. dollar-equivalent principal amount of Indebtedness denominated in a foreign currency shall be utilized, calculated based on the relevant currency exchange rate in effect on the date such Indebtedness was incurred (or, in the case of revolving Indebtedness incurred pursuant to this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on the date such Indebtedness was first committed);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Notwithstanding any other provision of this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the maximum amount of Indebtedness that the Company or any Restricted Subsidiary may incur pursuant to this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shall not be deemed to be exceeded solely as a result of fluctuations in exchange rates or currency values.</w:t>
      </w:r>
    </w:p>
    <w:p>
      <w:pPr>
        <w:spacing w:after="0" w:line="1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In connection with the incurrence of (x) revolving loan Indebtedness under this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or (y) any commitment relating to the incurrence of Indebtedness under this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and the granting of any Lien to secure such Indebtedness, the Company or the applicable Restricted Subsidiary may designate such incurrence and the granting of any Lien thereof as having occurred on the date of first incurrence of such revolving loan Indebtedness or commitment (such date, the “</w:t>
      </w:r>
      <w:r>
        <w:rPr>
          <w:rFonts w:ascii="Times New Roman" w:cs="Times New Roman" w:eastAsia="Times New Roman" w:hAnsi="Times New Roman"/>
          <w:sz w:val="20"/>
          <w:szCs w:val="20"/>
          <w:u w:val="single" w:color="auto"/>
          <w:color w:val="auto"/>
        </w:rPr>
        <w:t>Deemed Date</w:t>
      </w:r>
      <w:r>
        <w:rPr>
          <w:rFonts w:ascii="Times New Roman" w:cs="Times New Roman" w:eastAsia="Times New Roman" w:hAnsi="Times New Roman"/>
          <w:sz w:val="20"/>
          <w:szCs w:val="20"/>
          <w:color w:val="auto"/>
        </w:rPr>
        <w:t>”), and any related subsequent actual incurrence and granting of such Lien therefor will be deemed for all purposes under this Indenture to have been incurred and granted on such Deemed Date, including, without limitation, for purposes of calculating the Fixed Charge Coverage Ratio, usage of any baskets hereunder (if applicable) and Consolidated EBITDA (and all such calculations on and after the Deemed Date until the termination or funding of such commitment shall be made on a pro forma basis giving effect to the deemed incurrence, the granting of any Lien therefor and related transactions in connection therewith).</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amount of any Indebtedness outstanding as of any date will be:</w:t>
      </w:r>
    </w:p>
    <w:p>
      <w:pPr>
        <w:spacing w:after="0" w:line="175" w:lineRule="exact"/>
        <w:rPr>
          <w:sz w:val="20"/>
          <w:szCs w:val="20"/>
          <w:color w:val="auto"/>
        </w:rPr>
      </w:pPr>
    </w:p>
    <w:p>
      <w:pPr>
        <w:ind w:left="2580" w:hanging="628"/>
        <w:spacing w:after="0"/>
        <w:tabs>
          <w:tab w:leader="none" w:pos="25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accreted value of the Indebtedness, in the case of any Indebtedness issued with original issue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bl>
    <w:p>
      <w:pPr>
        <w:sectPr>
          <w:pgSz w:w="11900" w:h="16838" w:orient="portrait"/>
          <w:cols w:equalWidth="0" w:num="1">
            <w:col w:w="11240"/>
          </w:cols>
          <w:pgMar w:left="320" w:top="1440" w:right="339" w:bottom="1440" w:gutter="0" w:footer="0" w:header="0"/>
        </w:sectPr>
      </w:pPr>
    </w:p>
    <w:bookmarkStart w:id="83" w:name="page84"/>
    <w:bookmarkEnd w:id="83"/>
    <w:p>
      <w:pPr>
        <w:spacing w:after="0" w:line="135" w:lineRule="exact"/>
        <w:rPr>
          <w:sz w:val="20"/>
          <w:szCs w:val="20"/>
          <w:color w:val="auto"/>
        </w:rPr>
      </w:pPr>
    </w:p>
    <w:p>
      <w:pPr>
        <w:ind w:left="2500" w:hanging="628"/>
        <w:spacing w:after="0"/>
        <w:tabs>
          <w:tab w:leader="none" w:pos="25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the Indebtedness, in the case of any other Indebtedness; and</w:t>
      </w:r>
    </w:p>
    <w:p>
      <w:pPr>
        <w:spacing w:after="0" w:line="175" w:lineRule="exact"/>
        <w:rPr>
          <w:rFonts w:ascii="Times New Roman" w:cs="Times New Roman" w:eastAsia="Times New Roman" w:hAnsi="Times New Roman"/>
          <w:sz w:val="20"/>
          <w:szCs w:val="20"/>
          <w:color w:val="auto"/>
        </w:rPr>
      </w:pPr>
    </w:p>
    <w:p>
      <w:pPr>
        <w:ind w:left="2500" w:hanging="628"/>
        <w:spacing w:after="0"/>
        <w:tabs>
          <w:tab w:leader="none" w:pos="25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Indebtedness of another Person secured by a Lien on the assets of the specified Person, the</w:t>
      </w:r>
    </w:p>
    <w:p>
      <w:pPr>
        <w:spacing w:after="0" w:line="21" w:lineRule="exact"/>
        <w:rPr>
          <w:rFonts w:ascii="Times New Roman" w:cs="Times New Roman" w:eastAsia="Times New Roman" w:hAnsi="Times New Roman"/>
          <w:sz w:val="20"/>
          <w:szCs w:val="20"/>
          <w:color w:val="auto"/>
        </w:rPr>
      </w:pPr>
    </w:p>
    <w:p>
      <w:pPr>
        <w:ind w:left="12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lesser of:</w:t>
      </w:r>
    </w:p>
    <w:p>
      <w:pPr>
        <w:spacing w:after="0" w:line="153" w:lineRule="exact"/>
        <w:rPr>
          <w:rFonts w:ascii="Times New Roman" w:cs="Times New Roman" w:eastAsia="Times New Roman" w:hAnsi="Times New Roman"/>
          <w:sz w:val="20"/>
          <w:szCs w:val="20"/>
          <w:color w:val="auto"/>
        </w:rPr>
      </w:pPr>
    </w:p>
    <w:p>
      <w:pPr>
        <w:ind w:left="3160" w:hanging="640"/>
        <w:spacing w:after="0"/>
        <w:tabs>
          <w:tab w:leader="none" w:pos="316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of such assets at the date of determination; and</w:t>
      </w:r>
    </w:p>
    <w:p>
      <w:pPr>
        <w:spacing w:after="0" w:line="161" w:lineRule="exact"/>
        <w:rPr>
          <w:rFonts w:ascii="Times New Roman" w:cs="Times New Roman" w:eastAsia="Times New Roman" w:hAnsi="Times New Roman"/>
          <w:sz w:val="20"/>
          <w:szCs w:val="20"/>
          <w:color w:val="auto"/>
        </w:rPr>
      </w:pPr>
    </w:p>
    <w:p>
      <w:pPr>
        <w:ind w:left="3160" w:hanging="640"/>
        <w:spacing w:after="0"/>
        <w:tabs>
          <w:tab w:leader="none" w:pos="316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Indebtedness of the other Person.</w:t>
      </w:r>
    </w:p>
    <w:p>
      <w:pPr>
        <w:spacing w:after="0" w:line="171" w:lineRule="exact"/>
        <w:rPr>
          <w:sz w:val="20"/>
          <w:szCs w:val="20"/>
          <w:color w:val="auto"/>
        </w:rPr>
      </w:pPr>
    </w:p>
    <w:p>
      <w:pPr>
        <w:ind w:left="580"/>
        <w:spacing w:after="0"/>
        <w:tabs>
          <w:tab w:leader="none" w:pos="1860" w:val="left"/>
        </w:tabs>
        <w:rPr>
          <w:sz w:val="20"/>
          <w:szCs w:val="20"/>
          <w:color w:val="auto"/>
        </w:rPr>
      </w:pPr>
      <w:r>
        <w:rPr>
          <w:rFonts w:ascii="Times New Roman" w:cs="Times New Roman" w:eastAsia="Times New Roman" w:hAnsi="Times New Roman"/>
          <w:sz w:val="20"/>
          <w:szCs w:val="20"/>
          <w:b w:val="1"/>
          <w:bCs w:val="1"/>
          <w:color w:val="auto"/>
        </w:rPr>
        <w:t>Section 4.10</w:t>
      </w:r>
      <w:r>
        <w:rPr>
          <w:sz w:val="20"/>
          <w:szCs w:val="20"/>
          <w:color w:val="auto"/>
        </w:rPr>
        <w:tab/>
      </w:r>
      <w:r>
        <w:rPr>
          <w:rFonts w:ascii="Times New Roman" w:cs="Times New Roman" w:eastAsia="Times New Roman" w:hAnsi="Times New Roman"/>
          <w:sz w:val="19"/>
          <w:szCs w:val="19"/>
          <w:b w:val="1"/>
          <w:bCs w:val="1"/>
          <w:u w:val="single" w:color="auto"/>
          <w:color w:val="auto"/>
        </w:rPr>
        <w:t>Asset Sales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left="1860" w:hanging="555"/>
        <w:spacing w:after="0"/>
        <w:tabs>
          <w:tab w:leader="none" w:pos="186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and will not permit any of its Restricted Subsidiaries to, consummate an Asset Sale unless:</w:t>
      </w:r>
    </w:p>
    <w:p>
      <w:pPr>
        <w:spacing w:after="0" w:line="161" w:lineRule="exact"/>
        <w:rPr>
          <w:rFonts w:ascii="Times New Roman" w:cs="Times New Roman" w:eastAsia="Times New Roman" w:hAnsi="Times New Roman"/>
          <w:sz w:val="20"/>
          <w:szCs w:val="20"/>
          <w:color w:val="auto"/>
        </w:rPr>
      </w:pPr>
    </w:p>
    <w:p>
      <w:pPr>
        <w:jc w:val="both"/>
        <w:ind w:left="1220" w:firstLine="652"/>
        <w:spacing w:after="0" w:line="258" w:lineRule="auto"/>
        <w:tabs>
          <w:tab w:leader="none" w:pos="250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any of its Restricted Subsidiaries receives consideration (including by way of relief from, or by any Person assuming responsibility for, any liability, contingent or otherwise, in connection with such Asset Sale) at the time of the Asset Sale at least equal to the Fair Market Value (measured as of the date of the definitive agreement with respect to such Asset Sale) of the assets or Equity Interests issued or sold or otherwise disposed of; and</w:t>
      </w:r>
    </w:p>
    <w:p>
      <w:pPr>
        <w:spacing w:after="0" w:line="131" w:lineRule="exact"/>
        <w:rPr>
          <w:rFonts w:ascii="Times New Roman" w:cs="Times New Roman" w:eastAsia="Times New Roman" w:hAnsi="Times New Roman"/>
          <w:sz w:val="20"/>
          <w:szCs w:val="20"/>
          <w:color w:val="auto"/>
        </w:rPr>
      </w:pPr>
    </w:p>
    <w:p>
      <w:pPr>
        <w:ind w:left="1220" w:firstLine="652"/>
        <w:spacing w:after="0" w:line="269" w:lineRule="auto"/>
        <w:tabs>
          <w:tab w:leader="none" w:pos="250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75% of the consideration received in the Asset Sale by the Company or such Restricted Subsidiary is in the form of cash or Cash Equivalents. For purposes of this provision, each of the following will be deemed to be cash:</w:t>
      </w:r>
    </w:p>
    <w:p>
      <w:pPr>
        <w:spacing w:after="0" w:line="118" w:lineRule="exact"/>
        <w:rPr>
          <w:rFonts w:ascii="Times New Roman" w:cs="Times New Roman" w:eastAsia="Times New Roman" w:hAnsi="Times New Roman"/>
          <w:sz w:val="20"/>
          <w:szCs w:val="20"/>
          <w:color w:val="auto"/>
        </w:rPr>
      </w:pPr>
    </w:p>
    <w:p>
      <w:pPr>
        <w:jc w:val="both"/>
        <w:ind w:left="1220" w:firstLine="1300"/>
        <w:spacing w:after="0" w:line="258" w:lineRule="auto"/>
        <w:tabs>
          <w:tab w:leader="none" w:pos="3155"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liabilities of the Company or any Restricted Subsidiary (other than contingent liabilities and liabilities that are by their terms subordinated to the Notes or any Note Guarantee) that are assumed by the transferee of any such assets pursuant to a customary novation or indemnity agreement that releases the Company or such Restricted Subsidiary from or indemnifies against further liability with respect to such liabilities;</w:t>
      </w:r>
    </w:p>
    <w:p>
      <w:pPr>
        <w:spacing w:after="0" w:line="118" w:lineRule="exact"/>
        <w:rPr>
          <w:rFonts w:ascii="Times New Roman" w:cs="Times New Roman" w:eastAsia="Times New Roman" w:hAnsi="Times New Roman"/>
          <w:sz w:val="20"/>
          <w:szCs w:val="20"/>
          <w:color w:val="auto"/>
        </w:rPr>
      </w:pPr>
    </w:p>
    <w:p>
      <w:pPr>
        <w:jc w:val="both"/>
        <w:ind w:left="1220" w:firstLine="1300"/>
        <w:spacing w:after="0" w:line="258" w:lineRule="auto"/>
        <w:tabs>
          <w:tab w:leader="none" w:pos="3158"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securities, notes or other obligations received by the Company or any such Restricted Subsidiary from such transferee that are within 180 days of such Asset Sale, subject to ordinary settlement periods, converted by the Company or such Restricted Subsidiary into cash or Cash Equivalents, to the extent of the cash or Cash Equivalents received in that conversion;</w:t>
      </w:r>
    </w:p>
    <w:p>
      <w:pPr>
        <w:spacing w:after="0" w:line="118" w:lineRule="exact"/>
        <w:rPr>
          <w:rFonts w:ascii="Times New Roman" w:cs="Times New Roman" w:eastAsia="Times New Roman" w:hAnsi="Times New Roman"/>
          <w:sz w:val="20"/>
          <w:szCs w:val="20"/>
          <w:color w:val="auto"/>
        </w:rPr>
      </w:pPr>
    </w:p>
    <w:p>
      <w:pPr>
        <w:ind w:left="1220" w:firstLine="1300"/>
        <w:spacing w:after="0" w:line="283" w:lineRule="auto"/>
        <w:tabs>
          <w:tab w:leader="none" w:pos="3158"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stock or assets of the kind referred to in clauses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of paragraph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subject to the conditions stated therein;</w:t>
      </w:r>
    </w:p>
    <w:p>
      <w:pPr>
        <w:spacing w:after="0" w:line="105" w:lineRule="exact"/>
        <w:rPr>
          <w:rFonts w:ascii="Times New Roman" w:cs="Times New Roman" w:eastAsia="Times New Roman" w:hAnsi="Times New Roman"/>
          <w:sz w:val="20"/>
          <w:szCs w:val="20"/>
          <w:color w:val="auto"/>
        </w:rPr>
      </w:pPr>
    </w:p>
    <w:p>
      <w:pPr>
        <w:jc w:val="both"/>
        <w:ind w:left="1220" w:firstLine="1300"/>
        <w:spacing w:after="0" w:line="254" w:lineRule="auto"/>
        <w:tabs>
          <w:tab w:leader="none" w:pos="3155"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Restricted Subsidiary (other than subordinated Indebtedness or intercompany obligations) that is no longer a Restricted Subsidiary as a result of such Asset Sale, to the extent that the Company and each Restricted Subsidiary are released from any guarantee of payment of such Indebtedness in connection with the Asset Sale; and</w:t>
      </w:r>
    </w:p>
    <w:p>
      <w:pPr>
        <w:spacing w:after="0" w:line="133" w:lineRule="exact"/>
        <w:rPr>
          <w:rFonts w:ascii="Times New Roman" w:cs="Times New Roman" w:eastAsia="Times New Roman" w:hAnsi="Times New Roman"/>
          <w:sz w:val="20"/>
          <w:szCs w:val="20"/>
          <w:color w:val="auto"/>
        </w:rPr>
      </w:pPr>
    </w:p>
    <w:p>
      <w:pPr>
        <w:jc w:val="both"/>
        <w:ind w:left="1220" w:firstLine="1300"/>
        <w:spacing w:after="0" w:line="261" w:lineRule="auto"/>
        <w:tabs>
          <w:tab w:leader="none" w:pos="3160"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Designated Noncash Consideration received by the Company or such Restricted Subsidiary in such Asset Sale having an aggregate Fair Market Value, taken together with all other Designated Noncash Consideration received pursuant to this clause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that has not previously been converted to cash not to exceed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bl>
    <w:p>
      <w:pPr>
        <w:sectPr>
          <w:pgSz w:w="11900" w:h="16838" w:orient="portrait"/>
          <w:cols w:equalWidth="0" w:num="1">
            <w:col w:w="11160"/>
          </w:cols>
          <w:pgMar w:left="400" w:top="1440" w:right="339" w:bottom="1440" w:gutter="0" w:footer="0" w:header="0"/>
        </w:sectPr>
      </w:pPr>
    </w:p>
    <w:bookmarkStart w:id="84" w:name="page85"/>
    <w:bookmarkEnd w:id="84"/>
    <w:p>
      <w:pPr>
        <w:spacing w:after="0" w:line="135" w:lineRule="exact"/>
        <w:rPr>
          <w:sz w:val="20"/>
          <w:szCs w:val="20"/>
          <w:color w:val="auto"/>
        </w:rPr>
      </w:pPr>
    </w:p>
    <w:p>
      <w:pPr>
        <w:jc w:val="both"/>
        <w:ind w:left="1220"/>
        <w:spacing w:after="0" w:line="261" w:lineRule="auto"/>
        <w:rPr>
          <w:sz w:val="20"/>
          <w:szCs w:val="20"/>
          <w:color w:val="auto"/>
        </w:rPr>
      </w:pPr>
      <w:r>
        <w:rPr>
          <w:rFonts w:ascii="Times New Roman" w:cs="Times New Roman" w:eastAsia="Times New Roman" w:hAnsi="Times New Roman"/>
          <w:sz w:val="20"/>
          <w:szCs w:val="20"/>
          <w:color w:val="auto"/>
        </w:rPr>
        <w:t>the greater of $50.0 million or 3.00% of Consolidated Total Assets at the time of receipt of such Designated Noncash Consideration, with the Fair Market Value of each item of Designated Noncash Consideration being measured at the time received and without giving effect to subsequent changes in value.</w:t>
      </w:r>
    </w:p>
    <w:p>
      <w:pPr>
        <w:spacing w:after="0" w:line="127" w:lineRule="exact"/>
        <w:rPr>
          <w:sz w:val="20"/>
          <w:szCs w:val="20"/>
          <w:color w:val="auto"/>
        </w:rPr>
      </w:pPr>
    </w:p>
    <w:p>
      <w:pPr>
        <w:jc w:val="both"/>
        <w:ind w:left="-80" w:firstLine="1466"/>
        <w:spacing w:after="0" w:line="258" w:lineRule="auto"/>
        <w:tabs>
          <w:tab w:leader="none" w:pos="185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365 days after the receipt of any Net Proceeds from an Asset Sale (a binding commitment entered into within such 365 day period shall be treated as a permitted application of the Net Proceeds so long as such Net Proceeds shall be applied to satisfy such commitment within 180 days of the date of such commitment), the Company or one or more Restricted Subsidiaries may apply an amount equal to the amount of such Net Proceeds:</w:t>
      </w:r>
    </w:p>
    <w:p>
      <w:pPr>
        <w:spacing w:after="0" w:line="118" w:lineRule="exact"/>
        <w:rPr>
          <w:rFonts w:ascii="Times New Roman" w:cs="Times New Roman" w:eastAsia="Times New Roman" w:hAnsi="Times New Roman"/>
          <w:sz w:val="20"/>
          <w:szCs w:val="20"/>
          <w:color w:val="auto"/>
        </w:rPr>
      </w:pPr>
    </w:p>
    <w:p>
      <w:pPr>
        <w:jc w:val="both"/>
        <w:ind w:left="1220" w:firstLine="652"/>
        <w:spacing w:after="0" w:line="250" w:lineRule="auto"/>
        <w:tabs>
          <w:tab w:leader="none" w:pos="250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repay and permanently reduce (a) secured Indebtedness and other Obligations under a Credit Facility (and, to the extent such Indebtedness or other Obligations are revolving in nature, to correspondingly permanently reduce commitments with respect thereto); or (b) other Indebtedness (other than Indebtedness contractually subordinated in right of payment to the Notes or to any Note Guarantee) of the Company or any Restricted Subsidiary thereof (and, to the extent such Indebtedness or other Obligations are revolving in nature, to correspondingly permanently reduce commitments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this subclause (b) of clause (1), if the Company or any Restricted Subsidiary shall so repay or reduce any unsecured Indebtedness other than the Notes, the Company or such Restricted Subsidiary will either (A) reduce Obligations under the Notes on a pro rata basis with such other unsecured Indebtedness by, at its option, (x) redeeming Notes pursuant to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hereof or (y) purchasing Notes through open-market purchases or in privately negotiated transactions at market prices, or (B) make an offer (in accordance with the procedures set forth herein for an Asset Sale Offer) to all Holders to purchase their Notes on a ratable basis with such other unsecured Indebtedness for no less than 100% of the principal amount thereof, plus the amount of accrued but unpaid interest, if any, thereon up to the principal amount of Notes to be repurchased;</w:t>
      </w:r>
    </w:p>
    <w:p>
      <w:pPr>
        <w:spacing w:after="0" w:line="139" w:lineRule="exact"/>
        <w:rPr>
          <w:rFonts w:ascii="Times New Roman" w:cs="Times New Roman" w:eastAsia="Times New Roman" w:hAnsi="Times New Roman"/>
          <w:sz w:val="20"/>
          <w:szCs w:val="20"/>
          <w:color w:val="auto"/>
        </w:rPr>
      </w:pPr>
    </w:p>
    <w:p>
      <w:pPr>
        <w:jc w:val="both"/>
        <w:ind w:left="1220" w:firstLine="652"/>
        <w:spacing w:after="0" w:line="261" w:lineRule="auto"/>
        <w:tabs>
          <w:tab w:leader="none" w:pos="250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acquire all or substantially all of the assets of, or any Capital Stock of, one or more other Persons primarily engaged in a Permitted Business, if, after giving effect to any such acquisition of Capital Stock, such Person is or becomes, or the assets are owned by, a Restricted Subsidiary of the Company;</w:t>
      </w:r>
    </w:p>
    <w:p>
      <w:pPr>
        <w:spacing w:after="0" w:line="127" w:lineRule="exact"/>
        <w:rPr>
          <w:rFonts w:ascii="Times New Roman" w:cs="Times New Roman" w:eastAsia="Times New Roman" w:hAnsi="Times New Roman"/>
          <w:sz w:val="20"/>
          <w:szCs w:val="20"/>
          <w:color w:val="auto"/>
        </w:rPr>
      </w:pPr>
    </w:p>
    <w:p>
      <w:pPr>
        <w:ind w:left="2500" w:hanging="628"/>
        <w:spacing w:after="0"/>
        <w:tabs>
          <w:tab w:leader="none" w:pos="250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one or more capital expenditures;</w:t>
      </w:r>
    </w:p>
    <w:p>
      <w:pPr>
        <w:spacing w:after="0" w:line="161" w:lineRule="exact"/>
        <w:rPr>
          <w:rFonts w:ascii="Times New Roman" w:cs="Times New Roman" w:eastAsia="Times New Roman" w:hAnsi="Times New Roman"/>
          <w:sz w:val="20"/>
          <w:szCs w:val="20"/>
          <w:color w:val="auto"/>
        </w:rPr>
      </w:pPr>
    </w:p>
    <w:p>
      <w:pPr>
        <w:ind w:left="1220" w:right="20" w:firstLine="652"/>
        <w:spacing w:after="0" w:line="283" w:lineRule="auto"/>
        <w:tabs>
          <w:tab w:leader="none" w:pos="250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acquire other assets that are not classified as current assets under GAAP and that are used or useful in a Permitted Business or replace the assets subject to this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w:t>
      </w:r>
    </w:p>
    <w:p>
      <w:pPr>
        <w:spacing w:after="0" w:line="92" w:lineRule="exact"/>
        <w:rPr>
          <w:rFonts w:ascii="Times New Roman" w:cs="Times New Roman" w:eastAsia="Times New Roman" w:hAnsi="Times New Roman"/>
          <w:sz w:val="20"/>
          <w:szCs w:val="20"/>
          <w:color w:val="auto"/>
        </w:rPr>
      </w:pPr>
    </w:p>
    <w:p>
      <w:pPr>
        <w:jc w:val="both"/>
        <w:ind w:left="1220" w:firstLine="652"/>
        <w:spacing w:after="0" w:line="258" w:lineRule="auto"/>
        <w:tabs>
          <w:tab w:leader="none" w:pos="250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Asset Sales of assets of a Restricted Subsidiary that is not a Guarantor or the issuer of the Notes, to permanently reduce Indebtedness of a Restricted Subsidiary that is not a Guarantor or the issuer of the Notes (and to correspondingly reduce commitments with respect thereto), other than Indebtedness owed to the Company or a Subsidiary of the Company; or</w:t>
      </w:r>
    </w:p>
    <w:p>
      <w:pPr>
        <w:spacing w:after="0" w:line="131" w:lineRule="exact"/>
        <w:rPr>
          <w:rFonts w:ascii="Times New Roman" w:cs="Times New Roman" w:eastAsia="Times New Roman" w:hAnsi="Times New Roman"/>
          <w:sz w:val="20"/>
          <w:szCs w:val="20"/>
          <w:color w:val="auto"/>
        </w:rPr>
      </w:pPr>
    </w:p>
    <w:p>
      <w:pPr>
        <w:ind w:left="2500" w:hanging="628"/>
        <w:spacing w:after="0"/>
        <w:tabs>
          <w:tab w:leader="none" w:pos="250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combination of repayment and investment permitted by the foregoing clauses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bl>
    <w:p>
      <w:pPr>
        <w:sectPr>
          <w:pgSz w:w="11900" w:h="16838" w:orient="portrait"/>
          <w:cols w:equalWidth="0" w:num="1">
            <w:col w:w="11160"/>
          </w:cols>
          <w:pgMar w:left="400" w:top="1440" w:right="339" w:bottom="1440" w:gutter="0" w:footer="0" w:header="0"/>
        </w:sectPr>
      </w:pPr>
    </w:p>
    <w:bookmarkStart w:id="85" w:name="page86"/>
    <w:bookmarkEnd w:id="85"/>
    <w:p>
      <w:pPr>
        <w:spacing w:after="0" w:line="135" w:lineRule="exact"/>
        <w:rPr>
          <w:sz w:val="20"/>
          <w:szCs w:val="20"/>
          <w:color w:val="auto"/>
        </w:rPr>
      </w:pPr>
    </w:p>
    <w:p>
      <w:pPr>
        <w:ind w:left="-80" w:firstLine="899"/>
        <w:spacing w:after="0" w:line="283" w:lineRule="auto"/>
        <w:tabs>
          <w:tab w:leader="none" w:pos="1206"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the final application of any Net Proceeds, the Company or any of its Restricted Subsidiaries may temporarily reduce revolving credit borrowings or otherwise invest the Net Proceeds in any manner that is not prohibited by this Indenture.</w:t>
      </w:r>
    </w:p>
    <w:p>
      <w:pPr>
        <w:spacing w:after="0" w:line="92" w:lineRule="exact"/>
        <w:rPr>
          <w:rFonts w:ascii="Times New Roman" w:cs="Times New Roman" w:eastAsia="Times New Roman" w:hAnsi="Times New Roman"/>
          <w:sz w:val="20"/>
          <w:szCs w:val="20"/>
          <w:color w:val="auto"/>
        </w:rPr>
      </w:pPr>
    </w:p>
    <w:p>
      <w:pPr>
        <w:jc w:val="both"/>
        <w:ind w:left="-80" w:firstLine="899"/>
        <w:spacing w:after="0" w:line="250" w:lineRule="auto"/>
        <w:tabs>
          <w:tab w:leader="none" w:pos="120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Net Proceeds exceed the aggregate amount within the applicable time period, such excess amount that has not been applied or invested as provided in clause (b) of this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will constitute “</w:t>
      </w:r>
      <w:r>
        <w:rPr>
          <w:rFonts w:ascii="Times New Roman" w:cs="Times New Roman" w:eastAsia="Times New Roman" w:hAnsi="Times New Roman"/>
          <w:sz w:val="20"/>
          <w:szCs w:val="20"/>
          <w:u w:val="single" w:color="auto"/>
          <w:color w:val="auto"/>
        </w:rPr>
        <w:t>Excess Proceeds</w:t>
      </w:r>
      <w:r>
        <w:rPr>
          <w:rFonts w:ascii="Times New Roman" w:cs="Times New Roman" w:eastAsia="Times New Roman" w:hAnsi="Times New Roman"/>
          <w:sz w:val="20"/>
          <w:szCs w:val="20"/>
          <w:color w:val="auto"/>
        </w:rPr>
        <w:t xml:space="preserve">.” When the aggregate amount of Excess Proceeds exceeds $50.0 million, within thirty days thereof, the Company will make an Asset Sale Offer to all Holders of Notes and all holders of other Indebtedness that is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with the Notes containing provisions similar to those set forth in this Indenture with respect to offers to purchase, prepay or redeem with the proceeds of sales of assets to purchase, prepay or redeem the maximum principal amount of Notes and such other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Indebtedness (plus all accrued interest on the Indebtedness and the amount of all fees and expenses, including premiums, incurred in connection therewith) that may be purchased, prepaid or redeemed out of the Excess Proceeds. The offer price in any Asset Sale Offer will be equal to 100% of the principal amount, plus accrued and unpaid interest, if any, to, but not including, the date of purchase, prepayment or redemption, subject to the rights of Holders of Notes on the relevant record date to receive interest due on the relevant interest payment date, and will be payable in cash. If any Excess Proceeds remain after consummation of an Asset Sale Offer, the Company may use those Excess Proceeds for any purpose not otherwise prohibited by this Indenture. If the aggregate principal amount of Notes and other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Indebtedness tendered in (or required to be prepaid or redeemed in connection with) such Asset Sale Offer exceeds the amount of Excess Proceeds, the Trustee will, in accordance with the procedures of DTC, select the Notes and the representative of such other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Indebtedness will select such other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Indebtedness to be purchased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based on the amounts tendered or required to be prepaid or redeemed (with such adjustments as may be deemed appropriate by the Company so that only Notes in minimum denominations of $2,000, or an integral multiple of $1,000 in excess thereof, will be purchased). Upon completion of each Asset Sale Offer, the amount of Excess Proceeds will be reset at zero.</w:t>
      </w:r>
    </w:p>
    <w:p>
      <w:pPr>
        <w:spacing w:after="0" w:line="125" w:lineRule="exact"/>
        <w:rPr>
          <w:rFonts w:ascii="Times New Roman" w:cs="Times New Roman" w:eastAsia="Times New Roman" w:hAnsi="Times New Roman"/>
          <w:sz w:val="20"/>
          <w:szCs w:val="20"/>
          <w:color w:val="auto"/>
        </w:rPr>
      </w:pPr>
    </w:p>
    <w:p>
      <w:pPr>
        <w:jc w:val="both"/>
        <w:ind w:left="-80" w:firstLine="899"/>
        <w:spacing w:after="0" w:line="257" w:lineRule="auto"/>
        <w:tabs>
          <w:tab w:leader="none" w:pos="1206"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provisions of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 xml:space="preserve"> hereof or this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the Company will comply with the applicable securities laws and regulations and will not be deemed to have breached its obligations under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 xml:space="preserve"> hereof or this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by virtue of such compliance.</w:t>
      </w:r>
    </w:p>
    <w:p>
      <w:pPr>
        <w:spacing w:after="0" w:line="115" w:lineRule="exact"/>
        <w:rPr>
          <w:sz w:val="20"/>
          <w:szCs w:val="20"/>
          <w:color w:val="auto"/>
        </w:rPr>
      </w:pPr>
    </w:p>
    <w:p>
      <w:pPr>
        <w:ind w:left="580"/>
        <w:spacing w:after="0"/>
        <w:tabs>
          <w:tab w:leader="none" w:pos="1840" w:val="left"/>
        </w:tabs>
        <w:rPr>
          <w:sz w:val="20"/>
          <w:szCs w:val="20"/>
          <w:color w:val="auto"/>
        </w:rPr>
      </w:pPr>
      <w:r>
        <w:rPr>
          <w:rFonts w:ascii="Times New Roman" w:cs="Times New Roman" w:eastAsia="Times New Roman" w:hAnsi="Times New Roman"/>
          <w:sz w:val="20"/>
          <w:szCs w:val="20"/>
          <w:b w:val="1"/>
          <w:bCs w:val="1"/>
          <w:color w:val="auto"/>
        </w:rPr>
        <w:t>Section 4.11</w:t>
      </w:r>
      <w:r>
        <w:rPr>
          <w:sz w:val="20"/>
          <w:szCs w:val="20"/>
          <w:color w:val="auto"/>
        </w:rPr>
        <w:tab/>
      </w:r>
      <w:r>
        <w:rPr>
          <w:rFonts w:ascii="Times New Roman" w:cs="Times New Roman" w:eastAsia="Times New Roman" w:hAnsi="Times New Roman"/>
          <w:sz w:val="19"/>
          <w:szCs w:val="19"/>
          <w:b w:val="1"/>
          <w:bCs w:val="1"/>
          <w:u w:val="single" w:color="auto"/>
          <w:color w:val="auto"/>
        </w:rPr>
        <w:t>Transactions with Affiliates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left="-80" w:firstLine="1385"/>
        <w:spacing w:after="0" w:line="258" w:lineRule="auto"/>
        <w:tabs>
          <w:tab w:leader="none" w:pos="185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Company (each, an “</w:t>
      </w:r>
      <w:r>
        <w:rPr>
          <w:rFonts w:ascii="Times New Roman" w:cs="Times New Roman" w:eastAsia="Times New Roman" w:hAnsi="Times New Roman"/>
          <w:sz w:val="20"/>
          <w:szCs w:val="20"/>
          <w:u w:val="single" w:color="auto"/>
          <w:color w:val="auto"/>
        </w:rPr>
        <w:t>Affiliate Transaction</w:t>
      </w:r>
      <w:r>
        <w:rPr>
          <w:rFonts w:ascii="Times New Roman" w:cs="Times New Roman" w:eastAsia="Times New Roman" w:hAnsi="Times New Roman"/>
          <w:sz w:val="20"/>
          <w:szCs w:val="20"/>
          <w:color w:val="auto"/>
        </w:rPr>
        <w:t>”), unless:</w:t>
      </w:r>
    </w:p>
    <w:p>
      <w:pPr>
        <w:spacing w:after="0" w:line="118" w:lineRule="exact"/>
        <w:rPr>
          <w:rFonts w:ascii="Times New Roman" w:cs="Times New Roman" w:eastAsia="Times New Roman" w:hAnsi="Times New Roman"/>
          <w:sz w:val="20"/>
          <w:szCs w:val="20"/>
          <w:color w:val="auto"/>
        </w:rPr>
      </w:pPr>
    </w:p>
    <w:p>
      <w:pPr>
        <w:jc w:val="both"/>
        <w:ind w:left="1220" w:right="20" w:firstLine="652"/>
        <w:spacing w:after="0" w:line="258" w:lineRule="auto"/>
        <w:tabs>
          <w:tab w:leader="none" w:pos="2504"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Affiliate Transaction is on terms that, taken as a whole, are not materially less favorable to the Company or the relevant Restricted Subsidiary than those that would have been obtained in a comparable transaction by the Company or such Restricted Subsidiary with an unrelated Person or, if in the good faith judgment of the Company, no comparable transaction is available with which to compare such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bl>
    <w:p>
      <w:pPr>
        <w:sectPr>
          <w:pgSz w:w="11900" w:h="16838" w:orient="portrait"/>
          <w:cols w:equalWidth="0" w:num="1">
            <w:col w:w="11160"/>
          </w:cols>
          <w:pgMar w:left="400" w:top="1440" w:right="339" w:bottom="1440" w:gutter="0" w:footer="0" w:header="0"/>
        </w:sectPr>
      </w:pPr>
    </w:p>
    <w:bookmarkStart w:id="86" w:name="page87"/>
    <w:bookmarkEnd w:id="86"/>
    <w:p>
      <w:pPr>
        <w:spacing w:after="0" w:line="135" w:lineRule="exact"/>
        <w:rPr>
          <w:sz w:val="20"/>
          <w:szCs w:val="20"/>
          <w:color w:val="auto"/>
        </w:rPr>
      </w:pPr>
    </w:p>
    <w:p>
      <w:pPr>
        <w:ind w:left="1220"/>
        <w:spacing w:after="0" w:line="283" w:lineRule="auto"/>
        <w:rPr>
          <w:sz w:val="20"/>
          <w:szCs w:val="20"/>
          <w:color w:val="auto"/>
        </w:rPr>
      </w:pPr>
      <w:r>
        <w:rPr>
          <w:rFonts w:ascii="Times New Roman" w:cs="Times New Roman" w:eastAsia="Times New Roman" w:hAnsi="Times New Roman"/>
          <w:sz w:val="20"/>
          <w:szCs w:val="20"/>
          <w:color w:val="auto"/>
        </w:rPr>
        <w:t>Transaction, such Affiliate Transaction is otherwise fair to the Company or the relevant Restricted Subsidiary from a financial point of view; and</w:t>
      </w:r>
    </w:p>
    <w:p>
      <w:pPr>
        <w:spacing w:after="0" w:line="92" w:lineRule="exact"/>
        <w:rPr>
          <w:sz w:val="20"/>
          <w:szCs w:val="20"/>
          <w:color w:val="auto"/>
        </w:rPr>
      </w:pPr>
    </w:p>
    <w:p>
      <w:pPr>
        <w:jc w:val="both"/>
        <w:ind w:left="1220" w:firstLine="652"/>
        <w:spacing w:after="0" w:line="257" w:lineRule="auto"/>
        <w:tabs>
          <w:tab w:leader="none" w:pos="2504"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Affiliate Transaction or series of related Affiliate Transactions involving aggregate consideration in excess of $15.0 million, the Company delivers to the Trustee a resolution of the Board of Directors of the Company set forth in an Officers’ Certificate certifying that such Affiliate Transaction complies with clause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4.11(a)</w:t>
      </w:r>
      <w:r>
        <w:rPr>
          <w:rFonts w:ascii="Times New Roman" w:cs="Times New Roman" w:eastAsia="Times New Roman" w:hAnsi="Times New Roman"/>
          <w:sz w:val="20"/>
          <w:szCs w:val="20"/>
          <w:color w:val="auto"/>
        </w:rPr>
        <w:t xml:space="preserve"> and that such Affiliate Transaction has been approved by a majority of the Board of Directors of the Company.</w:t>
      </w:r>
    </w:p>
    <w:p>
      <w:pPr>
        <w:spacing w:after="0" w:line="118" w:lineRule="exact"/>
        <w:rPr>
          <w:rFonts w:ascii="Times New Roman" w:cs="Times New Roman" w:eastAsia="Times New Roman" w:hAnsi="Times New Roman"/>
          <w:sz w:val="20"/>
          <w:szCs w:val="20"/>
          <w:color w:val="auto"/>
        </w:rPr>
      </w:pPr>
    </w:p>
    <w:p>
      <w:pPr>
        <w:ind w:left="-80" w:right="20" w:firstLine="1385"/>
        <w:spacing w:after="0" w:line="283" w:lineRule="auto"/>
        <w:tabs>
          <w:tab w:leader="none" w:pos="185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following items will not be deemed to be Affiliate Transactions and, therefore, will not be subject to the provisions of </w:t>
      </w:r>
      <w:r>
        <w:rPr>
          <w:rFonts w:ascii="Times New Roman" w:cs="Times New Roman" w:eastAsia="Times New Roman" w:hAnsi="Times New Roman"/>
          <w:sz w:val="20"/>
          <w:szCs w:val="20"/>
          <w:u w:val="single" w:color="auto"/>
          <w:color w:val="auto"/>
        </w:rPr>
        <w:t>Section 4.11(a)</w:t>
      </w:r>
      <w:r>
        <w:rPr>
          <w:rFonts w:ascii="Times New Roman" w:cs="Times New Roman" w:eastAsia="Times New Roman" w:hAnsi="Times New Roman"/>
          <w:sz w:val="20"/>
          <w:szCs w:val="20"/>
          <w:color w:val="auto"/>
        </w:rPr>
        <w:t xml:space="preserve"> hereof:</w:t>
      </w:r>
    </w:p>
    <w:p>
      <w:pPr>
        <w:spacing w:after="0" w:line="92" w:lineRule="exact"/>
        <w:rPr>
          <w:rFonts w:ascii="Times New Roman" w:cs="Times New Roman" w:eastAsia="Times New Roman" w:hAnsi="Times New Roman"/>
          <w:sz w:val="20"/>
          <w:szCs w:val="20"/>
          <w:color w:val="auto"/>
        </w:rPr>
      </w:pPr>
    </w:p>
    <w:p>
      <w:pPr>
        <w:jc w:val="both"/>
        <w:ind w:left="1220" w:firstLine="652"/>
        <w:spacing w:after="0" w:line="257" w:lineRule="auto"/>
        <w:tabs>
          <w:tab w:leader="none" w:pos="2504"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employment agreement, severance agreement, collective bargaining agreement, consultant, employee benefit plans or arrangements with any employee, consultant, officer or director, including any stock option, stock appreciation rights, stock incentive or similar plans, director or officer indemnification agreements or any similar arrangements entered into by the Company or any of its Restricted Subsidiaries in the ordinary course of business and payments pursuant thereto;</w:t>
      </w:r>
    </w:p>
    <w:p>
      <w:pPr>
        <w:spacing w:after="0" w:line="118" w:lineRule="exact"/>
        <w:rPr>
          <w:rFonts w:ascii="Times New Roman" w:cs="Times New Roman" w:eastAsia="Times New Roman" w:hAnsi="Times New Roman"/>
          <w:sz w:val="20"/>
          <w:szCs w:val="20"/>
          <w:color w:val="auto"/>
        </w:rPr>
      </w:pPr>
    </w:p>
    <w:p>
      <w:pPr>
        <w:ind w:left="1220" w:firstLine="652"/>
        <w:spacing w:after="0" w:line="283" w:lineRule="auto"/>
        <w:tabs>
          <w:tab w:leader="none" w:pos="2504"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or among the Company and/or its Restricted Subsidiaries, including any entity that becomes a Restricted Subsidiary as a result of such transaction;</w:t>
      </w:r>
    </w:p>
    <w:p>
      <w:pPr>
        <w:spacing w:after="0" w:line="105" w:lineRule="exact"/>
        <w:rPr>
          <w:rFonts w:ascii="Times New Roman" w:cs="Times New Roman" w:eastAsia="Times New Roman" w:hAnsi="Times New Roman"/>
          <w:sz w:val="20"/>
          <w:szCs w:val="20"/>
          <w:color w:val="auto"/>
        </w:rPr>
      </w:pPr>
    </w:p>
    <w:p>
      <w:pPr>
        <w:jc w:val="both"/>
        <w:ind w:left="1220" w:firstLine="652"/>
        <w:spacing w:after="0" w:line="261" w:lineRule="auto"/>
        <w:tabs>
          <w:tab w:leader="none" w:pos="2504"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with a Person (other than an Unrestricted Subsidiary of the Company) that is an Affiliate of the Company solely as a result of a Permitted Investment permitted by clause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color w:val="auto"/>
        </w:rPr>
        <w:t xml:space="preserve"> of the definition thereof on terms at least as favorable as might reasonably have been obtained at such time from an unaffiliated Person;</w:t>
      </w:r>
    </w:p>
    <w:p>
      <w:pPr>
        <w:spacing w:after="0" w:line="113" w:lineRule="exact"/>
        <w:rPr>
          <w:rFonts w:ascii="Times New Roman" w:cs="Times New Roman" w:eastAsia="Times New Roman" w:hAnsi="Times New Roman"/>
          <w:sz w:val="20"/>
          <w:szCs w:val="20"/>
          <w:color w:val="auto"/>
        </w:rPr>
      </w:pPr>
    </w:p>
    <w:p>
      <w:pPr>
        <w:jc w:val="both"/>
        <w:ind w:left="1220" w:firstLine="652"/>
        <w:spacing w:after="0" w:line="261" w:lineRule="auto"/>
        <w:tabs>
          <w:tab w:leader="none" w:pos="2504"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reasonable and customary compensation, salaries, bonuses, fees, other employee benefits and indemnities and reimbursement of expenses (pursuant to indemnity arrangements or otherwise) of current or future officers, directors, managers, employees or consultants of the Company or any of its Restricted Subsidiaries;</w:t>
      </w:r>
    </w:p>
    <w:p>
      <w:pPr>
        <w:spacing w:after="0" w:line="127" w:lineRule="exact"/>
        <w:rPr>
          <w:rFonts w:ascii="Times New Roman" w:cs="Times New Roman" w:eastAsia="Times New Roman" w:hAnsi="Times New Roman"/>
          <w:sz w:val="20"/>
          <w:szCs w:val="20"/>
          <w:color w:val="auto"/>
        </w:rPr>
      </w:pPr>
    </w:p>
    <w:p>
      <w:pPr>
        <w:jc w:val="both"/>
        <w:ind w:left="1220" w:firstLine="652"/>
        <w:spacing w:after="0" w:line="258" w:lineRule="auto"/>
        <w:tabs>
          <w:tab w:leader="none" w:pos="2504"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between the Company or any Restricted Subsidiary and any Person that is an Affiliate of the Company or any Restricted Subsidiary solely because a director of such Person is also a director of the Company any Restricted Subsidiary or any direct or indirect parent entity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director abstains from voting as a director of the Company or such Restricted Subsidiary on any matter involving such other Person;</w:t>
      </w:r>
    </w:p>
    <w:p>
      <w:pPr>
        <w:spacing w:after="0" w:line="118" w:lineRule="exact"/>
        <w:rPr>
          <w:rFonts w:ascii="Times New Roman" w:cs="Times New Roman" w:eastAsia="Times New Roman" w:hAnsi="Times New Roman"/>
          <w:sz w:val="20"/>
          <w:szCs w:val="20"/>
          <w:color w:val="auto"/>
        </w:rPr>
      </w:pPr>
    </w:p>
    <w:p>
      <w:pPr>
        <w:ind w:left="1220" w:firstLine="652"/>
        <w:spacing w:after="0" w:line="283" w:lineRule="auto"/>
        <w:tabs>
          <w:tab w:leader="none" w:pos="2504"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of Equity Interests (other than Disqualified Stock) of the Company to any officer, director or employee of the Company or any of its Restricted Subsidiaries or any other Affiliates of the Company;</w:t>
      </w:r>
    </w:p>
    <w:p>
      <w:pPr>
        <w:spacing w:after="0" w:line="105" w:lineRule="exact"/>
        <w:rPr>
          <w:rFonts w:ascii="Times New Roman" w:cs="Times New Roman" w:eastAsia="Times New Roman" w:hAnsi="Times New Roman"/>
          <w:sz w:val="20"/>
          <w:szCs w:val="20"/>
          <w:color w:val="auto"/>
        </w:rPr>
      </w:pPr>
    </w:p>
    <w:p>
      <w:pPr>
        <w:ind w:left="2500" w:hanging="628"/>
        <w:spacing w:after="0"/>
        <w:tabs>
          <w:tab w:leader="none" w:pos="250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or Permitted Investments that do not violate </w:t>
      </w:r>
      <w:r>
        <w:rPr>
          <w:rFonts w:ascii="Times New Roman" w:cs="Times New Roman" w:eastAsia="Times New Roman" w:hAnsi="Times New Roman"/>
          <w:sz w:val="20"/>
          <w:szCs w:val="20"/>
          <w:u w:val="single" w:color="auto"/>
          <w:color w:val="auto"/>
        </w:rPr>
        <w:t>Section 4.07</w:t>
      </w:r>
      <w:r>
        <w:rPr>
          <w:rFonts w:ascii="Times New Roman" w:cs="Times New Roman" w:eastAsia="Times New Roman" w:hAnsi="Times New Roman"/>
          <w:sz w:val="20"/>
          <w:szCs w:val="20"/>
          <w:color w:val="auto"/>
        </w:rPr>
        <w:t xml:space="preserve"> hereof;</w:t>
      </w:r>
    </w:p>
    <w:p>
      <w:pPr>
        <w:spacing w:after="0" w:line="161" w:lineRule="exact"/>
        <w:rPr>
          <w:rFonts w:ascii="Times New Roman" w:cs="Times New Roman" w:eastAsia="Times New Roman" w:hAnsi="Times New Roman"/>
          <w:sz w:val="20"/>
          <w:szCs w:val="20"/>
          <w:color w:val="auto"/>
        </w:rPr>
      </w:pPr>
    </w:p>
    <w:p>
      <w:pPr>
        <w:jc w:val="both"/>
        <w:ind w:left="1220" w:firstLine="652"/>
        <w:spacing w:after="0" w:line="261" w:lineRule="auto"/>
        <w:tabs>
          <w:tab w:leader="none" w:pos="2504"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contracts or arrangements between the Company and/or its Subsidiaries and any of its Affiliates regarding coordination and/or joint defense of any litigation or any other action, suit, proceeding, claim or dispute before any courts, arbitrators or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bl>
    <w:p>
      <w:pPr>
        <w:sectPr>
          <w:pgSz w:w="11900" w:h="16838" w:orient="portrait"/>
          <w:cols w:equalWidth="0" w:num="1">
            <w:col w:w="11160"/>
          </w:cols>
          <w:pgMar w:left="400" w:top="1440" w:right="339" w:bottom="1440" w:gutter="0" w:footer="0" w:header="0"/>
        </w:sectPr>
      </w:pPr>
    </w:p>
    <w:bookmarkStart w:id="87" w:name="page88"/>
    <w:bookmarkEnd w:id="87"/>
    <w:p>
      <w:pPr>
        <w:spacing w:after="0" w:line="135" w:lineRule="exact"/>
        <w:rPr>
          <w:sz w:val="20"/>
          <w:szCs w:val="20"/>
          <w:color w:val="auto"/>
        </w:rPr>
      </w:pPr>
    </w:p>
    <w:p>
      <w:pPr>
        <w:ind w:left="1220" w:right="20" w:firstLine="652"/>
        <w:spacing w:after="0" w:line="283" w:lineRule="auto"/>
        <w:tabs>
          <w:tab w:leader="none" w:pos="250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contracts or arrangements to sell or buy advertising between the Company and/or its Subsidiaries and any of its Affiliates entered into in the ordinary course of business;</w:t>
      </w:r>
    </w:p>
    <w:p>
      <w:pPr>
        <w:spacing w:after="0" w:line="92" w:lineRule="exact"/>
        <w:rPr>
          <w:rFonts w:ascii="Times New Roman" w:cs="Times New Roman" w:eastAsia="Times New Roman" w:hAnsi="Times New Roman"/>
          <w:sz w:val="20"/>
          <w:szCs w:val="20"/>
          <w:color w:val="auto"/>
        </w:rPr>
      </w:pPr>
    </w:p>
    <w:p>
      <w:pPr>
        <w:ind w:left="1220" w:right="20" w:firstLine="652"/>
        <w:spacing w:after="0" w:line="310" w:lineRule="auto"/>
        <w:tabs>
          <w:tab w:leader="none" w:pos="2508"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to an Affiliate in respect of the Notes or any other Indebtedness of the Company or any Restricted Subsidiary on the same basis as concurrent payments made or offered to be made in respect thereof to non-Affiliates;</w:t>
      </w:r>
    </w:p>
    <w:p>
      <w:pPr>
        <w:spacing w:after="0" w:line="70" w:lineRule="exact"/>
        <w:rPr>
          <w:rFonts w:ascii="Times New Roman" w:cs="Times New Roman" w:eastAsia="Times New Roman" w:hAnsi="Times New Roman"/>
          <w:sz w:val="19"/>
          <w:szCs w:val="19"/>
          <w:color w:val="auto"/>
        </w:rPr>
      </w:pPr>
    </w:p>
    <w:p>
      <w:pPr>
        <w:ind w:left="1220" w:right="20" w:firstLine="652"/>
        <w:spacing w:after="0" w:line="283" w:lineRule="auto"/>
        <w:tabs>
          <w:tab w:leader="none" w:pos="2501"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consolidation or reorganization of the Company with an Affiliate thereof solely for the purpose of (A) forming or collapsing a holding company structure or (B) reincorporating the Company in a new jurisdiction;</w:t>
      </w:r>
    </w:p>
    <w:p>
      <w:pPr>
        <w:spacing w:after="0" w:line="105" w:lineRule="exact"/>
        <w:rPr>
          <w:rFonts w:ascii="Times New Roman" w:cs="Times New Roman" w:eastAsia="Times New Roman" w:hAnsi="Times New Roman"/>
          <w:sz w:val="20"/>
          <w:szCs w:val="20"/>
          <w:color w:val="auto"/>
        </w:rPr>
      </w:pPr>
    </w:p>
    <w:p>
      <w:pPr>
        <w:jc w:val="both"/>
        <w:ind w:left="1220" w:firstLine="652"/>
        <w:spacing w:after="0" w:line="251" w:lineRule="auto"/>
        <w:tabs>
          <w:tab w:leader="none" w:pos="250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transactions with customers, clients, suppliers, joint venture partners, or purchasers or sellers of goods or services, (B) transactions with joint ventures or Unrestricted Subsidiaries entered into in the ordinary course of business and consistent with past practice or industry norm or (C) any management services or support agreement, in each case in the ordinary course of business and otherwise in compliance with the terms of this Indenture that are fair to the Company or any of its Restricted Subsidiaries, in the good faith determination of the Board of Directors of the Company or any disinterested officer thereof, or are on terms at least as favorable as might reasonably have been obtained at such time from an unaffiliated Person;</w:t>
      </w:r>
    </w:p>
    <w:p>
      <w:pPr>
        <w:spacing w:after="0" w:line="138" w:lineRule="exact"/>
        <w:rPr>
          <w:rFonts w:ascii="Times New Roman" w:cs="Times New Roman" w:eastAsia="Times New Roman" w:hAnsi="Times New Roman"/>
          <w:sz w:val="20"/>
          <w:szCs w:val="20"/>
          <w:color w:val="auto"/>
        </w:rPr>
      </w:pPr>
    </w:p>
    <w:p>
      <w:pPr>
        <w:jc w:val="both"/>
        <w:ind w:left="1220" w:firstLine="652"/>
        <w:spacing w:after="0" w:line="253" w:lineRule="auto"/>
        <w:tabs>
          <w:tab w:leader="none" w:pos="250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that (x) has been approved by a majority of the Disinterested Directors, (y) if a majority of the Board of Directors are not Disinterested Directions with respect to the applicable transaction, has been approved (or recommended for approval by) a committee of the Board of Directors that consists of two or more directors, each of whom the Board of Directors has determined to be a Disinterested Director with respect to such transaction or (z) has been approved or ratified by a majority of the votes cast by Disinterested Stockholders, in each case, in accordance with the requirements of the Delaware General Corporation Law in effect at such time;</w:t>
      </w:r>
    </w:p>
    <w:p>
      <w:pPr>
        <w:spacing w:after="0" w:line="124" w:lineRule="exact"/>
        <w:rPr>
          <w:rFonts w:ascii="Times New Roman" w:cs="Times New Roman" w:eastAsia="Times New Roman" w:hAnsi="Times New Roman"/>
          <w:sz w:val="20"/>
          <w:szCs w:val="20"/>
          <w:color w:val="auto"/>
        </w:rPr>
      </w:pPr>
    </w:p>
    <w:p>
      <w:pPr>
        <w:jc w:val="both"/>
        <w:ind w:left="1220" w:firstLine="652"/>
        <w:spacing w:after="0" w:line="257" w:lineRule="auto"/>
        <w:tabs>
          <w:tab w:leader="none" w:pos="250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which has been determined, in the opinion of an accounting, appraisal or investment banking firm of national standing, to be fair, from a financial point of view, to the Company or the applicable Restricted Subsidiary or stating that the terms are not materially less favorable to the Company or its relevant Restricted Subsidiary than those that would have been obtained in a comparable transaction by the Company or such Restricted Subsidiary with an unrelated Person;</w:t>
      </w:r>
    </w:p>
    <w:p>
      <w:pPr>
        <w:spacing w:after="0" w:line="118" w:lineRule="exact"/>
        <w:rPr>
          <w:rFonts w:ascii="Times New Roman" w:cs="Times New Roman" w:eastAsia="Times New Roman" w:hAnsi="Times New Roman"/>
          <w:sz w:val="20"/>
          <w:szCs w:val="20"/>
          <w:color w:val="auto"/>
        </w:rPr>
      </w:pPr>
    </w:p>
    <w:p>
      <w:pPr>
        <w:jc w:val="both"/>
        <w:ind w:left="1220" w:firstLine="652"/>
        <w:spacing w:after="0" w:line="261" w:lineRule="auto"/>
        <w:tabs>
          <w:tab w:leader="none" w:pos="250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entered into in good faith with any of the Company’s or a Restricted Subsidiary’s Affiliates which provide for shared services and/or facilities arrangements and which provide cost savings and/or other operational efficiencies to the Company and its Restricted Subsidiaries, taken as a whole, and payments related thereto;</w:t>
      </w:r>
    </w:p>
    <w:p>
      <w:pPr>
        <w:spacing w:after="0" w:line="127" w:lineRule="exact"/>
        <w:rPr>
          <w:rFonts w:ascii="Times New Roman" w:cs="Times New Roman" w:eastAsia="Times New Roman" w:hAnsi="Times New Roman"/>
          <w:sz w:val="20"/>
          <w:szCs w:val="20"/>
          <w:color w:val="auto"/>
        </w:rPr>
      </w:pPr>
    </w:p>
    <w:p>
      <w:pPr>
        <w:jc w:val="both"/>
        <w:ind w:left="1220" w:firstLine="652"/>
        <w:spacing w:after="0" w:line="258" w:lineRule="auto"/>
        <w:tabs>
          <w:tab w:leader="none" w:pos="250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pursuant to any contract or agreement with the Company or any of its Restricted Subsidiaries in effect on the date of this Indenture, as the same may be amended, modified or replaced from time to time so long as any such amendment, modification or replacement in not more disadvantageous to the Holders in any material respect than the terms contained in such contract or agreement in effect on the date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bl>
    <w:p>
      <w:pPr>
        <w:sectPr>
          <w:pgSz w:w="11900" w:h="16838" w:orient="portrait"/>
          <w:cols w:equalWidth="0" w:num="1">
            <w:col w:w="11160"/>
          </w:cols>
          <w:pgMar w:left="400" w:top="1440" w:right="339" w:bottom="1440" w:gutter="0" w:footer="0" w:header="0"/>
        </w:sectPr>
      </w:pPr>
    </w:p>
    <w:bookmarkStart w:id="88" w:name="page89"/>
    <w:bookmarkEnd w:id="88"/>
    <w:p>
      <w:pPr>
        <w:spacing w:after="0" w:line="135" w:lineRule="exact"/>
        <w:rPr>
          <w:sz w:val="20"/>
          <w:szCs w:val="20"/>
          <w:color w:val="auto"/>
        </w:rPr>
      </w:pPr>
    </w:p>
    <w:p>
      <w:pPr>
        <w:jc w:val="both"/>
        <w:ind w:left="1300" w:firstLine="652"/>
        <w:spacing w:after="0" w:line="261" w:lineRule="auto"/>
        <w:tabs>
          <w:tab w:leader="none" w:pos="258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 by an Affiliate of commercial banking or lending services or other similar services on terms that are no less favorable to the Company or the relevant Restricted Subsidiary than those that would have been obtained by an unaffiliated party;</w:t>
      </w:r>
    </w:p>
    <w:p>
      <w:pPr>
        <w:spacing w:after="0" w:line="127"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pledge of Capital Stock of an Unrestricted Subsidiary or joint venture to secure Indebtedness of that</w:t>
      </w:r>
    </w:p>
    <w:p>
      <w:pPr>
        <w:spacing w:after="0" w:line="2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w:t>
      </w:r>
    </w:p>
    <w:p>
      <w:pPr>
        <w:spacing w:after="0" w:line="153"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issuances of Equity Interests of the Company not constituting a Change of Control;</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8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formation and maintenance of any consolidated group or subgroup for tax, accounting or cash pooling or management purposes in the ordinary course of business or other transactions undertaken for the purpose of the consolidated tax efficiency of the Company and its Subsidiaries and not for the purposes of circumventing any covenants set forth in this Indenture;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Board of Directors determines in good faith that the formation and maintenance of such group or subgroup is in the best interests of the Company, and will not result in the Company and the Restricted Subsidiaries paying taxes in excess of the tax liability that would have been payable by them on a stand-alone basis;</w:t>
      </w:r>
    </w:p>
    <w:p>
      <w:pPr>
        <w:spacing w:after="0" w:line="12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permitted by, and complying with, the provisions of </w:t>
      </w:r>
      <w:r>
        <w:rPr>
          <w:rFonts w:ascii="Times New Roman" w:cs="Times New Roman" w:eastAsia="Times New Roman" w:hAnsi="Times New Roman"/>
          <w:sz w:val="20"/>
          <w:szCs w:val="20"/>
          <w:u w:val="single" w:color="auto"/>
          <w:color w:val="auto"/>
        </w:rPr>
        <w:t>Sections 5.01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10.04(a)</w:t>
      </w:r>
      <w:r>
        <w:rPr>
          <w:rFonts w:ascii="Times New Roman" w:cs="Times New Roman" w:eastAsia="Times New Roman" w:hAnsi="Times New Roman"/>
          <w:sz w:val="20"/>
          <w:szCs w:val="20"/>
          <w:color w:val="auto"/>
        </w:rPr>
        <w:t>; and</w:t>
      </w:r>
    </w:p>
    <w:p>
      <w:pPr>
        <w:spacing w:after="0" w:line="175" w:lineRule="exact"/>
        <w:rPr>
          <w:rFonts w:ascii="Times New Roman" w:cs="Times New Roman" w:eastAsia="Times New Roman" w:hAnsi="Times New Roman"/>
          <w:sz w:val="20"/>
          <w:szCs w:val="20"/>
          <w:color w:val="auto"/>
        </w:rPr>
      </w:pPr>
    </w:p>
    <w:p>
      <w:pPr>
        <w:ind w:left="1300" w:firstLine="652"/>
        <w:spacing w:after="0" w:line="269" w:lineRule="auto"/>
        <w:tabs>
          <w:tab w:leader="none" w:pos="258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accounts receivable, or participations therein, or any related transaction, in connection with any Permitted Receivables Financing.</w:t>
      </w:r>
    </w:p>
    <w:p>
      <w:pPr>
        <w:spacing w:after="0" w:line="11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4.12</w:t>
      </w:r>
      <w:r>
        <w:rPr>
          <w:sz w:val="20"/>
          <w:szCs w:val="20"/>
          <w:color w:val="auto"/>
        </w:rPr>
        <w:tab/>
      </w:r>
      <w:r>
        <w:rPr>
          <w:rFonts w:ascii="Times New Roman" w:cs="Times New Roman" w:eastAsia="Times New Roman" w:hAnsi="Times New Roman"/>
          <w:sz w:val="19"/>
          <w:szCs w:val="19"/>
          <w:b w:val="1"/>
          <w:bCs w:val="1"/>
          <w:u w:val="single" w:color="auto"/>
          <w:color w:val="auto"/>
        </w:rPr>
        <w:t>Liens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will not, and will not permit any of its Restricted Subsidiaries to, directly or indirectly, create, incur or assume any Lien of any kind securing Indebtedness, except Permitted Liens, unless all payments due under this Indenture and the Notes are secured on an equal and ratable basis with the obligations so secured until such time as such Indebtedness is no longer secured by a Lien (or, if such Lien secures Indebtedness that is subordinate in right of payment to the Notes or any Note Guarantee, the Notes or such Note Guarantee are secured on a senior basis to the obligations so secured until such time as such obligations are no longer secured by a Lien).</w:t>
      </w:r>
    </w:p>
    <w:p>
      <w:pPr>
        <w:spacing w:after="0" w:line="1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(A) a Lien securing an item of Indebtedness need not be permitted solely by reference to one category of Permitted Liens (or any portion thereof) described in the definition of “Permitted Liens” but may be permitted in part under any combination thereof and (B) in the event that a Lien securing an item of Indebtedness (or any portion thereof) meets the criteria of one or more of the categories of permitted Liens (or any portion thereof) described in the definition of “Permitted Liens,” the Company may, in its sole discretion, classify or reclassify, or later divide, classify or reclassify, such Lien securing such item of Indebtedness (or any portion thereof) in any manner that complies with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With respect to any Lien securing Indebtedness that was permitted to secure such Indebtedness at the time of the incurrence of such Indebtedness, such Lien shall also be permitted to secure any Increased Amount of such Indebtedness. The “Increased Amount”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or in the form of common stock of the Company, the payment of dividends on preferred stock in the form of additional shares of preferred stock of the same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bl>
    <w:p>
      <w:pPr>
        <w:sectPr>
          <w:pgSz w:w="11900" w:h="16838" w:orient="portrait"/>
          <w:cols w:equalWidth="0" w:num="1">
            <w:col w:w="11240"/>
          </w:cols>
          <w:pgMar w:left="320" w:top="1440" w:right="339" w:bottom="1440" w:gutter="0" w:footer="0" w:header="0"/>
        </w:sectPr>
      </w:pPr>
    </w:p>
    <w:bookmarkStart w:id="89" w:name="page90"/>
    <w:bookmarkEnd w:id="89"/>
    <w:p>
      <w:pPr>
        <w:spacing w:after="0" w:line="13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4.13</w:t>
      </w:r>
      <w:r>
        <w:rPr>
          <w:sz w:val="20"/>
          <w:szCs w:val="20"/>
          <w:color w:val="auto"/>
        </w:rPr>
        <w:tab/>
      </w:r>
      <w:r>
        <w:rPr>
          <w:rFonts w:ascii="Times New Roman" w:cs="Times New Roman" w:eastAsia="Times New Roman" w:hAnsi="Times New Roman"/>
          <w:sz w:val="19"/>
          <w:szCs w:val="19"/>
          <w:b w:val="1"/>
          <w:bCs w:val="1"/>
          <w:u w:val="single" w:color="auto"/>
          <w:color w:val="auto"/>
        </w:rPr>
        <w:t>Business Activities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Company will not, and will not permit any of its Restricted Subsidiaries to, engage in any business other than Permitted Businesses, except to such extent as would not be material to the Company and its Restricted Subsidiaries taken as a whole.</w:t>
      </w:r>
    </w:p>
    <w:p>
      <w:pPr>
        <w:spacing w:after="0" w:line="11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4.14</w:t>
      </w:r>
      <w:r>
        <w:rPr>
          <w:sz w:val="20"/>
          <w:szCs w:val="20"/>
          <w:color w:val="auto"/>
        </w:rPr>
        <w:tab/>
      </w:r>
      <w:r>
        <w:rPr>
          <w:rFonts w:ascii="Times New Roman" w:cs="Times New Roman" w:eastAsia="Times New Roman" w:hAnsi="Times New Roman"/>
          <w:sz w:val="19"/>
          <w:szCs w:val="19"/>
          <w:b w:val="1"/>
          <w:bCs w:val="1"/>
          <w:u w:val="single" w:color="auto"/>
          <w:color w:val="auto"/>
        </w:rPr>
        <w:t>Corporate Existence</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hereof, the Company shall do or cause to be done all things necessary to preserve and keep in full force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w:t>
      </w:r>
    </w:p>
    <w:p>
      <w:pPr>
        <w:spacing w:after="0" w:line="153" w:lineRule="exact"/>
        <w:rPr>
          <w:sz w:val="20"/>
          <w:szCs w:val="20"/>
          <w:color w:val="auto"/>
        </w:rPr>
      </w:pPr>
    </w:p>
    <w:p>
      <w:pPr>
        <w:ind w:firstLine="1304"/>
        <w:spacing w:after="0" w:line="269" w:lineRule="auto"/>
        <w:tabs>
          <w:tab w:leader="none" w:pos="193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11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rights (charter and statutory), licenses and franchises of the Company and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Company shall not be required to preserve any such right, license or franchise, or the corporate, partnership or other existence of any of its Subsidiaries, if the Board of Directors of the Company shall determine that the preservation thereof is no longer desirable in the conduct of the business of the Company and its Subsidiaries, taken as a whole, and that the loss thereof is not adverse in any material respect to the Holders of the Notes.</w:t>
      </w:r>
    </w:p>
    <w:p>
      <w:pPr>
        <w:spacing w:after="0" w:line="13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4.15</w:t>
      </w:r>
      <w:r>
        <w:rPr>
          <w:sz w:val="20"/>
          <w:szCs w:val="20"/>
          <w:color w:val="auto"/>
        </w:rPr>
        <w:tab/>
      </w:r>
      <w:r>
        <w:rPr>
          <w:rFonts w:ascii="Times New Roman" w:cs="Times New Roman" w:eastAsia="Times New Roman" w:hAnsi="Times New Roman"/>
          <w:sz w:val="19"/>
          <w:szCs w:val="19"/>
          <w:b w:val="1"/>
          <w:bCs w:val="1"/>
          <w:u w:val="single" w:color="auto"/>
          <w:color w:val="auto"/>
        </w:rPr>
        <w:t>Repurchase at the Option of Holders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1304"/>
        <w:spacing w:after="0" w:line="250" w:lineRule="auto"/>
        <w:tabs>
          <w:tab w:leader="none" w:pos="193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 Change of Control Triggering Event, the Company will make an offer (a “</w:t>
      </w:r>
      <w:r>
        <w:rPr>
          <w:rFonts w:ascii="Times New Roman" w:cs="Times New Roman" w:eastAsia="Times New Roman" w:hAnsi="Times New Roman"/>
          <w:sz w:val="20"/>
          <w:szCs w:val="20"/>
          <w:u w:val="single" w:color="auto"/>
          <w:color w:val="auto"/>
        </w:rPr>
        <w:t>Change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Control Offer</w:t>
      </w:r>
      <w:r>
        <w:rPr>
          <w:rFonts w:ascii="Times New Roman" w:cs="Times New Roman" w:eastAsia="Times New Roman" w:hAnsi="Times New Roman"/>
          <w:sz w:val="20"/>
          <w:szCs w:val="20"/>
          <w:color w:val="auto"/>
        </w:rPr>
        <w:t xml:space="preserve">”) to each Holder, unless the Company has previously or concurrently mailed or sent a redemption notice with respect to all of the outstanding Notes pursuant to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hereof, to repurchase all or any part (equal to $2,000 or an integral multiple of $1,000 in excess thereof) of that Holder’s Notes at a purchase price payable in cash equal to 101% of the aggregate principal amount of Notes repurchased, plus accrued and unpaid interest, if any, on the Notes repurchased to, but not including, the date of purchase, subject to the rights of Holders of Notes on the relevant record date to receive interest due on the relevant interest payment date (the “</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xml:space="preserve">”). Within 30 days following any Change of Control Triggering Event, unless the Company has previously or concurrently mailed or sent a redemption notice with respect to all of the outstanding Notes pursuant to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hereof, the Company will cause to be mailed, by first class mail (or otherwise cause to be transmitted in accordance with the Applicable Procedures), a notice to each Holder describing the transaction or transactions that constitute the Change of Control Triggering Event and stating:</w:t>
      </w:r>
    </w:p>
    <w:p>
      <w:pPr>
        <w:spacing w:after="0" w:line="128" w:lineRule="exact"/>
        <w:rPr>
          <w:rFonts w:ascii="Times New Roman" w:cs="Times New Roman" w:eastAsia="Times New Roman" w:hAnsi="Times New Roman"/>
          <w:sz w:val="20"/>
          <w:szCs w:val="20"/>
          <w:color w:val="auto"/>
        </w:rPr>
      </w:pPr>
    </w:p>
    <w:p>
      <w:pPr>
        <w:ind w:left="1300" w:firstLine="652"/>
        <w:spacing w:after="0" w:line="283" w:lineRule="auto"/>
        <w:tabs>
          <w:tab w:leader="none" w:pos="2584"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the Change of Control Offer is being made pursuant to this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and that all Notes tendered will be accepted for payment;</w:t>
      </w:r>
    </w:p>
    <w:p>
      <w:pPr>
        <w:spacing w:after="0" w:line="105"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84"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price and the purchase date, which shall be no earlier than 10 days and no later than 60 days from the date such notice is mailed, except in the case of a conditional Change of Control Offer made in advance of a Change of Control Triggering Event as described below (in which case the expected repurchase date will be stated and may be based on a date relative to the closing of the transaction that is expected to result in the Change of Control Triggering Event and which may be tolled until the closing of such transaction) (the “</w:t>
      </w:r>
      <w:r>
        <w:rPr>
          <w:rFonts w:ascii="Times New Roman" w:cs="Times New Roman" w:eastAsia="Times New Roman" w:hAnsi="Times New Roman"/>
          <w:sz w:val="20"/>
          <w:szCs w:val="20"/>
          <w:u w:val="single" w:color="auto"/>
          <w:color w:val="auto"/>
        </w:rPr>
        <w:t>Change of Control Payment Date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bl>
    <w:p>
      <w:pPr>
        <w:sectPr>
          <w:pgSz w:w="11900" w:h="16838" w:orient="portrait"/>
          <w:cols w:equalWidth="0" w:num="1">
            <w:col w:w="11240"/>
          </w:cols>
          <w:pgMar w:left="320" w:top="1440" w:right="339" w:bottom="1440" w:gutter="0" w:footer="0" w:header="0"/>
        </w:sectPr>
      </w:pPr>
    </w:p>
    <w:bookmarkStart w:id="90" w:name="page91"/>
    <w:bookmarkEnd w:id="90"/>
    <w:p>
      <w:pPr>
        <w:spacing w:after="0" w:line="135" w:lineRule="exact"/>
        <w:rPr>
          <w:sz w:val="20"/>
          <w:szCs w:val="20"/>
          <w:color w:val="auto"/>
        </w:rPr>
      </w:pPr>
    </w:p>
    <w:p>
      <w:pPr>
        <w:ind w:left="2580" w:hanging="628"/>
        <w:spacing w:after="0"/>
        <w:tabs>
          <w:tab w:leader="none" w:pos="25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Note not tendered will continue to accrue interest;</w:t>
      </w:r>
    </w:p>
    <w:p>
      <w:pPr>
        <w:spacing w:after="0" w:line="175" w:lineRule="exact"/>
        <w:rPr>
          <w:rFonts w:ascii="Times New Roman" w:cs="Times New Roman" w:eastAsia="Times New Roman" w:hAnsi="Times New Roman"/>
          <w:sz w:val="20"/>
          <w:szCs w:val="20"/>
          <w:color w:val="auto"/>
        </w:rPr>
      </w:pPr>
    </w:p>
    <w:p>
      <w:pPr>
        <w:ind w:left="1300" w:firstLine="652"/>
        <w:spacing w:after="0" w:line="269" w:lineRule="auto"/>
        <w:tabs>
          <w:tab w:leader="none" w:pos="25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118"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Holders electing to have any Notes purchased pursuant to a Change of Control Offer will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118"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Holders will be entitled to withdraw their election if the Paying Agent receives, not later than the close of business on the second Business Day preceding the Change of Control Payment Date, a facsimile transmission or letter setting forth the name of the Holder, the principal amount of Notes delivered for purchase, and a statement that such Holder is withdrawing his election to have the Notes purchased; and</w:t>
      </w:r>
    </w:p>
    <w:p>
      <w:pPr>
        <w:spacing w:after="0" w:line="131"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Holders whose Notes are being purchased only in part will be issued new Notes equal in principal amount to the unpurchased portion of the Notes surrendered, which unpurchased portion must be equal to $2,000 in principal amount or an integral multiple of $1,000 in excess thereof</w:t>
      </w:r>
    </w:p>
    <w:p>
      <w:pPr>
        <w:spacing w:after="0" w:line="11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 xml:space="preserve">The Company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this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the Company will comply with the applicable securities laws and regulations and will not be deemed to have breached its obligations under this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by virtue of such compliance.</w:t>
      </w:r>
    </w:p>
    <w:p>
      <w:pPr>
        <w:spacing w:after="0" w:line="119" w:lineRule="exact"/>
        <w:rPr>
          <w:sz w:val="20"/>
          <w:szCs w:val="20"/>
          <w:color w:val="auto"/>
        </w:rPr>
      </w:pPr>
    </w:p>
    <w:p>
      <w:pPr>
        <w:ind w:left="1940" w:hanging="636"/>
        <w:spacing w:after="0"/>
        <w:tabs>
          <w:tab w:leader="none" w:pos="19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Change of Control Payment Date, the Company will, to the extent lawful:</w:t>
      </w:r>
    </w:p>
    <w:p>
      <w:pPr>
        <w:spacing w:after="0" w:line="17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accept for payment all Notes or portions of Notes properly tendered pursuant to the Change of Control Offer;</w:t>
      </w:r>
    </w:p>
    <w:p>
      <w:pPr>
        <w:spacing w:after="0" w:line="173" w:lineRule="exact"/>
        <w:rPr>
          <w:rFonts w:ascii="Times New Roman" w:cs="Times New Roman" w:eastAsia="Times New Roman" w:hAnsi="Times New Roman"/>
          <w:sz w:val="19"/>
          <w:szCs w:val="19"/>
          <w:color w:val="auto"/>
        </w:rPr>
      </w:pPr>
    </w:p>
    <w:p>
      <w:pPr>
        <w:ind w:left="1300" w:firstLine="652"/>
        <w:spacing w:after="0" w:line="283" w:lineRule="auto"/>
        <w:tabs>
          <w:tab w:leader="none" w:pos="2584"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with the Paying Agent an amount equal to the Change of Control Payment in respect of all Notes or portions of Notes properly tendered; and</w:t>
      </w:r>
    </w:p>
    <w:p>
      <w:pPr>
        <w:spacing w:after="0" w:line="105" w:lineRule="exact"/>
        <w:rPr>
          <w:rFonts w:ascii="Times New Roman" w:cs="Times New Roman" w:eastAsia="Times New Roman" w:hAnsi="Times New Roman"/>
          <w:sz w:val="20"/>
          <w:szCs w:val="20"/>
          <w:color w:val="auto"/>
        </w:rPr>
      </w:pPr>
    </w:p>
    <w:p>
      <w:pPr>
        <w:ind w:left="1300" w:right="20" w:firstLine="652"/>
        <w:spacing w:after="0" w:line="269" w:lineRule="auto"/>
        <w:tabs>
          <w:tab w:leader="none" w:pos="2584"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or cause to be delivered to the Trustee for cancellation the Notes properly accepted together with an Officers’ Certificate stating the aggregate principal amount of Notes or portions of Notes being purchased by the Company.</w:t>
      </w:r>
    </w:p>
    <w:p>
      <w:pPr>
        <w:spacing w:after="0" w:line="118"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The Company will publicly announce the results of the Change of Control Offer on or as soon as practicable after the Change of Control Payment Date.</w:t>
      </w:r>
    </w:p>
    <w:p>
      <w:pPr>
        <w:spacing w:after="0" w:line="118"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the Company will not be required to make a Change of Control Offer upon a Change of Control Triggering Event if (1) a third party (including an affiliate of the Company) makes the Change of Control Offer in the manner, at the times and otherwise in compliance with the requirements set forth in this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and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bl>
    <w:p>
      <w:pPr>
        <w:sectPr>
          <w:pgSz w:w="11900" w:h="16838" w:orient="portrait"/>
          <w:cols w:equalWidth="0" w:num="1">
            <w:col w:w="11240"/>
          </w:cols>
          <w:pgMar w:left="320" w:top="1440" w:right="339" w:bottom="1440" w:gutter="0" w:footer="0" w:header="0"/>
        </w:sectPr>
      </w:pPr>
    </w:p>
    <w:bookmarkStart w:id="91" w:name="page92"/>
    <w:bookmarkEnd w:id="91"/>
    <w:p>
      <w:pPr>
        <w:spacing w:after="0" w:line="1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all Notes properly tendered and not withdrawn under the Change of Control Offer, (2) notice of redemption has been given pursuant to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hereof unless and until there is a default in payment of the applicable redemption price, or (3) in connection with or in contemplation of any Change of Control, the Company has made an offer to purchase (an “</w:t>
      </w:r>
      <w:r>
        <w:rPr>
          <w:rFonts w:ascii="Times New Roman" w:cs="Times New Roman" w:eastAsia="Times New Roman" w:hAnsi="Times New Roman"/>
          <w:sz w:val="20"/>
          <w:szCs w:val="20"/>
          <w:u w:val="single" w:color="auto"/>
          <w:color w:val="auto"/>
        </w:rPr>
        <w:t>Alternate Offer</w:t>
      </w:r>
      <w:r>
        <w:rPr>
          <w:rFonts w:ascii="Times New Roman" w:cs="Times New Roman" w:eastAsia="Times New Roman" w:hAnsi="Times New Roman"/>
          <w:sz w:val="20"/>
          <w:szCs w:val="20"/>
          <w:color w:val="auto"/>
        </w:rPr>
        <w:t>”) any and all Notes validly tendered at a cash price equal to or higher than the Change of Control Payment and has purchased all Notes properly tendered in accordance with the terms of the Alternate Offer. Notwithstanding anything to the contrary contained herein, a Change of Control Offer or Alternate Offer may be made in advance of a Change of Control Triggering Event, conditioned upon the consummation of such Change of Control Triggering Event, if a definitive agreement is in place for the Change of Control at the time the Change of Control Offer or Alternate Offer is made.</w:t>
      </w:r>
    </w:p>
    <w:p>
      <w:pPr>
        <w:spacing w:after="0" w:line="141" w:lineRule="exact"/>
        <w:rPr>
          <w:sz w:val="20"/>
          <w:szCs w:val="20"/>
          <w:color w:val="auto"/>
        </w:rPr>
      </w:pPr>
    </w:p>
    <w:p>
      <w:pPr>
        <w:jc w:val="both"/>
        <w:ind w:firstLine="1304"/>
        <w:spacing w:after="0" w:line="258" w:lineRule="auto"/>
        <w:tabs>
          <w:tab w:leader="none" w:pos="193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Offer may be made at the same time as consents are solicited with respect to an amendment, supplement or waiver of this Indenture, the Notes and/or the Note Guarantees (but the Change of Control Offer may not condition tenders on the delivery of such consents). In addition, the Company or any third party that is making the Change of Control Offer may, subject to applicable law, increase the Change of Control Payment being offered to holders of Notes at any time in its sole discretion.</w:t>
      </w:r>
    </w:p>
    <w:p>
      <w:pPr>
        <w:spacing w:after="0" w:line="10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4.16</w:t>
            </w:r>
          </w:p>
        </w:tc>
        <w:tc>
          <w:tcPr>
            <w:tcW w:w="9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4"/>
              </w:rPr>
              <w:t>[Reserved].</w:t>
            </w: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Section 4.17</w:t>
            </w: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00" w:type="dxa"/>
            <w:vAlign w:val="bottom"/>
            <w:vMerge w:val="continue"/>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4"/>
              </w:rPr>
              <w:t>[Reserved].</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4.18 </w:t>
      </w:r>
      <w:r>
        <w:rPr>
          <w:rFonts w:ascii="Times New Roman" w:cs="Times New Roman" w:eastAsia="Times New Roman" w:hAnsi="Times New Roman"/>
          <w:sz w:val="20"/>
          <w:szCs w:val="20"/>
          <w:b w:val="1"/>
          <w:bCs w:val="1"/>
          <w:u w:val="single" w:color="auto"/>
          <w:color w:val="auto"/>
        </w:rPr>
        <w:t>Additional Note Guarantees</w:t>
      </w:r>
      <w:r>
        <w:rPr>
          <w:rFonts w:ascii="Times New Roman" w:cs="Times New Roman" w:eastAsia="Times New Roman" w:hAnsi="Times New Roman"/>
          <w:sz w:val="20"/>
          <w:szCs w:val="20"/>
          <w:color w:val="auto"/>
        </w:rPr>
        <w:t>. If (i) the Company or any of its Restricted Subsidiaries acquires or creates another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Domestic Subsidiary after the date of this Indenture (other than an Excluded Subsidiary) or (ii) any Restricted Subsidiary that is an Excluded Subsidiary of the Company Guarantees (or otherwise becomes liable for) Indebtedness of the Company or a Guarantor under a Credit Facility or any Public Debt Securities, then, in each case, the Company will cause such Restricted Subsidiary to become a Guarantor and execute a supplemental indenture satisfactory to the Trustee within 60 Business Days of the date on which it first became required to become a Guarantor hereunder. The form of such supplemental indenture is attached as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hereto.</w:t>
      </w:r>
    </w:p>
    <w:p>
      <w:pPr>
        <w:spacing w:after="0" w:line="1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Section 4.19 </w:t>
      </w:r>
      <w:r>
        <w:rPr>
          <w:rFonts w:ascii="Times New Roman" w:cs="Times New Roman" w:eastAsia="Times New Roman" w:hAnsi="Times New Roman"/>
          <w:sz w:val="20"/>
          <w:szCs w:val="20"/>
          <w:b w:val="1"/>
          <w:bCs w:val="1"/>
          <w:u w:val="single" w:color="auto"/>
          <w:color w:val="auto"/>
        </w:rPr>
        <w:t>Designation of Restricted and Unrestricted Subsidiaries</w:t>
      </w:r>
      <w:r>
        <w:rPr>
          <w:rFonts w:ascii="Times New Roman" w:cs="Times New Roman" w:eastAsia="Times New Roman" w:hAnsi="Times New Roman"/>
          <w:sz w:val="20"/>
          <w:szCs w:val="20"/>
          <w:color w:val="auto"/>
        </w:rPr>
        <w:t>. The Board of Directors of the Company may designate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Restricted Subsidiary (including any newly acquired or newly formed Subsidiary or Person that becomes a Subsidiary through merger or consolidation or Investment therein but excluding the Company) to be an Unrestricted Subsidiary if that designation would not cause a Default. 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will reduce the amount available for Restricted Payments under </w:t>
      </w:r>
      <w:r>
        <w:rPr>
          <w:rFonts w:ascii="Times New Roman" w:cs="Times New Roman" w:eastAsia="Times New Roman" w:hAnsi="Times New Roman"/>
          <w:sz w:val="20"/>
          <w:szCs w:val="20"/>
          <w:u w:val="single" w:color="auto"/>
          <w:color w:val="auto"/>
        </w:rPr>
        <w:t>Section 4.07(a)</w:t>
      </w:r>
      <w:r>
        <w:rPr>
          <w:rFonts w:ascii="Times New Roman" w:cs="Times New Roman" w:eastAsia="Times New Roman" w:hAnsi="Times New Roman"/>
          <w:sz w:val="20"/>
          <w:szCs w:val="20"/>
          <w:color w:val="auto"/>
        </w:rPr>
        <w:t xml:space="preserve"> hereof 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 The Board of Directors of the Company may redesignate any Unrestricted Subsidiary to be a Restricted Subsidiary if that redesignation would not cause a Default.</w:t>
      </w:r>
    </w:p>
    <w:p>
      <w:pPr>
        <w:spacing w:after="0" w:line="1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Any designation of a Subsidiary of the Company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w:t>
      </w:r>
      <w:r>
        <w:rPr>
          <w:rFonts w:ascii="Times New Roman" w:cs="Times New Roman" w:eastAsia="Times New Roman" w:hAnsi="Times New Roman"/>
          <w:sz w:val="20"/>
          <w:szCs w:val="20"/>
          <w:u w:val="single" w:color="auto"/>
          <w:color w:val="auto"/>
        </w:rPr>
        <w:t>Section 4.07</w:t>
      </w:r>
      <w:r>
        <w:rPr>
          <w:rFonts w:ascii="Times New Roman" w:cs="Times New Roman" w:eastAsia="Times New Roman" w:hAnsi="Times New Roman"/>
          <w:sz w:val="20"/>
          <w:szCs w:val="20"/>
          <w:color w:val="auto"/>
        </w:rPr>
        <w:t xml:space="preserve"> hereof. If, at any time, any Unrestricted Subsidiary would fail to meet the preceding requirements as an Unrestricted Subsidiary, it will thereafter cease to be an Unrestricted Subsidiary for purposes of this Indenture and any Indebtedness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bl>
    <w:p>
      <w:pPr>
        <w:sectPr>
          <w:pgSz w:w="11900" w:h="16838" w:orient="portrait"/>
          <w:cols w:equalWidth="0" w:num="1">
            <w:col w:w="11240"/>
          </w:cols>
          <w:pgMar w:left="320" w:top="1440" w:right="339" w:bottom="1440" w:gutter="0" w:footer="0" w:header="0"/>
        </w:sectPr>
      </w:pPr>
    </w:p>
    <w:bookmarkStart w:id="92" w:name="page93"/>
    <w:bookmarkEnd w:id="92"/>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Subsidiary will be deemed to be incurred by a Restricted Subsidiary of the Company as of such date and, if such Indebtedness is not permitted to be incurred as of such date under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hereof, the Company will be in default of such covenant. The Board of Directors of the Company may at any time designate any Unrestricted Subsidiary to be a Restricted Subsidiary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designation will be deemed to be an incurrence of Indebtedness by a Restricted Subsidiary of the Company of any outstanding Indebtedness of such Unrestricted Subsidiary, and such designation will only be permitted if (1) such Indebtedness is permitted under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hereof, calculated on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as if such designation had occurred at the beginning of the applicable reference period; and (2) no Default or Event of Default would be in existence following such designation.</w:t>
      </w:r>
    </w:p>
    <w:p>
      <w:pPr>
        <w:spacing w:after="0" w:line="12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4.20</w:t>
      </w:r>
      <w:r>
        <w:rPr>
          <w:sz w:val="20"/>
          <w:szCs w:val="20"/>
          <w:color w:val="auto"/>
        </w:rPr>
        <w:tab/>
      </w:r>
      <w:r>
        <w:rPr>
          <w:rFonts w:ascii="Times New Roman" w:cs="Times New Roman" w:eastAsia="Times New Roman" w:hAnsi="Times New Roman"/>
          <w:sz w:val="19"/>
          <w:szCs w:val="19"/>
          <w:b w:val="1"/>
          <w:bCs w:val="1"/>
          <w:u w:val="single" w:color="auto"/>
          <w:color w:val="auto"/>
        </w:rPr>
        <w:t>Suspension of Certain Covenants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1304"/>
        <w:spacing w:after="0" w:line="253" w:lineRule="auto"/>
        <w:tabs>
          <w:tab w:leader="none" w:pos="193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after the Issue Date (i) the Notes have an Investment Grade Rating from two of the Rating Agencies and (ii) no Default has occurred and is continuing under this Indenture, then, upon the Company’s delivery to the Trustee of an Officers’ Certificate notifying the Trustee of such events, the Company and its Restricted Subsidiaries shall not be subject to </w:t>
      </w:r>
      <w:r>
        <w:rPr>
          <w:rFonts w:ascii="Times New Roman" w:cs="Times New Roman" w:eastAsia="Times New Roman" w:hAnsi="Times New Roman"/>
          <w:sz w:val="20"/>
          <w:szCs w:val="20"/>
          <w:u w:val="single" w:color="auto"/>
          <w:color w:val="auto"/>
        </w:rPr>
        <w:t>Section 4.07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xml:space="preserve">, or clause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hereof (the “</w:t>
      </w:r>
      <w:r>
        <w:rPr>
          <w:rFonts w:ascii="Times New Roman" w:cs="Times New Roman" w:eastAsia="Times New Roman" w:hAnsi="Times New Roman"/>
          <w:sz w:val="20"/>
          <w:szCs w:val="20"/>
          <w:u w:val="single" w:color="auto"/>
          <w:color w:val="auto"/>
        </w:rPr>
        <w:t>Suspended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Covenants</w:t>
      </w:r>
      <w:r>
        <w:rPr>
          <w:rFonts w:ascii="Times New Roman" w:cs="Times New Roman" w:eastAsia="Times New Roman" w:hAnsi="Times New Roman"/>
          <w:sz w:val="20"/>
          <w:szCs w:val="20"/>
          <w:color w:val="auto"/>
        </w:rPr>
        <w:t>”).</w:t>
      </w:r>
    </w:p>
    <w:p>
      <w:pPr>
        <w:spacing w:after="0" w:line="137"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such period in which the Suspended Covenants are suspended (a “</w:t>
      </w:r>
      <w:r>
        <w:rPr>
          <w:rFonts w:ascii="Times New Roman" w:cs="Times New Roman" w:eastAsia="Times New Roman" w:hAnsi="Times New Roman"/>
          <w:sz w:val="20"/>
          <w:szCs w:val="20"/>
          <w:u w:val="single" w:color="auto"/>
          <w:color w:val="auto"/>
        </w:rPr>
        <w:t>Suspension Period</w:t>
      </w:r>
      <w:r>
        <w:rPr>
          <w:rFonts w:ascii="Times New Roman" w:cs="Times New Roman" w:eastAsia="Times New Roman" w:hAnsi="Times New Roman"/>
          <w:sz w:val="20"/>
          <w:szCs w:val="20"/>
          <w:color w:val="auto"/>
        </w:rPr>
        <w:t xml:space="preserve">”), the Company shall not be permitted to designate any Restricted Subsidiary as an Unrestricted Subsidiary unless the Company would have been permitted to designate such Subsidiary as an Unrestricted Subsidiary if a Suspension Period had not been in effect for any period. Any such permitted designation during the Suspension Period shall be deemed to have created a Restricted Payment, as set forth in </w:t>
      </w:r>
      <w:r>
        <w:rPr>
          <w:rFonts w:ascii="Times New Roman" w:cs="Times New Roman" w:eastAsia="Times New Roman" w:hAnsi="Times New Roman"/>
          <w:sz w:val="20"/>
          <w:szCs w:val="20"/>
          <w:u w:val="single" w:color="auto"/>
          <w:color w:val="auto"/>
        </w:rPr>
        <w:t>Section 4.07</w:t>
      </w:r>
      <w:r>
        <w:rPr>
          <w:rFonts w:ascii="Times New Roman" w:cs="Times New Roman" w:eastAsia="Times New Roman" w:hAnsi="Times New Roman"/>
          <w:sz w:val="20"/>
          <w:szCs w:val="20"/>
          <w:color w:val="auto"/>
        </w:rPr>
        <w:t xml:space="preserve"> hereof, following the Reversion Date.</w:t>
      </w:r>
    </w:p>
    <w:p>
      <w:pPr>
        <w:spacing w:after="0" w:line="137"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3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and its Restricted Subsidiaries are not subject to the Suspended Covenants for any period of time as a result of the foregoing, and on any subsequent date (the “</w:t>
      </w:r>
      <w:r>
        <w:rPr>
          <w:rFonts w:ascii="Times New Roman" w:cs="Times New Roman" w:eastAsia="Times New Roman" w:hAnsi="Times New Roman"/>
          <w:sz w:val="20"/>
          <w:szCs w:val="20"/>
          <w:u w:val="single" w:color="auto"/>
          <w:color w:val="auto"/>
        </w:rPr>
        <w:t>Reversion Date</w:t>
      </w:r>
      <w:r>
        <w:rPr>
          <w:rFonts w:ascii="Times New Roman" w:cs="Times New Roman" w:eastAsia="Times New Roman" w:hAnsi="Times New Roman"/>
          <w:sz w:val="20"/>
          <w:szCs w:val="20"/>
          <w:color w:val="auto"/>
        </w:rPr>
        <w:t xml:space="preserve">”) the condition set forth in clause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4.20(a)</w:t>
      </w:r>
      <w:r>
        <w:rPr>
          <w:rFonts w:ascii="Times New Roman" w:cs="Times New Roman" w:eastAsia="Times New Roman" w:hAnsi="Times New Roman"/>
          <w:sz w:val="20"/>
          <w:szCs w:val="20"/>
          <w:color w:val="auto"/>
        </w:rPr>
        <w:t xml:space="preserve"> hereof is no longer satisfied, then the Company and its Restricted Subsidiaries will thereafter again be subject to the Suspended Covenants with respect to future events.</w:t>
      </w:r>
    </w:p>
    <w:p>
      <w:pPr>
        <w:spacing w:after="0" w:line="133"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the Suspension Period, the Company and its Restricted Subsidiaries will be entitled to incur Liens to the extent provided for under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hereof (including, without limitation, Permitted Liens to the extent provided for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hereof), and any Permitted Liens which may refer to one or more Suspended Covenants shall be interpreted as though such applicable Suspended Covenants continued to be applicable during the Suspension Period (but solely for purposes of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hereof and for no other covenant).</w:t>
      </w:r>
    </w:p>
    <w:p>
      <w:pPr>
        <w:spacing w:after="0" w:line="137"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3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each Reversion Date, all Indebtedness incurred during the Suspension Period prior to such Reversion Date will be deemed to be Existing Indebtedness incurred pursuant to clause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4.09(b)</w:t>
      </w:r>
      <w:r>
        <w:rPr>
          <w:rFonts w:ascii="Times New Roman" w:cs="Times New Roman" w:eastAsia="Times New Roman" w:hAnsi="Times New Roman"/>
          <w:sz w:val="20"/>
          <w:szCs w:val="20"/>
          <w:color w:val="auto"/>
        </w:rPr>
        <w:t xml:space="preserve"> hereof. For purposes of calculating the amount available to be made as Restricted Payments under </w:t>
      </w:r>
      <w:r>
        <w:rPr>
          <w:rFonts w:ascii="Times New Roman" w:cs="Times New Roman" w:eastAsia="Times New Roman" w:hAnsi="Times New Roman"/>
          <w:sz w:val="20"/>
          <w:szCs w:val="20"/>
          <w:u w:val="single" w:color="auto"/>
          <w:color w:val="auto"/>
        </w:rPr>
        <w:t>Section 4.07(a)(iii)</w:t>
      </w:r>
      <w:r>
        <w:rPr>
          <w:rFonts w:ascii="Times New Roman" w:cs="Times New Roman" w:eastAsia="Times New Roman" w:hAnsi="Times New Roman"/>
          <w:sz w:val="20"/>
          <w:szCs w:val="20"/>
          <w:color w:val="auto"/>
        </w:rPr>
        <w:t xml:space="preserve"> hereof, calculations under such paragraph shall be made as though such </w:t>
      </w:r>
      <w:r>
        <w:rPr>
          <w:rFonts w:ascii="Times New Roman" w:cs="Times New Roman" w:eastAsia="Times New Roman" w:hAnsi="Times New Roman"/>
          <w:sz w:val="20"/>
          <w:szCs w:val="20"/>
          <w:u w:val="single" w:color="auto"/>
          <w:color w:val="auto"/>
        </w:rPr>
        <w:t>Section 4.07</w:t>
      </w:r>
      <w:r>
        <w:rPr>
          <w:rFonts w:ascii="Times New Roman" w:cs="Times New Roman" w:eastAsia="Times New Roman" w:hAnsi="Times New Roman"/>
          <w:sz w:val="20"/>
          <w:szCs w:val="20"/>
          <w:color w:val="auto"/>
        </w:rPr>
        <w:t xml:space="preserve"> had been in effect during the entire period of time after the Issue Date (including the Suspension Period), except that no Default will be deemed to have occurred solely by reason of a Restricted Payment made during the Suspension Period. Restricted Payments made during the Suspension Period not otherwise permitted under </w:t>
      </w:r>
      <w:r>
        <w:rPr>
          <w:rFonts w:ascii="Times New Roman" w:cs="Times New Roman" w:eastAsia="Times New Roman" w:hAnsi="Times New Roman"/>
          <w:sz w:val="20"/>
          <w:szCs w:val="20"/>
          <w:u w:val="single" w:color="auto"/>
          <w:color w:val="auto"/>
        </w:rPr>
        <w:t>Section 4.07(b)</w:t>
      </w:r>
      <w:r>
        <w:rPr>
          <w:rFonts w:ascii="Times New Roman" w:cs="Times New Roman" w:eastAsia="Times New Roman" w:hAnsi="Times New Roman"/>
          <w:sz w:val="20"/>
          <w:szCs w:val="20"/>
          <w:color w:val="auto"/>
        </w:rPr>
        <w:t xml:space="preserve"> hereof will not reduce the amount available to be made as Restricted Payments under </w:t>
      </w:r>
      <w:r>
        <w:rPr>
          <w:rFonts w:ascii="Times New Roman" w:cs="Times New Roman" w:eastAsia="Times New Roman" w:hAnsi="Times New Roman"/>
          <w:sz w:val="20"/>
          <w:szCs w:val="20"/>
          <w:u w:val="single" w:color="auto"/>
          <w:color w:val="auto"/>
        </w:rPr>
        <w:t>Section 4.07(a)(iii)</w:t>
      </w:r>
      <w:r>
        <w:rPr>
          <w:rFonts w:ascii="Times New Roman" w:cs="Times New Roman" w:eastAsia="Times New Roman" w:hAnsi="Times New Roman"/>
          <w:sz w:val="20"/>
          <w:szCs w:val="20"/>
          <w:color w:val="auto"/>
        </w:rPr>
        <w:t xml:space="preserve"> hereof. For purposes of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on the Reversion Date, the amount of Excess Proceeds not applied in accordance with such covenant will be reset to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bl>
    <w:p>
      <w:pPr>
        <w:sectPr>
          <w:pgSz w:w="11900" w:h="16838" w:orient="portrait"/>
          <w:cols w:equalWidth="0" w:num="1">
            <w:col w:w="11240"/>
          </w:cols>
          <w:pgMar w:left="320" w:top="1440" w:right="339" w:bottom="1440" w:gutter="0" w:footer="0" w:header="0"/>
        </w:sectPr>
      </w:pPr>
    </w:p>
    <w:bookmarkStart w:id="93" w:name="page94"/>
    <w:bookmarkEnd w:id="93"/>
    <w:p>
      <w:pPr>
        <w:spacing w:after="0" w:line="135" w:lineRule="exact"/>
        <w:rPr>
          <w:sz w:val="20"/>
          <w:szCs w:val="20"/>
          <w:color w:val="auto"/>
        </w:rPr>
      </w:pPr>
    </w:p>
    <w:p>
      <w:pPr>
        <w:jc w:val="both"/>
        <w:ind w:firstLine="1304"/>
        <w:spacing w:after="0" w:line="261" w:lineRule="auto"/>
        <w:tabs>
          <w:tab w:leader="none" w:pos="1939"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that the Suspended Covenants may be reinstated, no Default will be deemed to have occurred as a result of a failure to comply with the Suspended Covenants during any Suspension Period or upon the Reversion Date or after that time solely based upon events that occurred during the Suspension Period.</w:t>
      </w:r>
    </w:p>
    <w:p>
      <w:pPr>
        <w:spacing w:after="0" w:line="127"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have no duty to (a) monitor the ratings of the Notes, (b) determine whether a Suspension Period or Reversion Date has occurred, (c) notify Holders of any of the foregoing or (d) determine the consequences thereof, but may provide a copy of such Officers’ Certificate to any Holder upon request.</w:t>
      </w:r>
    </w:p>
    <w:p>
      <w:pPr>
        <w:spacing w:after="0" w:line="1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SUCCESSORS</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5.01</w:t>
      </w:r>
      <w:r>
        <w:rPr>
          <w:sz w:val="20"/>
          <w:szCs w:val="20"/>
          <w:color w:val="auto"/>
        </w:rPr>
        <w:tab/>
      </w:r>
      <w:r>
        <w:rPr>
          <w:rFonts w:ascii="Times New Roman" w:cs="Times New Roman" w:eastAsia="Times New Roman" w:hAnsi="Times New Roman"/>
          <w:sz w:val="19"/>
          <w:szCs w:val="19"/>
          <w:b w:val="1"/>
          <w:bCs w:val="1"/>
          <w:u w:val="single" w:color="auto"/>
          <w:color w:val="auto"/>
        </w:rPr>
        <w:t>Merger, Consolidation or Sale of Assets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1304"/>
        <w:spacing w:after="0" w:line="261" w:lineRule="auto"/>
        <w:tabs>
          <w:tab w:leader="none" w:pos="193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directly or indirectly: (1) consolidate or merge with or into another Person (whether or not the Company is the surviving corporation), or (2) sell, assign, transfer, convey or otherwise dispose of all or substantially all of the properties or assets of the Company and its Guarantors taken as a whole, in one or more related transactions, to another Person, unless:</w:t>
      </w:r>
    </w:p>
    <w:p>
      <w:pPr>
        <w:spacing w:after="0" w:line="127"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161"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the surviving corporation; or</w:t>
      </w:r>
    </w:p>
    <w:p>
      <w:pPr>
        <w:spacing w:after="0" w:line="175" w:lineRule="exact"/>
        <w:rPr>
          <w:rFonts w:ascii="Times New Roman" w:cs="Times New Roman" w:eastAsia="Times New Roman" w:hAnsi="Times New Roman"/>
          <w:sz w:val="20"/>
          <w:szCs w:val="20"/>
          <w:color w:val="auto"/>
        </w:rPr>
      </w:pPr>
    </w:p>
    <w:p>
      <w:pPr>
        <w:jc w:val="both"/>
        <w:ind w:left="1300" w:firstLine="1300"/>
        <w:spacing w:after="0" w:line="253" w:lineRule="auto"/>
        <w:tabs>
          <w:tab w:leader="none" w:pos="3238"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formed by or surviving any such consolidation or merger (if other than the Company) or to which such sale, assignment, transfer, conveyance or other disposition has been made (the “</w:t>
      </w:r>
      <w:r>
        <w:rPr>
          <w:rFonts w:ascii="Times New Roman" w:cs="Times New Roman" w:eastAsia="Times New Roman" w:hAnsi="Times New Roman"/>
          <w:sz w:val="20"/>
          <w:szCs w:val="20"/>
          <w:u w:val="single" w:color="auto"/>
          <w:color w:val="auto"/>
        </w:rPr>
        <w:t>Successor Person</w:t>
      </w:r>
      <w:r>
        <w:rPr>
          <w:rFonts w:ascii="Times New Roman" w:cs="Times New Roman" w:eastAsia="Times New Roman" w:hAnsi="Times New Roman"/>
          <w:sz w:val="20"/>
          <w:szCs w:val="20"/>
          <w:color w:val="auto"/>
        </w:rPr>
        <w:t>”) is an entity organized or existing under the laws of the United States, any state of the United States or the District of Columbia (including a limited liability company or partnership organized or existing under the laws of the United States, any state of the United States or the District of Columbia);</w:t>
      </w:r>
    </w:p>
    <w:p>
      <w:pPr>
        <w:spacing w:after="0" w:line="137"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Person, if applicable, assumes all the obligations of the Company under the Notes and this</w:t>
      </w:r>
    </w:p>
    <w:p>
      <w:pPr>
        <w:spacing w:after="0" w:line="2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Indenture;</w:t>
      </w:r>
    </w:p>
    <w:p>
      <w:pPr>
        <w:spacing w:after="0" w:line="153"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such transaction, no Default or Event of Default exists;</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84"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or the Successor Person, as applicable, would, on the date of such transaction after giving </w:t>
      </w:r>
      <w:r>
        <w:rPr>
          <w:rFonts w:ascii="Times New Roman" w:cs="Times New Roman" w:eastAsia="Times New Roman" w:hAnsi="Times New Roman"/>
          <w:sz w:val="20"/>
          <w:szCs w:val="20"/>
          <w:u w:val="single" w:color="auto"/>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forma</w:t>
      </w:r>
      <w:r>
        <w:rPr>
          <w:rFonts w:ascii="Times New Roman" w:cs="Times New Roman" w:eastAsia="Times New Roman" w:hAnsi="Times New Roman"/>
          <w:sz w:val="20"/>
          <w:szCs w:val="20"/>
          <w:color w:val="auto"/>
        </w:rPr>
        <w:t xml:space="preserve"> effect thereto and any related financing transactions as if the same had occurred at the beginning of the applicable four-quarter period (i) be permitted to incur at least $1.00 of additional Indebtedness pursuant to the Fixed Charge Coverage Ratio test set forth in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xml:space="preserve"> hereof; or (ii) have had a Fixed Charge Coverage Ratio equal to or greater than the actual Fixed Charge Coverage Ratio for the Company for such four-quarter period; and</w:t>
      </w:r>
    </w:p>
    <w:p>
      <w:pPr>
        <w:spacing w:after="0" w:line="137" w:lineRule="exact"/>
        <w:rPr>
          <w:rFonts w:ascii="Times New Roman" w:cs="Times New Roman" w:eastAsia="Times New Roman" w:hAnsi="Times New Roman"/>
          <w:sz w:val="20"/>
          <w:szCs w:val="20"/>
          <w:color w:val="auto"/>
        </w:rPr>
      </w:pPr>
    </w:p>
    <w:p>
      <w:pPr>
        <w:ind w:left="1300" w:firstLine="652"/>
        <w:spacing w:after="0" w:line="269" w:lineRule="auto"/>
        <w:tabs>
          <w:tab w:leader="none" w:pos="2584"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delivered to the Trustee an Officers’ Certificate and an Opinion of Counsel, each stating that such transaction and such supplemental indenture, if any, comply with this Indenture.</w:t>
      </w:r>
    </w:p>
    <w:p>
      <w:pPr>
        <w:spacing w:after="0" w:line="11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addition, the Company will not, directly or indirectly, lease all or substantially all of the properties and assets of it and its Restricted Subsidiaries taken as a whole, in one or more related transactions, to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bl>
    <w:p>
      <w:pPr>
        <w:sectPr>
          <w:pgSz w:w="11900" w:h="16838" w:orient="portrait"/>
          <w:cols w:equalWidth="0" w:num="1">
            <w:col w:w="11240"/>
          </w:cols>
          <w:pgMar w:left="320" w:top="1440" w:right="339" w:bottom="1440" w:gutter="0" w:footer="0" w:header="0"/>
        </w:sectPr>
      </w:pPr>
    </w:p>
    <w:bookmarkStart w:id="94" w:name="page95"/>
    <w:bookmarkEnd w:id="94"/>
    <w:p>
      <w:pPr>
        <w:spacing w:after="0" w:line="135" w:lineRule="exact"/>
        <w:rPr>
          <w:sz w:val="20"/>
          <w:szCs w:val="20"/>
          <w:color w:val="auto"/>
        </w:rPr>
      </w:pPr>
    </w:p>
    <w:p>
      <w:pPr>
        <w:jc w:val="both"/>
        <w:ind w:firstLine="1304"/>
        <w:spacing w:after="0" w:line="251" w:lineRule="auto"/>
        <w:tabs>
          <w:tab w:leader="none" w:pos="193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will not apply to any sale, assignment, transfer, conveyance, lease or other disposition of assets between or among the Company and its Restricted Subsidiaries. Clauses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will not apply to (1) any merger or consolidation of the Company with or into one of its Restricted Subsidiaries for any purpose, (2) any consolidation, amalgamation or merger of the Company into or the sale, assignment, transfer, lease, conveyance or other disposition of all or part of the properties and assets of the Company to, any Guarantor, (3) the conversion of the Company or any Restricted Subsidiary into a corporation, partnership, limited partnership, limited liability company or trust organized or existing under the laws of the United States, any state thereof or the District of Columbia, or (4) with or into an Affiliate solely for the purpose of reincorporating the Company in another jurisdiction. In addition, the Company or any Restricted Subsidiary may change its name.</w:t>
      </w:r>
    </w:p>
    <w:p>
      <w:pPr>
        <w:spacing w:after="0" w:line="13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Section 5.02 </w:t>
      </w:r>
      <w:r>
        <w:rPr>
          <w:rFonts w:ascii="Times New Roman" w:cs="Times New Roman" w:eastAsia="Times New Roman" w:hAnsi="Times New Roman"/>
          <w:sz w:val="20"/>
          <w:szCs w:val="20"/>
          <w:b w:val="1"/>
          <w:bCs w:val="1"/>
          <w:u w:val="single" w:color="auto"/>
          <w:color w:val="auto"/>
        </w:rPr>
        <w:t>Successor Corporation Substituted</w:t>
      </w:r>
      <w:r>
        <w:rPr>
          <w:rFonts w:ascii="Times New Roman" w:cs="Times New Roman" w:eastAsia="Times New Roman" w:hAnsi="Times New Roman"/>
          <w:sz w:val="20"/>
          <w:szCs w:val="20"/>
          <w:color w:val="auto"/>
        </w:rPr>
        <w:t>. Upon any consolidation or merger, or any sale, assignment, transfer, 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conveyance or other disposition of all or substantially all of the properties or assets of the Company in a transaction that is subject to, and that complies with the provisions of,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predecessor Company shall not be relieved from the obligation to pay the principal of, premium on, if any, and interest on, the Notes except in the case of a sale of all of the Company’s assets in a transaction that is subject to, and that complies with the provisions of,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hereof.</w:t>
      </w:r>
    </w:p>
    <w:p>
      <w:pPr>
        <w:spacing w:after="0" w:line="13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DEFAULTS AND REMEDIES</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6.01</w:t>
      </w:r>
      <w:r>
        <w:rPr>
          <w:sz w:val="20"/>
          <w:szCs w:val="20"/>
          <w:color w:val="auto"/>
        </w:rPr>
        <w:tab/>
      </w:r>
      <w:r>
        <w:rPr>
          <w:rFonts w:ascii="Times New Roman" w:cs="Times New Roman" w:eastAsia="Times New Roman" w:hAnsi="Times New Roman"/>
          <w:sz w:val="19"/>
          <w:szCs w:val="19"/>
          <w:b w:val="1"/>
          <w:bCs w:val="1"/>
          <w:u w:val="single" w:color="auto"/>
          <w:color w:val="auto"/>
        </w:rPr>
        <w:t>Events of Default</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left="1940" w:hanging="636"/>
        <w:spacing w:after="0"/>
        <w:tabs>
          <w:tab w:leader="none" w:pos="19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following is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for 30 days in the payment when due of interest on the Notes;</w:t>
      </w:r>
    </w:p>
    <w:p>
      <w:pPr>
        <w:spacing w:after="0" w:line="161" w:lineRule="exact"/>
        <w:rPr>
          <w:rFonts w:ascii="Times New Roman" w:cs="Times New Roman" w:eastAsia="Times New Roman" w:hAnsi="Times New Roman"/>
          <w:sz w:val="20"/>
          <w:szCs w:val="20"/>
          <w:color w:val="auto"/>
        </w:rPr>
      </w:pPr>
    </w:p>
    <w:p>
      <w:pPr>
        <w:ind w:left="1300" w:firstLine="652"/>
        <w:spacing w:after="0" w:line="283" w:lineRule="auto"/>
        <w:tabs>
          <w:tab w:leader="none" w:pos="2584"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 the payment when due (at maturity, upon redemption or otherwise) of the principal of, or premium, if any, on the Notes;</w:t>
      </w:r>
    </w:p>
    <w:p>
      <w:pPr>
        <w:spacing w:after="0" w:line="92"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failure by the Company or any of its Restricted Subsidiaries to comply with the provisions of </w:t>
      </w:r>
      <w:r>
        <w:rPr>
          <w:rFonts w:ascii="Times New Roman" w:cs="Times New Roman" w:eastAsia="Times New Roman" w:hAnsi="Times New Roman"/>
          <w:sz w:val="19"/>
          <w:szCs w:val="19"/>
          <w:u w:val="single" w:color="auto"/>
          <w:color w:val="auto"/>
        </w:rPr>
        <w:t>Section 4.10</w:t>
      </w:r>
      <w:r>
        <w:rPr>
          <w:rFonts w:ascii="Times New Roman" w:cs="Times New Roman" w:eastAsia="Times New Roman" w:hAnsi="Times New Roman"/>
          <w:sz w:val="19"/>
          <w:szCs w:val="19"/>
          <w:color w:val="auto"/>
        </w:rPr>
        <w:t xml:space="preserve"> or</w:t>
      </w:r>
    </w:p>
    <w:p>
      <w:pPr>
        <w:spacing w:after="0" w:line="39" w:lineRule="exact"/>
        <w:rPr>
          <w:rFonts w:ascii="Times New Roman" w:cs="Times New Roman" w:eastAsia="Times New Roman" w:hAnsi="Times New Roman"/>
          <w:sz w:val="19"/>
          <w:szCs w:val="19"/>
          <w:color w:val="auto"/>
        </w:rPr>
      </w:pPr>
    </w:p>
    <w:p>
      <w:pPr>
        <w:ind w:left="1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hereof;</w:t>
      </w:r>
    </w:p>
    <w:p>
      <w:pPr>
        <w:spacing w:after="0" w:line="159" w:lineRule="exact"/>
        <w:rPr>
          <w:rFonts w:ascii="Times New Roman" w:cs="Times New Roman" w:eastAsia="Times New Roman" w:hAnsi="Times New Roman"/>
          <w:sz w:val="19"/>
          <w:szCs w:val="19"/>
          <w:color w:val="auto"/>
        </w:rPr>
      </w:pPr>
    </w:p>
    <w:p>
      <w:pPr>
        <w:jc w:val="both"/>
        <w:ind w:left="1300" w:firstLine="652"/>
        <w:spacing w:after="0" w:line="253" w:lineRule="auto"/>
        <w:tabs>
          <w:tab w:leader="none" w:pos="2584"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failure by the Company for 180 days after notice to the Company by the Trustee or to the Company and the Trustee by the holders of at least 25% in aggregate principal amount of the Notes then outstanding voting as a single class to comply with the provisions of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hereof or (b) failure by the Company or any of its Restricted Subsidiaries for 60 days after notice to the Company by the Trustee or to the Company and the Trustee by the Holders of at least 25% in aggregate principal amount of the Notes then outstanding voting as a single class to comply with any of the other agreements in this Indenture;</w:t>
      </w:r>
    </w:p>
    <w:p>
      <w:pPr>
        <w:spacing w:after="0" w:line="124" w:lineRule="exact"/>
        <w:rPr>
          <w:rFonts w:ascii="Times New Roman" w:cs="Times New Roman" w:eastAsia="Times New Roman" w:hAnsi="Times New Roman"/>
          <w:sz w:val="20"/>
          <w:szCs w:val="20"/>
          <w:color w:val="auto"/>
        </w:rPr>
      </w:pPr>
    </w:p>
    <w:p>
      <w:pPr>
        <w:ind w:left="1300" w:right="20" w:firstLine="652"/>
        <w:spacing w:after="0" w:line="283" w:lineRule="auto"/>
        <w:tabs>
          <w:tab w:leader="none" w:pos="2584"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under any mortgage, indenture or instrument under which there may be issued or by which there may be secured or evidenced any Indebtedness for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bl>
    <w:p>
      <w:pPr>
        <w:sectPr>
          <w:pgSz w:w="11900" w:h="16838" w:orient="portrait"/>
          <w:cols w:equalWidth="0" w:num="1">
            <w:col w:w="11240"/>
          </w:cols>
          <w:pgMar w:left="320" w:top="1440" w:right="339" w:bottom="1440" w:gutter="0" w:footer="0" w:header="0"/>
        </w:sectPr>
      </w:pPr>
    </w:p>
    <w:bookmarkStart w:id="95" w:name="page96"/>
    <w:bookmarkEnd w:id="95"/>
    <w:p>
      <w:pPr>
        <w:spacing w:after="0" w:line="135" w:lineRule="exact"/>
        <w:rPr>
          <w:sz w:val="20"/>
          <w:szCs w:val="20"/>
          <w:color w:val="auto"/>
        </w:rPr>
      </w:pPr>
    </w:p>
    <w:p>
      <w:pPr>
        <w:jc w:val="both"/>
        <w:ind w:left="1220"/>
        <w:spacing w:after="0" w:line="261" w:lineRule="auto"/>
        <w:rPr>
          <w:sz w:val="20"/>
          <w:szCs w:val="20"/>
          <w:color w:val="auto"/>
        </w:rPr>
      </w:pPr>
      <w:r>
        <w:rPr>
          <w:rFonts w:ascii="Times New Roman" w:cs="Times New Roman" w:eastAsia="Times New Roman" w:hAnsi="Times New Roman"/>
          <w:sz w:val="20"/>
          <w:szCs w:val="20"/>
          <w:color w:val="auto"/>
        </w:rPr>
        <w:t>money borrowed by the Company or any Significant Subsidiary (or the payment of which is guaranteed by the Company or any Significant Subsidiary), whether such Indebtedness or Guarantee now exists, or is created after the date of this Indenture, if that default:</w:t>
      </w:r>
    </w:p>
    <w:p>
      <w:pPr>
        <w:spacing w:after="0" w:line="127" w:lineRule="exact"/>
        <w:rPr>
          <w:sz w:val="20"/>
          <w:szCs w:val="20"/>
          <w:color w:val="auto"/>
        </w:rPr>
      </w:pPr>
    </w:p>
    <w:p>
      <w:pPr>
        <w:jc w:val="both"/>
        <w:ind w:left="1220" w:firstLine="1300"/>
        <w:spacing w:after="0" w:line="261" w:lineRule="auto"/>
        <w:tabs>
          <w:tab w:leader="none" w:pos="3155"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caused by a failure to pay principal of, premium on, if any, or interest if any, on such Indebtedness prior to the expiration of the grace period provided in such Indebtedness on the date of such default (a “</w:t>
      </w:r>
      <w:r>
        <w:rPr>
          <w:rFonts w:ascii="Times New Roman" w:cs="Times New Roman" w:eastAsia="Times New Roman" w:hAnsi="Times New Roman"/>
          <w:sz w:val="20"/>
          <w:szCs w:val="20"/>
          <w:u w:val="single" w:color="auto"/>
          <w:color w:val="auto"/>
        </w:rPr>
        <w:t>Payment Default</w:t>
      </w:r>
      <w:r>
        <w:rPr>
          <w:rFonts w:ascii="Times New Roman" w:cs="Times New Roman" w:eastAsia="Times New Roman" w:hAnsi="Times New Roman"/>
          <w:sz w:val="20"/>
          <w:szCs w:val="20"/>
          <w:color w:val="auto"/>
        </w:rPr>
        <w:t>”); or</w:t>
      </w:r>
    </w:p>
    <w:p>
      <w:pPr>
        <w:spacing w:after="0" w:line="127" w:lineRule="exact"/>
        <w:rPr>
          <w:rFonts w:ascii="Times New Roman" w:cs="Times New Roman" w:eastAsia="Times New Roman" w:hAnsi="Times New Roman"/>
          <w:sz w:val="20"/>
          <w:szCs w:val="20"/>
          <w:color w:val="auto"/>
        </w:rPr>
      </w:pPr>
    </w:p>
    <w:p>
      <w:pPr>
        <w:ind w:left="3160" w:hanging="640"/>
        <w:spacing w:after="0"/>
        <w:tabs>
          <w:tab w:leader="none" w:pos="31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in the acceleration of such Indebtedness prior to its Stated Maturity,</w:t>
      </w:r>
    </w:p>
    <w:p>
      <w:pPr>
        <w:spacing w:after="0" w:line="162" w:lineRule="exact"/>
        <w:rPr>
          <w:sz w:val="20"/>
          <w:szCs w:val="20"/>
          <w:color w:val="auto"/>
        </w:rPr>
      </w:pPr>
    </w:p>
    <w:p>
      <w:pPr>
        <w:jc w:val="both"/>
        <w:ind w:left="1220"/>
        <w:spacing w:after="0" w:line="251" w:lineRule="auto"/>
        <w:rPr>
          <w:sz w:val="20"/>
          <w:szCs w:val="20"/>
          <w:color w:val="auto"/>
        </w:rPr>
      </w:pPr>
      <w:r>
        <w:rPr>
          <w:rFonts w:ascii="Times New Roman" w:cs="Times New Roman" w:eastAsia="Times New Roman" w:hAnsi="Times New Roman"/>
          <w:sz w:val="20"/>
          <w:szCs w:val="20"/>
          <w:color w:val="auto"/>
        </w:rPr>
        <w:t xml:space="preserve">and, in each case, the principal amount of any such Indebtedness, together with the principal amount of any other such Indebtedness under which there has been a Payment Default or the Stated Maturity of which has been so accelerated, aggregates $50.0 million or more;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of any Event of Default specified in this clause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such Event of Default and all consequences thereof (excluding any resulting payment default, other than as a result of acceleration of the Notes) will be annulled, waived and rescinded, automatically and without any action by the Trustee or the Holders of Notes, if: (i) the Indebtedness or guarantee that is the basis for such Event of Default has been discharged, (ii) the requisite holders thereof have rescinded or waived the acceleration, notice or action (as the case may be) giving rise to such Event of Default, or (iii) the default that is the basis for such Event of Default has been cured, waived or is no longer continuing;</w:t>
      </w:r>
    </w:p>
    <w:p>
      <w:pPr>
        <w:spacing w:after="0" w:line="141" w:lineRule="exact"/>
        <w:rPr>
          <w:sz w:val="20"/>
          <w:szCs w:val="20"/>
          <w:color w:val="auto"/>
        </w:rPr>
      </w:pPr>
    </w:p>
    <w:p>
      <w:pPr>
        <w:jc w:val="both"/>
        <w:ind w:left="1220" w:firstLine="652"/>
        <w:spacing w:after="0" w:line="253" w:lineRule="auto"/>
        <w:tabs>
          <w:tab w:leader="none" w:pos="250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Company or any Significant Subsidiary to pay final judgments entered by a court or courts of competent jurisdiction aggregating in excess of $50.0 million (not covered by independent third-party insurance as to which liability has not been denied by such insurance carrier), which judgments are not paid, bonded, discharged, stayed, annulled or rescinded for a period of 60 days after (i) the date on which the right to appeal thereof has expired if no such appeal has commenced, or (ii) the date on which all rights to appeal have been extinguished;</w:t>
      </w:r>
    </w:p>
    <w:p>
      <w:pPr>
        <w:spacing w:after="0" w:line="137" w:lineRule="exact"/>
        <w:rPr>
          <w:rFonts w:ascii="Times New Roman" w:cs="Times New Roman" w:eastAsia="Times New Roman" w:hAnsi="Times New Roman"/>
          <w:sz w:val="20"/>
          <w:szCs w:val="20"/>
          <w:color w:val="auto"/>
        </w:rPr>
      </w:pPr>
    </w:p>
    <w:p>
      <w:pPr>
        <w:jc w:val="both"/>
        <w:ind w:left="1220" w:firstLine="652"/>
        <w:spacing w:after="0" w:line="253" w:lineRule="auto"/>
        <w:tabs>
          <w:tab w:leader="none" w:pos="250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permitted by this Indenture, any Note Guarantee of a Significant Subsidiary is held in any judicial proceeding to be unenforceable or invalid or ceases for any reason to be in full force and effect (other than in accordance with the terms of such Note Guarantee), or any Guarantor which is a Significant Subsidiary, or any Person acting on behalf of any such Guarantor, denies or disaffirms its obligations under its Note Guarantee (other than by reason of release of a Guarantor from its Note Guarantee in accordance with the terms of this Indenture and the Note Guarantee); and</w:t>
      </w:r>
    </w:p>
    <w:p>
      <w:pPr>
        <w:spacing w:after="0" w:line="137" w:lineRule="exact"/>
        <w:rPr>
          <w:rFonts w:ascii="Times New Roman" w:cs="Times New Roman" w:eastAsia="Times New Roman" w:hAnsi="Times New Roman"/>
          <w:sz w:val="20"/>
          <w:szCs w:val="20"/>
          <w:color w:val="auto"/>
        </w:rPr>
      </w:pPr>
    </w:p>
    <w:p>
      <w:pPr>
        <w:ind w:left="2500" w:hanging="628"/>
        <w:spacing w:after="0"/>
        <w:tabs>
          <w:tab w:leader="none" w:pos="25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any Significant Subsidiary pursuant to or within the meaning of Bankruptcy Law:</w:t>
      </w:r>
    </w:p>
    <w:p>
      <w:pPr>
        <w:spacing w:after="0" w:line="161" w:lineRule="exact"/>
        <w:rPr>
          <w:rFonts w:ascii="Times New Roman" w:cs="Times New Roman" w:eastAsia="Times New Roman" w:hAnsi="Times New Roman"/>
          <w:sz w:val="20"/>
          <w:szCs w:val="20"/>
          <w:color w:val="auto"/>
        </w:rPr>
      </w:pPr>
    </w:p>
    <w:p>
      <w:pPr>
        <w:ind w:left="3160" w:hanging="640"/>
        <w:spacing w:after="0"/>
        <w:tabs>
          <w:tab w:leader="none" w:pos="316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commences a voluntary case,</w:t>
      </w:r>
    </w:p>
    <w:p>
      <w:pPr>
        <w:spacing w:after="0" w:line="175" w:lineRule="exact"/>
        <w:rPr>
          <w:rFonts w:ascii="Times New Roman" w:cs="Times New Roman" w:eastAsia="Times New Roman" w:hAnsi="Times New Roman"/>
          <w:sz w:val="20"/>
          <w:szCs w:val="20"/>
          <w:color w:val="auto"/>
        </w:rPr>
      </w:pPr>
    </w:p>
    <w:p>
      <w:pPr>
        <w:ind w:left="3160" w:hanging="640"/>
        <w:spacing w:after="0"/>
        <w:tabs>
          <w:tab w:leader="none" w:pos="316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to the entry of an order for relief against it in an involuntary case,</w:t>
      </w:r>
    </w:p>
    <w:p>
      <w:pPr>
        <w:spacing w:after="0" w:line="175" w:lineRule="exact"/>
        <w:rPr>
          <w:rFonts w:ascii="Times New Roman" w:cs="Times New Roman" w:eastAsia="Times New Roman" w:hAnsi="Times New Roman"/>
          <w:sz w:val="20"/>
          <w:szCs w:val="20"/>
          <w:color w:val="auto"/>
        </w:rPr>
      </w:pPr>
    </w:p>
    <w:p>
      <w:pPr>
        <w:ind w:left="3160" w:hanging="640"/>
        <w:spacing w:after="0"/>
        <w:tabs>
          <w:tab w:leader="none" w:pos="316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to the appointment of a custodian of it or for all or substantially all of its property,</w:t>
      </w:r>
    </w:p>
    <w:p>
      <w:pPr>
        <w:spacing w:after="0" w:line="161" w:lineRule="exact"/>
        <w:rPr>
          <w:rFonts w:ascii="Times New Roman" w:cs="Times New Roman" w:eastAsia="Times New Roman" w:hAnsi="Times New Roman"/>
          <w:sz w:val="20"/>
          <w:szCs w:val="20"/>
          <w:color w:val="auto"/>
        </w:rPr>
      </w:pPr>
    </w:p>
    <w:p>
      <w:pPr>
        <w:ind w:left="3160" w:hanging="640"/>
        <w:spacing w:after="0"/>
        <w:tabs>
          <w:tab w:leader="none" w:pos="316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makes a general assignment for the benefit of its creditors,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bl>
    <w:p>
      <w:pPr>
        <w:sectPr>
          <w:pgSz w:w="11900" w:h="16838" w:orient="portrait"/>
          <w:cols w:equalWidth="0" w:num="1">
            <w:col w:w="11160"/>
          </w:cols>
          <w:pgMar w:left="400" w:top="1440" w:right="339" w:bottom="1440" w:gutter="0" w:footer="0" w:header="0"/>
        </w:sectPr>
      </w:pPr>
    </w:p>
    <w:bookmarkStart w:id="96" w:name="page97"/>
    <w:bookmarkEnd w:id="96"/>
    <w:p>
      <w:pPr>
        <w:spacing w:after="0" w:line="135" w:lineRule="exact"/>
        <w:rPr>
          <w:sz w:val="20"/>
          <w:szCs w:val="20"/>
          <w:color w:val="auto"/>
        </w:rPr>
      </w:pPr>
    </w:p>
    <w:p>
      <w:pPr>
        <w:ind w:left="3240" w:hanging="640"/>
        <w:spacing w:after="0"/>
        <w:tabs>
          <w:tab w:leader="none" w:pos="324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 is not paying its debts as they become due;</w:t>
      </w:r>
    </w:p>
    <w:p>
      <w:pPr>
        <w:spacing w:after="0" w:line="17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 of competent jurisdiction enters an order or decree under any Bankruptcy Law that:</w:t>
      </w:r>
    </w:p>
    <w:p>
      <w:pPr>
        <w:spacing w:after="0" w:line="161"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for relief against the Company or any Significant Subsidiary in an involuntary case;</w:t>
      </w:r>
    </w:p>
    <w:p>
      <w:pPr>
        <w:spacing w:after="0" w:line="175" w:lineRule="exact"/>
        <w:rPr>
          <w:rFonts w:ascii="Times New Roman" w:cs="Times New Roman" w:eastAsia="Times New Roman" w:hAnsi="Times New Roman"/>
          <w:sz w:val="20"/>
          <w:szCs w:val="20"/>
          <w:color w:val="auto"/>
        </w:rPr>
      </w:pPr>
    </w:p>
    <w:p>
      <w:pPr>
        <w:ind w:left="1300" w:right="20" w:firstLine="1300"/>
        <w:spacing w:after="0" w:line="269" w:lineRule="auto"/>
        <w:tabs>
          <w:tab w:leader="none" w:pos="3238"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appoints a custodian of the Company or any Significant Subsidiary or for all or substantially all of the property of the Company or any Significant Subsidiary; or</w:t>
      </w:r>
    </w:p>
    <w:p>
      <w:pPr>
        <w:spacing w:after="0" w:line="118"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orders the liquidation of the Company or any Significant Subsidiary;</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and the order or decree remains unstayed and in effect for 60 consecutive days.</w:t>
      </w:r>
    </w:p>
    <w:p>
      <w:pPr>
        <w:spacing w:after="0" w:line="162" w:lineRule="exact"/>
        <w:rPr>
          <w:sz w:val="20"/>
          <w:szCs w:val="20"/>
          <w:color w:val="auto"/>
        </w:rPr>
      </w:pPr>
    </w:p>
    <w:p>
      <w:pPr>
        <w:jc w:val="both"/>
        <w:ind w:firstLine="1304"/>
        <w:spacing w:after="0" w:line="258" w:lineRule="auto"/>
        <w:tabs>
          <w:tab w:leader="none" w:pos="193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any Event of Default specified in clause </w:t>
      </w:r>
      <w:r>
        <w:rPr>
          <w:rFonts w:ascii="Times New Roman" w:cs="Times New Roman" w:eastAsia="Times New Roman" w:hAnsi="Times New Roman"/>
          <w:sz w:val="20"/>
          <w:szCs w:val="20"/>
          <w:u w:val="single" w:color="auto"/>
          <w:color w:val="auto"/>
        </w:rPr>
        <w:t>(a)(5)</w:t>
      </w:r>
      <w:r>
        <w:rPr>
          <w:rFonts w:ascii="Times New Roman" w:cs="Times New Roman" w:eastAsia="Times New Roman" w:hAnsi="Times New Roman"/>
          <w:sz w:val="20"/>
          <w:szCs w:val="20"/>
          <w:color w:val="auto"/>
        </w:rPr>
        <w:t xml:space="preserve"> above, such Event of Default and all consequences thereof (excluding any resulting payment default, other than as a result of acceleration of the Notes) shall be annulled, waived and rescinded, automatically and without any action by the Trustee or the Holders of Notes, if within 90 days after such Event of Default arose, the Company delivers an Officers’ Certificate to the Trustee stating that:</w:t>
      </w:r>
    </w:p>
    <w:p>
      <w:pPr>
        <w:spacing w:after="0" w:line="131"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84"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Indebtedness or guarantee that is the basis for such Event of Default has been discharged or (B) holders thereof have rescinded or waived the acceleration, notice or action (as the case may be) giving rise to such Event of Default;</w:t>
      </w:r>
    </w:p>
    <w:p>
      <w:pPr>
        <w:spacing w:after="0" w:line="113" w:lineRule="exact"/>
        <w:rPr>
          <w:rFonts w:ascii="Times New Roman" w:cs="Times New Roman" w:eastAsia="Times New Roman" w:hAnsi="Times New Roman"/>
          <w:sz w:val="20"/>
          <w:szCs w:val="20"/>
          <w:color w:val="auto"/>
        </w:rPr>
      </w:pPr>
    </w:p>
    <w:p>
      <w:pPr>
        <w:ind w:left="1300" w:firstLine="652"/>
        <w:spacing w:after="0" w:line="283" w:lineRule="auto"/>
        <w:tabs>
          <w:tab w:leader="none" w:pos="2584"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annulment of the acceleration of the Notes would not conflict with any judgment or decree of a court of competent jurisdiction; and</w:t>
      </w:r>
    </w:p>
    <w:p>
      <w:pPr>
        <w:spacing w:after="0" w:line="105" w:lineRule="exact"/>
        <w:rPr>
          <w:rFonts w:ascii="Times New Roman" w:cs="Times New Roman" w:eastAsia="Times New Roman" w:hAnsi="Times New Roman"/>
          <w:sz w:val="20"/>
          <w:szCs w:val="20"/>
          <w:color w:val="auto"/>
        </w:rPr>
      </w:pPr>
    </w:p>
    <w:p>
      <w:pPr>
        <w:ind w:left="1300" w:firstLine="652"/>
        <w:spacing w:after="0" w:line="269" w:lineRule="auto"/>
        <w:tabs>
          <w:tab w:leader="none" w:pos="2584"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existing Events of Default, except nonpayment of principal, premium or interest on the Notes that became due solely because of the acceleration of the Notes, have been cured or waived.</w:t>
      </w:r>
    </w:p>
    <w:p>
      <w:pPr>
        <w:spacing w:after="0" w:line="1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6.02 </w:t>
      </w:r>
      <w:r>
        <w:rPr>
          <w:rFonts w:ascii="Times New Roman" w:cs="Times New Roman" w:eastAsia="Times New Roman" w:hAnsi="Times New Roman"/>
          <w:sz w:val="20"/>
          <w:szCs w:val="20"/>
          <w:b w:val="1"/>
          <w:bCs w:val="1"/>
          <w:u w:val="single" w:color="auto"/>
          <w:color w:val="auto"/>
        </w:rPr>
        <w:t>Acceleration</w:t>
      </w:r>
      <w:r>
        <w:rPr>
          <w:rFonts w:ascii="Times New Roman" w:cs="Times New Roman" w:eastAsia="Times New Roman" w:hAnsi="Times New Roman"/>
          <w:sz w:val="20"/>
          <w:szCs w:val="20"/>
          <w:color w:val="auto"/>
        </w:rPr>
        <w:t>. In the case of an Event of Default specified in clause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(a)(9)</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the Company, all outstanding Notes will become due and payable immediately without further action or notice. If any other Event of Default occurs and is continuing, the Trustee or the Holders of at least 25% in aggregate principal amount of the then outstanding Notes may, by written notice to the Company (and to the Trustee if notice is given by such holders), declare the principal of, and accrued and unpaid interest, if any, on, all outstanding Notes to be due and payable immediately. Upon any such declaration, the Notes shall become due and payable immediately.</w:t>
      </w:r>
    </w:p>
    <w:p>
      <w:pPr>
        <w:spacing w:after="0" w:line="1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Holders of a majority in aggregate principal amount of the then outstanding Notes by written notice to the Trustee may, on behalf of all of the Holders of all the Notes, rescind an acceleration or waive any existing Default or Event of Default and its consequences, if the rescission would not conflict with any judgment or decree, except a continuing Default or Event of Default in the payment of principal of, premium on, if any, or interest on, the Notes.</w:t>
      </w:r>
    </w:p>
    <w:p>
      <w:pPr>
        <w:spacing w:after="0" w:line="13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 notice of Default, notice of acceleration or instruction to the Trustee to provide a notice of Default, notice of acceleration or take any other action (or refrain from taking any action) (a “</w:t>
      </w:r>
      <w:r>
        <w:rPr>
          <w:rFonts w:ascii="Times New Roman" w:cs="Times New Roman" w:eastAsia="Times New Roman" w:hAnsi="Times New Roman"/>
          <w:sz w:val="20"/>
          <w:szCs w:val="20"/>
          <w:u w:val="single" w:color="auto"/>
          <w:color w:val="auto"/>
        </w:rPr>
        <w:t>Noteholder Direction</w:t>
      </w:r>
      <w:r>
        <w:rPr>
          <w:rFonts w:ascii="Times New Roman" w:cs="Times New Roman" w:eastAsia="Times New Roman" w:hAnsi="Times New Roman"/>
          <w:sz w:val="20"/>
          <w:szCs w:val="20"/>
          <w:color w:val="auto"/>
        </w:rPr>
        <w:t>”) provided by any one or more holders of the Notes (each a “</w:t>
      </w:r>
      <w:r>
        <w:rPr>
          <w:rFonts w:ascii="Times New Roman" w:cs="Times New Roman" w:eastAsia="Times New Roman" w:hAnsi="Times New Roman"/>
          <w:sz w:val="20"/>
          <w:szCs w:val="20"/>
          <w:u w:val="single" w:color="auto"/>
          <w:color w:val="auto"/>
        </w:rPr>
        <w:t>Directing Holder</w:t>
      </w:r>
      <w:r>
        <w:rPr>
          <w:rFonts w:ascii="Times New Roman" w:cs="Times New Roman" w:eastAsia="Times New Roman" w:hAnsi="Times New Roman"/>
          <w:sz w:val="20"/>
          <w:szCs w:val="20"/>
          <w:color w:val="auto"/>
        </w:rPr>
        <w:t>”) must be accompanied by a written representation from each such holder delivered to the Company and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bl>
    <w:p>
      <w:pPr>
        <w:sectPr>
          <w:pgSz w:w="11900" w:h="16838" w:orient="portrait"/>
          <w:cols w:equalWidth="0" w:num="1">
            <w:col w:w="11240"/>
          </w:cols>
          <w:pgMar w:left="320" w:top="1440" w:right="339" w:bottom="1440" w:gutter="0" w:footer="0" w:header="0"/>
        </w:sectPr>
      </w:pPr>
    </w:p>
    <w:bookmarkStart w:id="97" w:name="page98"/>
    <w:bookmarkEnd w:id="97"/>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that such holder is not (or, in the case such holder is DTC or its nominee, that such holder is being instructed solely by beneficial owners that are not) Net Short (a “</w:t>
      </w:r>
      <w:r>
        <w:rPr>
          <w:rFonts w:ascii="Times New Roman" w:cs="Times New Roman" w:eastAsia="Times New Roman" w:hAnsi="Times New Roman"/>
          <w:sz w:val="20"/>
          <w:szCs w:val="20"/>
          <w:u w:val="single" w:color="auto"/>
          <w:color w:val="auto"/>
        </w:rPr>
        <w:t>Position Representation</w:t>
      </w:r>
      <w:r>
        <w:rPr>
          <w:rFonts w:ascii="Times New Roman" w:cs="Times New Roman" w:eastAsia="Times New Roman" w:hAnsi="Times New Roman"/>
          <w:sz w:val="20"/>
          <w:szCs w:val="20"/>
          <w:color w:val="auto"/>
        </w:rPr>
        <w:t>”), which representation, in the case of a Noteholder Direction relating to the delivery of a notice of Default shall be deemed a continuing representation until the resulting Event of Default is cured or otherwise ceases to exist or the Notes are accelerated. In addition, each Directing Holder is deemed, at the time of providing a Noteholder Direction, to covenant to provide the Company (with a copy to the Trustee) with such other information as the Company may reasonably request from time to time in order to verify the accuracy of such Noteholder’s Position Representation within five Business Days of request therefor (a “</w:t>
      </w:r>
      <w:r>
        <w:rPr>
          <w:rFonts w:ascii="Times New Roman" w:cs="Times New Roman" w:eastAsia="Times New Roman" w:hAnsi="Times New Roman"/>
          <w:sz w:val="20"/>
          <w:szCs w:val="20"/>
          <w:u w:val="single" w:color="auto"/>
          <w:color w:val="auto"/>
        </w:rPr>
        <w:t>Verification Covenant</w:t>
      </w:r>
      <w:r>
        <w:rPr>
          <w:rFonts w:ascii="Times New Roman" w:cs="Times New Roman" w:eastAsia="Times New Roman" w:hAnsi="Times New Roman"/>
          <w:sz w:val="20"/>
          <w:szCs w:val="20"/>
          <w:color w:val="auto"/>
        </w:rPr>
        <w:t>”). In any case in which the holder is DTC or its nominee (after delivery to the Trustee of appropriate confirmation of beneficial ownership satisfactory to the Trustee), any Position Representation or Verification Covenant required hereunder shall be provided by the beneficial owner of the Notes in lieu of DTC or its nominee and DTC shall be entitled to conclusively rely on such Position Representation and Verification Covenant in delivering its direction to the Trustee. The Trustee shall have no duty whatsoever to provide this information to the Company or to obtain this information for the Company.</w:t>
      </w:r>
    </w:p>
    <w:p>
      <w:pPr>
        <w:spacing w:after="0" w:line="14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If, following the delivery of a Noteholder Direction, but prior to acceleration of the Notes, the Company determines in good faith that there is a reasonable basis to believe a Directing Holder was, at any relevant time, in breach of its Position Representation and provides to the Trustee an Officers’ Certificate stating that the Company has initiated litigation in a court of competent jurisdiction seeking a determination that such Directing Holder was, at such time, in breach of its Position Representation, and seeking to invalidate any Default, Event of Default or acceleration (or notice thereof) that resulted from the applicable Noteholder Direction, the cure period with respect to such Default shall be automatically stayed and the cure period with respect to such Default or Event of Default shall be automatically reinstituted and any remedy stayed pending a final and non-appealable determination of a court of competent jurisdiction on such matter. If, following the delivery of a Noteholder Direction, but prior to acceleration of the Notes, the Company provides to the Trustee an Officers’ Certificate stating that a final and non-appealable determination of a court of competent jurisdiction on such matter has been made that a Directing Holder failed to satisfy its Verification Covenant, the cure period with respect to such Default shall be automatically stayed and the cure period with respect to any Default or Event of Default that resulted from the applicable Noteholder Direction shall be automatically reinstituted and any remedy stayed pending satisfaction of such Verification Covenant. Any breach of the Position Representation shall result in such Directing Holder’s participation in such Noteholder Direction being disregarded; and, if, without the participation of such Directing Holder, the percentage of Notes held by the remaining holders that provided such Noteholder Direction would have been insufficient to validly provide such Noteholder Direction, such Noteholder Direction shall be void ab initio (other than any indemnity or security such holder may have offered the Trustee, which obligations shall continue to survive), with the effect that such Default or Event of Default shall be deemed never to have occurred, acceleration voided and the Trustee shall be deemed not to have received such Noteholder Direction or any notice of such Default or Event of Default.</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Notwithstanding anything in the preceding two paragraphs to the contrary, any Noteholder Direction delivered to the Trustee during the pendency of an Event of Default as the result of a bankruptcy or similar proceeding shall not require compliance with the foregoing paragraphs.</w:t>
      </w:r>
    </w:p>
    <w:p>
      <w:pPr>
        <w:spacing w:after="0" w:line="1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For the avoidance of doubt,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bl>
    <w:p>
      <w:pPr>
        <w:sectPr>
          <w:pgSz w:w="11900" w:h="16838" w:orient="portrait"/>
          <w:cols w:equalWidth="0" w:num="1">
            <w:col w:w="11240"/>
          </w:cols>
          <w:pgMar w:left="320" w:top="1440" w:right="339" w:bottom="1440" w:gutter="0" w:footer="0" w:header="0"/>
        </w:sectPr>
      </w:pPr>
    </w:p>
    <w:bookmarkStart w:id="98" w:name="page99"/>
    <w:bookmarkEnd w:id="98"/>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Instruments, Short Derivative Instruments or otherwise. The Trustee shall have no liability to the Company, any holder or any other Person in acting in good faith on a Noteholder Direction.</w:t>
      </w:r>
    </w:p>
    <w:p>
      <w:pPr>
        <w:spacing w:after="0" w:line="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With their acquisition of the Notes, each Holder and subsequent purchaser of the Notes consents to the delivery of its Position Representation by the Trustee to the Company in accordance with the terms of this section. Each Holder and subsequent purchaser of the Notes waives any and all claims, in law and/or in equity, against the Trustee and agrees not to commence any legal proceeding against the Trustee in respect of, and agrees that the Trustee will not be liable for any action that the Trustee takes in accordance with this section, or arising out of or in connection with following instructions or taking actions in accordance with a Noteholder Direction.</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Company waives any and all claims, in law and/or in equity, against the Trustee, and agrees not to commence any legal proceeding against the Trustee in respect of, and agrees that the Trustee will not be liable for any action that the trustee takes in accordance with this section, or arising out of or in connection with following instructions or taking actions in accordance with a Noteholder Direction.</w:t>
      </w:r>
    </w:p>
    <w:p>
      <w:pPr>
        <w:spacing w:after="0" w:line="1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For the avoidance of doubt, the Trustee will treat all Holders equally with respect to their rights under this section. In connection with the requisite percentages required under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the Trustee shall also treat all outstanding Notes equally irrespective of any Position Representation in determining whether the requisite percentage has been obtained with respect to the initial delivery of the Noteholder Direction. The Company confirms that any and all other actions that the Trustee takes or omits to take under this section and all fees, costs expenses of the Trustee and its agents and counsel arising hereunder and in connection herewith shall be covered by the provisions of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hereof.</w:t>
      </w:r>
    </w:p>
    <w:p>
      <w:pPr>
        <w:spacing w:after="0" w:line="13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6.03 </w:t>
      </w:r>
      <w:r>
        <w:rPr>
          <w:rFonts w:ascii="Times New Roman" w:cs="Times New Roman" w:eastAsia="Times New Roman" w:hAnsi="Times New Roman"/>
          <w:sz w:val="20"/>
          <w:szCs w:val="20"/>
          <w:b w:val="1"/>
          <w:bCs w:val="1"/>
          <w:u w:val="single" w:color="auto"/>
          <w:color w:val="auto"/>
        </w:rPr>
        <w:t>Other Remedies</w:t>
      </w:r>
      <w:r>
        <w:rPr>
          <w:rFonts w:ascii="Times New Roman" w:cs="Times New Roman" w:eastAsia="Times New Roman" w:hAnsi="Times New Roman"/>
          <w:sz w:val="20"/>
          <w:szCs w:val="20"/>
          <w:color w:val="auto"/>
        </w:rPr>
        <w:t>. If an Event of Default occurs and is continuing, the Trustee may pursue any available remedy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collect the payment of principal of, premium on, if any, or interest on the Notes or to enforce the performance of any provision of the Notes or this Indenture.</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3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Trustee shall have the right in an Event of Default to file a proof of claim on behalf of the Noteholders as creditors in a bankruptcy.</w:t>
      </w:r>
    </w:p>
    <w:p>
      <w:pPr>
        <w:spacing w:after="0" w:line="11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Section 6.04 </w:t>
      </w:r>
      <w:r>
        <w:rPr>
          <w:rFonts w:ascii="Times New Roman" w:cs="Times New Roman" w:eastAsia="Times New Roman" w:hAnsi="Times New Roman"/>
          <w:sz w:val="20"/>
          <w:szCs w:val="20"/>
          <w:b w:val="1"/>
          <w:bCs w:val="1"/>
          <w:u w:val="single" w:color="auto"/>
          <w:color w:val="auto"/>
        </w:rPr>
        <w:t>Waiver of Past Defaults</w:t>
      </w:r>
      <w:r>
        <w:rPr>
          <w:rFonts w:ascii="Times New Roman" w:cs="Times New Roman" w:eastAsia="Times New Roman" w:hAnsi="Times New Roman"/>
          <w:sz w:val="20"/>
          <w:szCs w:val="20"/>
          <w:color w:val="auto"/>
        </w:rPr>
        <w:t>. The Holders of a majority in aggregate principal amount of the then outstanding Notes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written notice to the Trustee may, on behalf of the Holders of all of the Notes waive any existing Default or Event of Default and its consequences hereunder, except a continuing Default or Event of Default in the payment of principal of, premium on, if any, or interest on, the Notes (including in connection with an offer to purchase);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3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6.05 </w:t>
      </w:r>
      <w:r>
        <w:rPr>
          <w:rFonts w:ascii="Times New Roman" w:cs="Times New Roman" w:eastAsia="Times New Roman" w:hAnsi="Times New Roman"/>
          <w:sz w:val="20"/>
          <w:szCs w:val="20"/>
          <w:b w:val="1"/>
          <w:bCs w:val="1"/>
          <w:u w:val="single" w:color="auto"/>
          <w:color w:val="auto"/>
        </w:rPr>
        <w:t>Control by Majority</w:t>
      </w:r>
      <w:r>
        <w:rPr>
          <w:rFonts w:ascii="Times New Roman" w:cs="Times New Roman" w:eastAsia="Times New Roman" w:hAnsi="Times New Roman"/>
          <w:sz w:val="20"/>
          <w:szCs w:val="20"/>
          <w:color w:val="auto"/>
        </w:rPr>
        <w:t>. Holders of a majority in aggregate principal amount of the then outstanding Notes may direct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time, method and place of conducting any proceeding for exercising any remedy available to the Trustee or exercising any trust or power conferred on it.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bl>
    <w:p>
      <w:pPr>
        <w:sectPr>
          <w:pgSz w:w="11900" w:h="16838" w:orient="portrait"/>
          <w:cols w:equalWidth="0" w:num="1">
            <w:col w:w="11240"/>
          </w:cols>
          <w:pgMar w:left="320" w:top="1440" w:right="339" w:bottom="1440" w:gutter="0" w:footer="0" w:header="0"/>
        </w:sectPr>
      </w:pPr>
    </w:p>
    <w:bookmarkStart w:id="99" w:name="page100"/>
    <w:bookmarkEnd w:id="99"/>
    <w:p>
      <w:pPr>
        <w:spacing w:after="0" w:line="13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Trustee may refuse to follow any direction that conflicts with law or this Indenture that the Trustee determines may be unduly prejudicial to the rights of other Holders of Notes or that may involve the Trustee in personal liability (it being understood that the Trustee does not have an affirmative duty to ascertain whether or not any such use by a Holder prejudices the rights of other Holders).</w:t>
      </w:r>
    </w:p>
    <w:p>
      <w:pPr>
        <w:spacing w:after="0" w:line="1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6.06</w:t>
      </w:r>
      <w:r>
        <w:rPr>
          <w:sz w:val="20"/>
          <w:szCs w:val="20"/>
          <w:color w:val="auto"/>
        </w:rPr>
        <w:tab/>
      </w:r>
      <w:r>
        <w:rPr>
          <w:rFonts w:ascii="Times New Roman" w:cs="Times New Roman" w:eastAsia="Times New Roman" w:hAnsi="Times New Roman"/>
          <w:sz w:val="19"/>
          <w:szCs w:val="19"/>
          <w:b w:val="1"/>
          <w:bCs w:val="1"/>
          <w:u w:val="single" w:color="auto"/>
          <w:color w:val="auto"/>
        </w:rPr>
        <w:t>Limitation on Suits</w:t>
      </w:r>
      <w:r>
        <w:rPr>
          <w:rFonts w:ascii="Times New Roman" w:cs="Times New Roman" w:eastAsia="Times New Roman" w:hAnsi="Times New Roman"/>
          <w:sz w:val="19"/>
          <w:szCs w:val="19"/>
          <w:color w:val="auto"/>
        </w:rPr>
        <w:t>. No Holder of a Note may pursue any remedy with respect to this Indenture or the Notes unless:</w:t>
      </w:r>
    </w:p>
    <w:p>
      <w:pPr>
        <w:spacing w:after="0" w:line="166" w:lineRule="exact"/>
        <w:rPr>
          <w:sz w:val="20"/>
          <w:szCs w:val="20"/>
          <w:color w:val="auto"/>
        </w:rPr>
      </w:pPr>
    </w:p>
    <w:p>
      <w:pPr>
        <w:ind w:left="1940" w:hanging="636"/>
        <w:spacing w:after="0"/>
        <w:tabs>
          <w:tab w:leader="none" w:pos="194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Holder has previously given the Trustee written notice that an Event of Default is continuing;</w:t>
      </w:r>
    </w:p>
    <w:p>
      <w:pPr>
        <w:spacing w:after="0" w:line="175"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Holders of at least 25% in aggregate principal amount of the then outstanding Notes make a written request to the Trustee to pursue the remedy;</w:t>
      </w:r>
    </w:p>
    <w:p>
      <w:pPr>
        <w:spacing w:after="0" w:line="92"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Holder or Holders offer and, if requested, provide to the Trustee security or indemnity satisfactory to the Trustee against any loss, liability or expense;</w:t>
      </w:r>
    </w:p>
    <w:p>
      <w:pPr>
        <w:spacing w:after="0" w:line="9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does not comply with such request within 60 days after receipt of the request and the offer of security or</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indemnity; and</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such 60-day period, Holders of a majority in aggregate principal amount of the then outstanding Notes do not give the Trustee a direction inconsistent with such request.</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 Holder of a Note may not use this Indenture to prejudice the rights of another Holder of a Note or to obtain a preference or priority over another Holder of a Note (it being understood that the Trustee does not have an affirmative duty to ascertain whether or not any such use by a Holder affects, disturbs or prejudices the rights of other Holders or obtains or seeks to obtain priority or preference over such other Holders or enforces any right under this Indenture).</w:t>
      </w:r>
    </w:p>
    <w:p>
      <w:pPr>
        <w:spacing w:after="0" w:line="11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6.07 </w:t>
      </w:r>
      <w:r>
        <w:rPr>
          <w:rFonts w:ascii="Times New Roman" w:cs="Times New Roman" w:eastAsia="Times New Roman" w:hAnsi="Times New Roman"/>
          <w:sz w:val="20"/>
          <w:szCs w:val="20"/>
          <w:b w:val="1"/>
          <w:bCs w:val="1"/>
          <w:u w:val="single" w:color="auto"/>
          <w:color w:val="auto"/>
        </w:rPr>
        <w:t>Rights of Holders of Notes to Receive Payment</w:t>
      </w:r>
      <w:r>
        <w:rPr>
          <w:rFonts w:ascii="Times New Roman" w:cs="Times New Roman" w:eastAsia="Times New Roman" w:hAnsi="Times New Roman"/>
          <w:sz w:val="20"/>
          <w:szCs w:val="20"/>
          <w:color w:val="auto"/>
        </w:rPr>
        <w:t>. Notwithstanding any other provision of this Indenture, the right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Holder of a Note to receive payment of principal of, premium on, if any, or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Section 6.08 </w:t>
      </w:r>
      <w:r>
        <w:rPr>
          <w:rFonts w:ascii="Times New Roman" w:cs="Times New Roman" w:eastAsia="Times New Roman" w:hAnsi="Times New Roman"/>
          <w:sz w:val="20"/>
          <w:szCs w:val="20"/>
          <w:b w:val="1"/>
          <w:bCs w:val="1"/>
          <w:u w:val="single" w:color="auto"/>
          <w:color w:val="auto"/>
        </w:rPr>
        <w:t>Collection Suit by Trustee</w:t>
      </w:r>
      <w:r>
        <w:rPr>
          <w:rFonts w:ascii="Times New Roman" w:cs="Times New Roman" w:eastAsia="Times New Roman" w:hAnsi="Times New Roman"/>
          <w:sz w:val="20"/>
          <w:szCs w:val="20"/>
          <w:color w:val="auto"/>
        </w:rPr>
        <w:t>. If an Event of Default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6.01(a)(1)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6.01(a)(2)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occurs and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continuing, the Trustee is authorized to recover judgment in its own name and as trustee of an express trust against the Company for the whole amount of principal of, premium on,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6.09 </w:t>
      </w:r>
      <w:r>
        <w:rPr>
          <w:rFonts w:ascii="Times New Roman" w:cs="Times New Roman" w:eastAsia="Times New Roman" w:hAnsi="Times New Roman"/>
          <w:sz w:val="20"/>
          <w:szCs w:val="20"/>
          <w:b w:val="1"/>
          <w:bCs w:val="1"/>
          <w:u w:val="single" w:color="auto"/>
          <w:color w:val="auto"/>
        </w:rPr>
        <w:t>Trustee May File Proofs of Claim</w:t>
      </w:r>
      <w:r>
        <w:rPr>
          <w:rFonts w:ascii="Times New Roman" w:cs="Times New Roman" w:eastAsia="Times New Roman" w:hAnsi="Times New Roman"/>
          <w:sz w:val="20"/>
          <w:szCs w:val="20"/>
          <w:color w:val="auto"/>
        </w:rPr>
        <w:t>. The Trustee is authorized to file such proofs of claim and other papers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bl>
    <w:p>
      <w:pPr>
        <w:sectPr>
          <w:pgSz w:w="11900" w:h="16838" w:orient="portrait"/>
          <w:cols w:equalWidth="0" w:num="1">
            <w:col w:w="11240"/>
          </w:cols>
          <w:pgMar w:left="320" w:top="1440" w:right="339" w:bottom="1440" w:gutter="0" w:footer="0" w:header="0"/>
        </w:sectPr>
      </w:pPr>
    </w:p>
    <w:bookmarkStart w:id="100" w:name="page101"/>
    <w:bookmarkEnd w:id="100"/>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 xml:space="preserve">reasonable compensation, expenses, disbursements and advances of the Trustee, its agents and counsel, and any other amounts due the Trustee under </w:t>
      </w:r>
      <w:r>
        <w:rPr>
          <w:rFonts w:ascii="Times New Roman" w:cs="Times New Roman" w:eastAsia="Times New Roman" w:hAnsi="Times New Roman"/>
          <w:sz w:val="19"/>
          <w:szCs w:val="19"/>
          <w:u w:val="single" w:color="auto"/>
          <w:color w:val="auto"/>
        </w:rPr>
        <w:t>Section 7.07</w:t>
      </w:r>
      <w:r>
        <w:rPr>
          <w:rFonts w:ascii="Times New Roman" w:cs="Times New Roman" w:eastAsia="Times New Roman" w:hAnsi="Times New Roman"/>
          <w:sz w:val="19"/>
          <w:szCs w:val="19"/>
          <w:color w:val="auto"/>
        </w:rPr>
        <w:t xml:space="preserve"> hereof. To the extent that the payment of any such compensation, expenses, disbursements and advances of the Trustee, its agents and counsel, and any other amounts due the Trustee under </w:t>
      </w:r>
      <w:r>
        <w:rPr>
          <w:rFonts w:ascii="Times New Roman" w:cs="Times New Roman" w:eastAsia="Times New Roman" w:hAnsi="Times New Roman"/>
          <w:sz w:val="19"/>
          <w:szCs w:val="19"/>
          <w:u w:val="single" w:color="auto"/>
          <w:color w:val="auto"/>
        </w:rPr>
        <w:t>Section 7.07</w:t>
      </w:r>
      <w:r>
        <w:rPr>
          <w:rFonts w:ascii="Times New Roman" w:cs="Times New Roman" w:eastAsia="Times New Roman" w:hAnsi="Times New Roman"/>
          <w:sz w:val="19"/>
          <w:szCs w:val="19"/>
          <w:color w:val="auto"/>
        </w:rPr>
        <w:t xml:space="preserve">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2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6.10</w:t>
      </w:r>
      <w:r>
        <w:rPr>
          <w:sz w:val="20"/>
          <w:szCs w:val="20"/>
          <w:color w:val="auto"/>
        </w:rPr>
        <w:tab/>
      </w:r>
      <w:r>
        <w:rPr>
          <w:rFonts w:ascii="Times New Roman" w:cs="Times New Roman" w:eastAsia="Times New Roman" w:hAnsi="Times New Roman"/>
          <w:sz w:val="20"/>
          <w:szCs w:val="20"/>
          <w:b w:val="1"/>
          <w:bCs w:val="1"/>
          <w:u w:val="single" w:color="auto"/>
          <w:color w:val="auto"/>
        </w:rPr>
        <w:t>Priorities</w:t>
      </w:r>
      <w:r>
        <w:rPr>
          <w:rFonts w:ascii="Times New Roman" w:cs="Times New Roman" w:eastAsia="Times New Roman" w:hAnsi="Times New Roman"/>
          <w:sz w:val="20"/>
          <w:szCs w:val="20"/>
          <w:color w:val="auto"/>
        </w:rPr>
        <w:t>. If the Trustee collects any money pursuant to this</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it shall pay out the money in the following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order:</w:t>
      </w:r>
    </w:p>
    <w:p>
      <w:pPr>
        <w:spacing w:after="0" w:line="153"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Trustee, its agents and attorneys for amounts due under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hereof, including payment of all compensation, expenses and liabilities incurred, and all advances made, by the Trustee and the costs and expenses of collection;</w:t>
      </w:r>
    </w:p>
    <w:p>
      <w:pPr>
        <w:spacing w:after="0" w:line="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 Holders of Notes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27"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to the Company or to such party as a court of competent jurisdiction shall direct.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The Trustee may fix a record date and payment date for any payment to Holders of Notes pursuant to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6.11 </w:t>
      </w:r>
      <w:r>
        <w:rPr>
          <w:rFonts w:ascii="Times New Roman" w:cs="Times New Roman" w:eastAsia="Times New Roman" w:hAnsi="Times New Roman"/>
          <w:sz w:val="20"/>
          <w:szCs w:val="20"/>
          <w:b w:val="1"/>
          <w:bCs w:val="1"/>
          <w:u w:val="single" w:color="auto"/>
          <w:color w:val="auto"/>
        </w:rPr>
        <w:t>Undertaking for Costs</w:t>
      </w:r>
      <w:r>
        <w:rPr>
          <w:rFonts w:ascii="Times New Roman" w:cs="Times New Roman" w:eastAsia="Times New Roman" w:hAnsi="Times New Roman"/>
          <w:sz w:val="20"/>
          <w:szCs w:val="20"/>
          <w:color w:val="auto"/>
        </w:rPr>
        <w:t>. In any suit for the enforcement of any right or remedy under this Indenture or in any suit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does not apply to a suit by the Trustee, a suit by a Holder of a Note pursuant to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hereof, or a suit by Holders of more than 10% in aggregate principal amount of the then outstanding Notes.</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TRUSTEE</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7.01</w:t>
      </w:r>
      <w:r>
        <w:rPr>
          <w:sz w:val="20"/>
          <w:szCs w:val="20"/>
          <w:color w:val="auto"/>
        </w:rPr>
        <w:tab/>
      </w:r>
      <w:r>
        <w:rPr>
          <w:rFonts w:ascii="Times New Roman" w:cs="Times New Roman" w:eastAsia="Times New Roman" w:hAnsi="Times New Roman"/>
          <w:sz w:val="19"/>
          <w:szCs w:val="19"/>
          <w:b w:val="1"/>
          <w:bCs w:val="1"/>
          <w:u w:val="single" w:color="auto"/>
          <w:color w:val="auto"/>
        </w:rPr>
        <w:t>Duties of Trustee</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1304"/>
        <w:spacing w:after="0" w:line="258" w:lineRule="auto"/>
        <w:tabs>
          <w:tab w:leader="none" w:pos="193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 Such standard of care is not considered a fiduciary standard nor shall the Trustee be considered a fiduciary in performance of its duties.</w:t>
      </w:r>
    </w:p>
    <w:p>
      <w:pPr>
        <w:spacing w:after="0" w:line="11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during the continuance of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bl>
    <w:p>
      <w:pPr>
        <w:sectPr>
          <w:pgSz w:w="11900" w:h="16838" w:orient="portrait"/>
          <w:cols w:equalWidth="0" w:num="1">
            <w:col w:w="11240"/>
          </w:cols>
          <w:pgMar w:left="320" w:top="1440" w:right="339" w:bottom="1440" w:gutter="0" w:footer="0" w:header="0"/>
        </w:sectPr>
      </w:pPr>
    </w:p>
    <w:bookmarkStart w:id="101" w:name="page102"/>
    <w:bookmarkEnd w:id="101"/>
    <w:p>
      <w:pPr>
        <w:spacing w:after="0" w:line="135" w:lineRule="exact"/>
        <w:rPr>
          <w:sz w:val="20"/>
          <w:szCs w:val="20"/>
          <w:color w:val="auto"/>
        </w:rPr>
      </w:pPr>
    </w:p>
    <w:p>
      <w:pPr>
        <w:jc w:val="both"/>
        <w:ind w:left="1220" w:firstLine="652"/>
        <w:spacing w:after="0" w:line="261" w:lineRule="auto"/>
        <w:tabs>
          <w:tab w:leader="none" w:pos="2504"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27" w:lineRule="exact"/>
        <w:rPr>
          <w:rFonts w:ascii="Times New Roman" w:cs="Times New Roman" w:eastAsia="Times New Roman" w:hAnsi="Times New Roman"/>
          <w:sz w:val="20"/>
          <w:szCs w:val="20"/>
          <w:color w:val="auto"/>
        </w:rPr>
      </w:pPr>
    </w:p>
    <w:p>
      <w:pPr>
        <w:jc w:val="both"/>
        <w:ind w:left="1220" w:firstLine="652"/>
        <w:spacing w:after="0" w:line="253" w:lineRule="auto"/>
        <w:tabs>
          <w:tab w:leader="none" w:pos="2504"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37" w:lineRule="exact"/>
        <w:rPr>
          <w:rFonts w:ascii="Times New Roman" w:cs="Times New Roman" w:eastAsia="Times New Roman" w:hAnsi="Times New Roman"/>
          <w:sz w:val="20"/>
          <w:szCs w:val="20"/>
          <w:color w:val="auto"/>
        </w:rPr>
      </w:pPr>
    </w:p>
    <w:p>
      <w:pPr>
        <w:ind w:left="-80" w:right="20" w:firstLine="1304"/>
        <w:spacing w:after="0" w:line="269" w:lineRule="auto"/>
        <w:tabs>
          <w:tab w:leader="none" w:pos="185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not be relieved from liabilities for its own grossly negligent action, its own grossly negligent failure to act, or its own willful misconduct, except that:</w:t>
      </w:r>
    </w:p>
    <w:p>
      <w:pPr>
        <w:spacing w:after="0" w:line="118" w:lineRule="exact"/>
        <w:rPr>
          <w:rFonts w:ascii="Times New Roman" w:cs="Times New Roman" w:eastAsia="Times New Roman" w:hAnsi="Times New Roman"/>
          <w:sz w:val="20"/>
          <w:szCs w:val="20"/>
          <w:color w:val="auto"/>
        </w:rPr>
      </w:pPr>
    </w:p>
    <w:p>
      <w:pPr>
        <w:ind w:left="2500" w:hanging="628"/>
        <w:spacing w:after="0"/>
        <w:tabs>
          <w:tab w:leader="none" w:pos="2500"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paragraph does not limit the effect of paragraph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220" w:firstLine="652"/>
        <w:spacing w:after="0" w:line="269" w:lineRule="auto"/>
        <w:tabs>
          <w:tab w:leader="none" w:pos="2504"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any error of judgment made in good faith by a Responsible Officer, unless it is proved that the Trustee was grossly negligent in ascertaining the pertinent facts; and</w:t>
      </w:r>
    </w:p>
    <w:p>
      <w:pPr>
        <w:spacing w:after="0" w:line="118" w:lineRule="exact"/>
        <w:rPr>
          <w:rFonts w:ascii="Times New Roman" w:cs="Times New Roman" w:eastAsia="Times New Roman" w:hAnsi="Times New Roman"/>
          <w:sz w:val="20"/>
          <w:szCs w:val="20"/>
          <w:color w:val="auto"/>
        </w:rPr>
      </w:pPr>
    </w:p>
    <w:p>
      <w:pPr>
        <w:ind w:left="1220" w:firstLine="652"/>
        <w:spacing w:after="0" w:line="269" w:lineRule="auto"/>
        <w:tabs>
          <w:tab w:leader="none" w:pos="2504"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will not be liable with respect to any action it takes or omits to take in good faith in accordance with a direction received by it pursuant to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hereof.</w:t>
      </w:r>
    </w:p>
    <w:p>
      <w:pPr>
        <w:spacing w:after="0" w:line="118" w:lineRule="exact"/>
        <w:rPr>
          <w:rFonts w:ascii="Times New Roman" w:cs="Times New Roman" w:eastAsia="Times New Roman" w:hAnsi="Times New Roman"/>
          <w:sz w:val="20"/>
          <w:szCs w:val="20"/>
          <w:color w:val="auto"/>
        </w:rPr>
      </w:pPr>
    </w:p>
    <w:p>
      <w:pPr>
        <w:ind w:left="-80" w:firstLine="1304"/>
        <w:spacing w:after="0" w:line="283" w:lineRule="auto"/>
        <w:tabs>
          <w:tab w:leader="none" w:pos="185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Whether or not therein expressly so provided, every provision of this Indenture that in any way relates to the Trustee is subject to paragraphs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92" w:lineRule="exact"/>
        <w:rPr>
          <w:rFonts w:ascii="Times New Roman" w:cs="Times New Roman" w:eastAsia="Times New Roman" w:hAnsi="Times New Roman"/>
          <w:sz w:val="20"/>
          <w:szCs w:val="20"/>
          <w:color w:val="auto"/>
        </w:rPr>
      </w:pPr>
    </w:p>
    <w:p>
      <w:pPr>
        <w:jc w:val="both"/>
        <w:ind w:left="-80" w:firstLine="1304"/>
        <w:spacing w:after="0" w:line="261" w:lineRule="auto"/>
        <w:tabs>
          <w:tab w:leader="none" w:pos="185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provision of this Indenture will require the Trustee to expend or risk its own funds or incur any liability. The Trustee will be under no obligation to exercise any of its rights or powers under this Indenture at the request of any Holders, unless such Holder has offered to the Trustee security and indemnity satisfactory to it against any loss, liability or expense.</w:t>
      </w:r>
    </w:p>
    <w:p>
      <w:pPr>
        <w:spacing w:after="0" w:line="127" w:lineRule="exact"/>
        <w:rPr>
          <w:rFonts w:ascii="Times New Roman" w:cs="Times New Roman" w:eastAsia="Times New Roman" w:hAnsi="Times New Roman"/>
          <w:sz w:val="20"/>
          <w:szCs w:val="20"/>
          <w:color w:val="auto"/>
        </w:rPr>
      </w:pPr>
    </w:p>
    <w:p>
      <w:pPr>
        <w:ind w:left="-80" w:firstLine="1304"/>
        <w:spacing w:after="0" w:line="269" w:lineRule="auto"/>
        <w:tabs>
          <w:tab w:leader="none" w:pos="1859"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18" w:lineRule="exact"/>
        <w:rPr>
          <w:rFonts w:ascii="Times New Roman" w:cs="Times New Roman" w:eastAsia="Times New Roman" w:hAnsi="Times New Roman"/>
          <w:sz w:val="20"/>
          <w:szCs w:val="20"/>
          <w:color w:val="auto"/>
        </w:rPr>
      </w:pPr>
    </w:p>
    <w:p>
      <w:pPr>
        <w:ind w:left="-80" w:firstLine="1304"/>
        <w:spacing w:after="0" w:line="283" w:lineRule="auto"/>
        <w:tabs>
          <w:tab w:leader="none" w:pos="185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provision of this Indenture relating to the conduct or affecting the liability of or affording protection to the Trustee shall be subject to the provisions of this Section.</w:t>
      </w:r>
    </w:p>
    <w:p>
      <w:pPr>
        <w:spacing w:after="0" w:line="88" w:lineRule="exact"/>
        <w:rPr>
          <w:sz w:val="20"/>
          <w:szCs w:val="20"/>
          <w:color w:val="auto"/>
        </w:rPr>
      </w:pPr>
    </w:p>
    <w:p>
      <w:pPr>
        <w:ind w:left="580"/>
        <w:spacing w:after="0"/>
        <w:tabs>
          <w:tab w:leader="none" w:pos="1860" w:val="left"/>
        </w:tabs>
        <w:rPr>
          <w:sz w:val="20"/>
          <w:szCs w:val="20"/>
          <w:color w:val="auto"/>
        </w:rPr>
      </w:pPr>
      <w:r>
        <w:rPr>
          <w:rFonts w:ascii="Times New Roman" w:cs="Times New Roman" w:eastAsia="Times New Roman" w:hAnsi="Times New Roman"/>
          <w:sz w:val="20"/>
          <w:szCs w:val="20"/>
          <w:b w:val="1"/>
          <w:bCs w:val="1"/>
          <w:color w:val="auto"/>
        </w:rPr>
        <w:t>Section 7.02</w:t>
      </w:r>
      <w:r>
        <w:rPr>
          <w:sz w:val="20"/>
          <w:szCs w:val="20"/>
          <w:color w:val="auto"/>
        </w:rPr>
        <w:tab/>
      </w:r>
      <w:r>
        <w:rPr>
          <w:rFonts w:ascii="Times New Roman" w:cs="Times New Roman" w:eastAsia="Times New Roman" w:hAnsi="Times New Roman"/>
          <w:sz w:val="19"/>
          <w:szCs w:val="19"/>
          <w:b w:val="1"/>
          <w:bCs w:val="1"/>
          <w:u w:val="single" w:color="auto"/>
          <w:color w:val="auto"/>
        </w:rPr>
        <w:t>Rights of Trustee</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left="-80" w:firstLine="1304"/>
        <w:spacing w:after="0" w:line="269" w:lineRule="auto"/>
        <w:tabs>
          <w:tab w:leader="none" w:pos="185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conclusively rely upon any document believed by it to be genuine and to have been signed or presented by the proper Person. The Trustee need not investigate any fact or matter stated in the document.</w:t>
      </w:r>
    </w:p>
    <w:p>
      <w:pPr>
        <w:spacing w:after="0" w:line="118" w:lineRule="exact"/>
        <w:rPr>
          <w:rFonts w:ascii="Times New Roman" w:cs="Times New Roman" w:eastAsia="Times New Roman" w:hAnsi="Times New Roman"/>
          <w:sz w:val="20"/>
          <w:szCs w:val="20"/>
          <w:color w:val="auto"/>
        </w:rPr>
      </w:pPr>
    </w:p>
    <w:p>
      <w:pPr>
        <w:jc w:val="both"/>
        <w:ind w:left="-80" w:firstLine="1304"/>
        <w:spacing w:after="0" w:line="261" w:lineRule="auto"/>
        <w:tabs>
          <w:tab w:leader="none" w:pos="185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and the advice of such counsel or any Opinion of Counsel will be full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bl>
    <w:p>
      <w:pPr>
        <w:sectPr>
          <w:pgSz w:w="11900" w:h="16838" w:orient="portrait"/>
          <w:cols w:equalWidth="0" w:num="1">
            <w:col w:w="11160"/>
          </w:cols>
          <w:pgMar w:left="400" w:top="1440" w:right="339" w:bottom="1440" w:gutter="0" w:footer="0" w:header="0"/>
        </w:sectPr>
      </w:pPr>
    </w:p>
    <w:bookmarkStart w:id="102" w:name="page103"/>
    <w:bookmarkEnd w:id="102"/>
    <w:p>
      <w:pPr>
        <w:spacing w:after="0" w:line="13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complete authorization and protection from liability in respect of any action taken, suffered or omitted by it hereunder in good faith and in reliance thereon.</w:t>
      </w:r>
    </w:p>
    <w:p>
      <w:pPr>
        <w:spacing w:after="0" w:line="92" w:lineRule="exact"/>
        <w:rPr>
          <w:sz w:val="20"/>
          <w:szCs w:val="20"/>
          <w:color w:val="auto"/>
        </w:rPr>
      </w:pPr>
    </w:p>
    <w:p>
      <w:pPr>
        <w:ind w:firstLine="1304"/>
        <w:spacing w:after="0" w:line="283" w:lineRule="auto"/>
        <w:tabs>
          <w:tab w:leader="none" w:pos="193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act through its attorneys and agents and will not be responsible for the misconduct or negligence of any agent appointed with due care.</w:t>
      </w:r>
    </w:p>
    <w:p>
      <w:pPr>
        <w:spacing w:after="0" w:line="92" w:lineRule="exact"/>
        <w:rPr>
          <w:rFonts w:ascii="Times New Roman" w:cs="Times New Roman" w:eastAsia="Times New Roman" w:hAnsi="Times New Roman"/>
          <w:sz w:val="20"/>
          <w:szCs w:val="20"/>
          <w:color w:val="auto"/>
        </w:rPr>
      </w:pPr>
    </w:p>
    <w:p>
      <w:pPr>
        <w:ind w:right="20" w:firstLine="1304"/>
        <w:spacing w:after="0" w:line="283" w:lineRule="auto"/>
        <w:tabs>
          <w:tab w:leader="none" w:pos="193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any action it takes or omits to take in good faith that it believes to be authorized or within the rights or powers conferred upon it by this Indenture.</w:t>
      </w:r>
    </w:p>
    <w:p>
      <w:pPr>
        <w:spacing w:after="0" w:line="105" w:lineRule="exact"/>
        <w:rPr>
          <w:rFonts w:ascii="Times New Roman" w:cs="Times New Roman" w:eastAsia="Times New Roman" w:hAnsi="Times New Roman"/>
          <w:sz w:val="20"/>
          <w:szCs w:val="20"/>
          <w:color w:val="auto"/>
        </w:rPr>
      </w:pPr>
    </w:p>
    <w:p>
      <w:pPr>
        <w:ind w:firstLine="1304"/>
        <w:spacing w:after="0" w:line="269" w:lineRule="auto"/>
        <w:tabs>
          <w:tab w:leader="none" w:pos="193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specifically provided in this Indenture, any demand, request, direction or notice from the Company will be sufficient if signed by an Officer of the Company.</w:t>
      </w:r>
    </w:p>
    <w:p>
      <w:pPr>
        <w:spacing w:after="0" w:line="118" w:lineRule="exact"/>
        <w:rPr>
          <w:rFonts w:ascii="Times New Roman" w:cs="Times New Roman" w:eastAsia="Times New Roman" w:hAnsi="Times New Roman"/>
          <w:sz w:val="20"/>
          <w:szCs w:val="20"/>
          <w:color w:val="auto"/>
        </w:rPr>
      </w:pPr>
    </w:p>
    <w:p>
      <w:pPr>
        <w:jc w:val="both"/>
        <w:ind w:firstLine="1304"/>
        <w:spacing w:after="0" w:line="281" w:lineRule="auto"/>
        <w:tabs>
          <w:tab w:leader="none" w:pos="1939"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will be under no obligation to exercise any of the rights or powers vested in it by this Indenture at the request or direction of any of the Holders unless such Holders have offered, and if requested, provided to the Trustee indemnity or security satisfactory to the Trustee against the losses, liabilities and expenses that might be incurred by it in compliance with such request or direction.</w:t>
      </w:r>
    </w:p>
    <w:p>
      <w:pPr>
        <w:spacing w:after="0" w:line="110" w:lineRule="exact"/>
        <w:rPr>
          <w:rFonts w:ascii="Times New Roman" w:cs="Times New Roman" w:eastAsia="Times New Roman" w:hAnsi="Times New Roman"/>
          <w:sz w:val="19"/>
          <w:szCs w:val="19"/>
          <w:color w:val="auto"/>
        </w:rPr>
      </w:pPr>
    </w:p>
    <w:p>
      <w:pPr>
        <w:jc w:val="both"/>
        <w:ind w:firstLine="1304"/>
        <w:spacing w:after="0" w:line="261" w:lineRule="auto"/>
        <w:tabs>
          <w:tab w:leader="none" w:pos="193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the Trustee be liable or responsible for any consequential special, indirect or punitive loss or damage of any kind whatsoever (including, but not limited to, loss of profit) irrespective of whether the Trustee has been advised of the likelihood of such loss or damage and regardless of the form of action.</w:t>
      </w:r>
    </w:p>
    <w:p>
      <w:pPr>
        <w:spacing w:after="0" w:line="11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required to give any bond or surety in respect of the performance of its powers and duties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hereunder.</w:t>
      </w:r>
    </w:p>
    <w:p>
      <w:pPr>
        <w:spacing w:after="0" w:line="159" w:lineRule="exact"/>
        <w:rPr>
          <w:rFonts w:ascii="Times New Roman" w:cs="Times New Roman" w:eastAsia="Times New Roman" w:hAnsi="Times New Roman"/>
          <w:sz w:val="20"/>
          <w:szCs w:val="20"/>
          <w:color w:val="auto"/>
        </w:rPr>
      </w:pPr>
    </w:p>
    <w:p>
      <w:pPr>
        <w:jc w:val="both"/>
        <w:ind w:firstLine="1304"/>
        <w:spacing w:after="0" w:line="267" w:lineRule="auto"/>
        <w:tabs>
          <w:tab w:leader="none" w:pos="1942"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 event shall the Trustee be responsible or liable for any failure or delay in the performance of its obligations hereunder arising out of or caused by, directly or indirectly, forces beyond its control, including, without limitation (i) any act or provision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present or future law or regulation or governmental authority, (ii) strikes, (iii) work stoppages, (iv) accidents, (v) acts of war or terrorism,</w:t>
      </w:r>
    </w:p>
    <w:p>
      <w:pPr>
        <w:spacing w:after="0" w:line="18" w:lineRule="exact"/>
        <w:rPr>
          <w:sz w:val="20"/>
          <w:szCs w:val="20"/>
          <w:color w:val="auto"/>
        </w:rPr>
      </w:pPr>
    </w:p>
    <w:p>
      <w:pPr>
        <w:jc w:val="both"/>
        <w:ind w:firstLine="8"/>
        <w:spacing w:after="0" w:line="249" w:lineRule="auto"/>
        <w:tabs>
          <w:tab w:leader="none" w:pos="38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or military disturbances, (vii) nuclear or natural catastrophes or acts of God, (viii) disease, (ix) epidemic or pandemic, (x) quarantine, (xi) national emergency, (xii) interruptions, loss or malfunctions of utilities, communications or computer (software and hardware) services, (xiii) communications system failure, (xiv) malware or ransomware; (xv) unavailability of the Federal Reserve Bank wire or telex system or other wire or other funds transfer systems, or (xvi) unavailability of any securities clearing system; it being understood that the Trustee shall use reasonable efforts which are consistent with accepted practices in the banking industry to resume performance as soon as practicable under the circumstances.</w:t>
      </w:r>
    </w:p>
    <w:p>
      <w:pPr>
        <w:spacing w:after="0" w:line="139" w:lineRule="exact"/>
        <w:rPr>
          <w:rFonts w:ascii="Times New Roman" w:cs="Times New Roman" w:eastAsia="Times New Roman" w:hAnsi="Times New Roman"/>
          <w:sz w:val="20"/>
          <w:szCs w:val="20"/>
          <w:color w:val="auto"/>
        </w:rPr>
      </w:pPr>
    </w:p>
    <w:p>
      <w:pPr>
        <w:ind w:firstLine="1304"/>
        <w:spacing w:after="0" w:line="269" w:lineRule="auto"/>
        <w:tabs>
          <w:tab w:leader="none" w:pos="1942"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request that the Company deliver a certificate setting forth the names of individuals and/or titles of officers authorized at such time to take specified actions pursuant to this Indenture.</w:t>
      </w:r>
    </w:p>
    <w:p>
      <w:pPr>
        <w:spacing w:after="0" w:line="11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bl>
    <w:p>
      <w:pPr>
        <w:sectPr>
          <w:pgSz w:w="11900" w:h="16838" w:orient="portrait"/>
          <w:cols w:equalWidth="0" w:num="1">
            <w:col w:w="11240"/>
          </w:cols>
          <w:pgMar w:left="320" w:top="1440" w:right="339" w:bottom="1440" w:gutter="0" w:footer="0" w:header="0"/>
        </w:sectPr>
      </w:pPr>
    </w:p>
    <w:bookmarkStart w:id="103" w:name="page104"/>
    <w:bookmarkEnd w:id="103"/>
    <w:p>
      <w:pPr>
        <w:spacing w:after="0" w:line="135" w:lineRule="exact"/>
        <w:rPr>
          <w:sz w:val="20"/>
          <w:szCs w:val="20"/>
          <w:color w:val="auto"/>
        </w:rPr>
      </w:pPr>
    </w:p>
    <w:p>
      <w:pPr>
        <w:jc w:val="both"/>
        <w:ind w:firstLine="1304"/>
        <w:spacing w:after="0" w:line="261" w:lineRule="auto"/>
        <w:tabs>
          <w:tab w:leader="none" w:pos="1942"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provision of this Indenture shall be deemed to impose any duty or obligation on the Trustee to take or omit to take any action, in the performance of its duties or obligations under this Indenture, or to exercise any right or power thereunder, to the extent that taking or omitting to take such action would violate applicable law binding upon it.</w:t>
      </w:r>
    </w:p>
    <w:p>
      <w:pPr>
        <w:spacing w:after="0" w:line="1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7.03 </w:t>
      </w:r>
      <w:r>
        <w:rPr>
          <w:rFonts w:ascii="Times New Roman" w:cs="Times New Roman" w:eastAsia="Times New Roman" w:hAnsi="Times New Roman"/>
          <w:sz w:val="20"/>
          <w:szCs w:val="20"/>
          <w:b w:val="1"/>
          <w:bCs w:val="1"/>
          <w:u w:val="single" w:color="auto"/>
          <w:color w:val="auto"/>
        </w:rPr>
        <w:t>Individual Rights of Trustee</w:t>
      </w:r>
      <w:r>
        <w:rPr>
          <w:rFonts w:ascii="Times New Roman" w:cs="Times New Roman" w:eastAsia="Times New Roman" w:hAnsi="Times New Roman"/>
          <w:sz w:val="20"/>
          <w:szCs w:val="20"/>
          <w:color w:val="auto"/>
        </w:rPr>
        <w:t>. The Trustee in its individual or any other capacity may become the owner or pledgee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Notes and may otherwise deal with the Company or any Affiliate of the Company with the same rights it would have if it were not Trustee. However, in the event that the Trustee acquires any conflicting interest it must eliminate such conflict within 90 days, apply to the SEC for permission to continue as trustee (if this Indenture has been qualified under the TIA) or resign. Any Agent may do the same with like rights and duties. The Trustee is also subject to </w:t>
      </w:r>
      <w:r>
        <w:rPr>
          <w:rFonts w:ascii="Times New Roman" w:cs="Times New Roman" w:eastAsia="Times New Roman" w:hAnsi="Times New Roman"/>
          <w:sz w:val="20"/>
          <w:szCs w:val="20"/>
          <w:u w:val="single" w:color="auto"/>
          <w:color w:val="auto"/>
        </w:rPr>
        <w:t>Sections 7.10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7.11</w:t>
      </w:r>
      <w:r>
        <w:rPr>
          <w:rFonts w:ascii="Times New Roman" w:cs="Times New Roman" w:eastAsia="Times New Roman" w:hAnsi="Times New Roman"/>
          <w:sz w:val="20"/>
          <w:szCs w:val="20"/>
          <w:color w:val="auto"/>
        </w:rPr>
        <w:t xml:space="preserve"> hereof.</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7.04 </w:t>
      </w:r>
      <w:r>
        <w:rPr>
          <w:rFonts w:ascii="Times New Roman" w:cs="Times New Roman" w:eastAsia="Times New Roman" w:hAnsi="Times New Roman"/>
          <w:sz w:val="20"/>
          <w:szCs w:val="20"/>
          <w:b w:val="1"/>
          <w:bCs w:val="1"/>
          <w:u w:val="single" w:color="auto"/>
          <w:color w:val="auto"/>
        </w:rPr>
        <w:t>Trustee’s Disclaimer</w:t>
      </w:r>
      <w:r>
        <w:rPr>
          <w:rFonts w:ascii="Times New Roman" w:cs="Times New Roman" w:eastAsia="Times New Roman" w:hAnsi="Times New Roman"/>
          <w:sz w:val="20"/>
          <w:szCs w:val="20"/>
          <w:color w:val="auto"/>
        </w:rPr>
        <w:t>. The Trustee will not be responsible for and makes no representation as to the validity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Offering Memorandum or any other document in connection with the sale of the Notes or pursuant to this Indenture other than its certificate of authentication.</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7.05 </w:t>
      </w:r>
      <w:r>
        <w:rPr>
          <w:rFonts w:ascii="Times New Roman" w:cs="Times New Roman" w:eastAsia="Times New Roman" w:hAnsi="Times New Roman"/>
          <w:sz w:val="20"/>
          <w:szCs w:val="20"/>
          <w:b w:val="1"/>
          <w:bCs w:val="1"/>
          <w:u w:val="single" w:color="auto"/>
          <w:color w:val="auto"/>
        </w:rPr>
        <w:t>Notice of Defaults</w:t>
      </w:r>
      <w:r>
        <w:rPr>
          <w:rFonts w:ascii="Times New Roman" w:cs="Times New Roman" w:eastAsia="Times New Roman" w:hAnsi="Times New Roman"/>
          <w:sz w:val="20"/>
          <w:szCs w:val="20"/>
          <w:color w:val="auto"/>
        </w:rPr>
        <w:t>. If a Default or Event of Default occurs and is continuing and if it is known to the Trustee,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Trustee will mail to Holders of Notes a notice of the Default or Event of Default within 90 days after it occurs. Except in the case of a Default or Event of Default in payment of principal of, premium on, if any, or interest on, any Note, the Trustee may withhold the notice if and so long as a committee of its Responsible Officers in good faith determines that withholding the notice is in the interests of the Holders of the Notes. The Trustee is not deemed to have knowledge of any Event of Default, except payment-related default, unless specifically notified of such event that is in fact a default in writing as provided in </w:t>
      </w:r>
      <w:r>
        <w:rPr>
          <w:rFonts w:ascii="Times New Roman" w:cs="Times New Roman" w:eastAsia="Times New Roman" w:hAnsi="Times New Roman"/>
          <w:sz w:val="20"/>
          <w:szCs w:val="20"/>
          <w:u w:val="single" w:color="auto"/>
          <w:color w:val="auto"/>
        </w:rPr>
        <w:t>Section 12.02</w:t>
      </w:r>
      <w:r>
        <w:rPr>
          <w:rFonts w:ascii="Times New Roman" w:cs="Times New Roman" w:eastAsia="Times New Roman" w:hAnsi="Times New Roman"/>
          <w:sz w:val="20"/>
          <w:szCs w:val="20"/>
          <w:color w:val="auto"/>
        </w:rPr>
        <w:t xml:space="preserve"> (and such notice references the Notes and this Indenture) and in the absence of any such notice, the Trustee may conclusively assume that no such Default or Event of Default exists.</w:t>
      </w:r>
    </w:p>
    <w:p>
      <w:pPr>
        <w:spacing w:after="0" w:line="11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7.06</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7.07</w:t>
      </w:r>
      <w:r>
        <w:rPr>
          <w:sz w:val="20"/>
          <w:szCs w:val="20"/>
          <w:color w:val="auto"/>
        </w:rPr>
        <w:tab/>
      </w:r>
      <w:r>
        <w:rPr>
          <w:rFonts w:ascii="Times New Roman" w:cs="Times New Roman" w:eastAsia="Times New Roman" w:hAnsi="Times New Roman"/>
          <w:sz w:val="19"/>
          <w:szCs w:val="19"/>
          <w:b w:val="1"/>
          <w:bCs w:val="1"/>
          <w:u w:val="single" w:color="auto"/>
          <w:color w:val="auto"/>
        </w:rPr>
        <w:t>Compensation and Indemnity</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1304"/>
        <w:spacing w:after="0" w:line="253" w:lineRule="auto"/>
        <w:tabs>
          <w:tab w:leader="none" w:pos="193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to the Trustee from time to time reasonable compensation for its acceptance of this Indenture and services hereunder.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37"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and the Guarantors will indemnify, defend, protect and hold harmless the Trustee (in its individual capacity and Trustee capacities) and its directors, officers, employees and agents from and against any and all losses, liabilities or expenses (including reasonable attorneys’ fees and expenses and court costs and taxes, other than taxes based upon, measured by or determined by the income of the Trustee)incurred by it arising out of or in connection with the acceptance or administration of its duties under this Indenture, including the costs and expenses of enforcing this Indenture against the Company and the Guarantors (including this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and defending itself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bl>
    <w:p>
      <w:pPr>
        <w:sectPr>
          <w:pgSz w:w="11900" w:h="16838" w:orient="portrait"/>
          <w:cols w:equalWidth="0" w:num="1">
            <w:col w:w="11240"/>
          </w:cols>
          <w:pgMar w:left="320" w:top="1440" w:right="339" w:bottom="1440" w:gutter="0" w:footer="0" w:header="0"/>
        </w:sectPr>
      </w:pPr>
    </w:p>
    <w:bookmarkStart w:id="104" w:name="page105"/>
    <w:bookmarkEnd w:id="104"/>
    <w:p>
      <w:pPr>
        <w:spacing w:after="0" w:line="1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against any claim (whether asserted by the Company, the Guarantors, any Holder or any other Person) or liability in connection with the exercise or performance of any of its powers or duties hereunder, except to the extent any such loss, liability or expense may be attributable to its gross negligence or willful misconduct as determined by a court of competent jurisdiction in a final, non-appealable judgment. The Trustee will notify the Company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w:t>
      </w:r>
    </w:p>
    <w:p>
      <w:pPr>
        <w:spacing w:after="0" w:line="141" w:lineRule="exact"/>
        <w:rPr>
          <w:sz w:val="20"/>
          <w:szCs w:val="20"/>
          <w:color w:val="auto"/>
        </w:rPr>
      </w:pPr>
    </w:p>
    <w:p>
      <w:pPr>
        <w:ind w:firstLine="1304"/>
        <w:spacing w:after="0" w:line="269" w:lineRule="auto"/>
        <w:tabs>
          <w:tab w:leader="none" w:pos="193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Company and the Guarantors under this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will survive the satisfaction and discharge of this Indenture and the resignation or removal of the Trustee.</w:t>
      </w:r>
    </w:p>
    <w:p>
      <w:pPr>
        <w:spacing w:after="0" w:line="118"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secure the Company’s and the Guarantors’ payment obligations in this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the Trustee will have a Lien prior to the Notes on all money or property held or collected by the Trustee, except that held in trust to pay principal of, premium on, if any, or interest on, particular Notes. Such Lien will survive the satisfaction and discharge of this Indenture.</w:t>
      </w:r>
    </w:p>
    <w:p>
      <w:pPr>
        <w:spacing w:after="0" w:line="127"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 the Trustee incurs expenses or renders services after an Event of Default specified in clause </w:t>
      </w:r>
      <w:r>
        <w:rPr>
          <w:rFonts w:ascii="Times New Roman" w:cs="Times New Roman" w:eastAsia="Times New Roman" w:hAnsi="Times New Roman"/>
          <w:sz w:val="20"/>
          <w:szCs w:val="20"/>
          <w:u w:val="single" w:color="auto"/>
          <w:color w:val="auto"/>
        </w:rPr>
        <w:t>(a)(8)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(a)(9)</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hereof occurs, the expenses and the compensation for the services (including the fees and expenses of its agents and counsel) are intended to constitute expenses of administration under any Bankruptcy Law.</w:t>
      </w:r>
    </w:p>
    <w:p>
      <w:pPr>
        <w:spacing w:after="0" w:line="1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7.08</w:t>
      </w:r>
      <w:r>
        <w:rPr>
          <w:sz w:val="20"/>
          <w:szCs w:val="20"/>
          <w:color w:val="auto"/>
        </w:rPr>
        <w:tab/>
      </w:r>
      <w:r>
        <w:rPr>
          <w:rFonts w:ascii="Times New Roman" w:cs="Times New Roman" w:eastAsia="Times New Roman" w:hAnsi="Times New Roman"/>
          <w:sz w:val="19"/>
          <w:szCs w:val="19"/>
          <w:b w:val="1"/>
          <w:bCs w:val="1"/>
          <w:u w:val="single" w:color="auto"/>
          <w:color w:val="auto"/>
        </w:rPr>
        <w:t>Replacement of Trustee</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right="20" w:firstLine="1304"/>
        <w:spacing w:after="0" w:line="283" w:lineRule="auto"/>
        <w:tabs>
          <w:tab w:leader="none" w:pos="193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resignation or removal of the Trustee and appointment of a successor Trustee will become effective only upon the successor Trustee’s acceptance of appointment as provided in this </w:t>
      </w:r>
      <w:r>
        <w:rPr>
          <w:rFonts w:ascii="Times New Roman" w:cs="Times New Roman" w:eastAsia="Times New Roman" w:hAnsi="Times New Roman"/>
          <w:sz w:val="20"/>
          <w:szCs w:val="20"/>
          <w:u w:val="single" w:color="auto"/>
          <w:color w:val="auto"/>
        </w:rPr>
        <w:t>Section 7.08</w:t>
      </w:r>
      <w:r>
        <w:rPr>
          <w:rFonts w:ascii="Times New Roman" w:cs="Times New Roman" w:eastAsia="Times New Roman" w:hAnsi="Times New Roman"/>
          <w:sz w:val="20"/>
          <w:szCs w:val="20"/>
          <w:color w:val="auto"/>
        </w:rPr>
        <w:t>.</w:t>
      </w:r>
    </w:p>
    <w:p>
      <w:pPr>
        <w:spacing w:after="0" w:line="92"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resign in writing at any time and be discharged from the trust hereby created by so notifying the Company. The Holders of a majority in aggregate principal amount of the then outstanding Notes may remove the Trustee by so notifying the Trustee and the Company in writing not less than 30 days prior to the effective date of such removal. The Company may remove the Trustee if:</w:t>
      </w:r>
    </w:p>
    <w:p>
      <w:pPr>
        <w:spacing w:after="0" w:line="131"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fails to comply with </w:t>
      </w: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 xml:space="preserve"> hereof;</w:t>
      </w:r>
    </w:p>
    <w:p>
      <w:pPr>
        <w:spacing w:after="0" w:line="161" w:lineRule="exact"/>
        <w:rPr>
          <w:rFonts w:ascii="Times New Roman" w:cs="Times New Roman" w:eastAsia="Times New Roman" w:hAnsi="Times New Roman"/>
          <w:sz w:val="20"/>
          <w:szCs w:val="20"/>
          <w:color w:val="auto"/>
        </w:rPr>
      </w:pPr>
    </w:p>
    <w:p>
      <w:pPr>
        <w:ind w:left="1300" w:firstLine="652"/>
        <w:spacing w:after="0" w:line="283" w:lineRule="auto"/>
        <w:tabs>
          <w:tab w:leader="none" w:pos="2584"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is adjudged a bankrupt or an insolvent or an order for relief is entered with respect to the Trustee under any Bankruptcy Law;</w:t>
      </w:r>
    </w:p>
    <w:p>
      <w:pPr>
        <w:spacing w:after="0" w:line="92"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custodian or public officer takes charge of the Trustee or its property; or</w:t>
      </w:r>
    </w:p>
    <w:p>
      <w:pPr>
        <w:spacing w:after="0" w:line="17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becomes incapable of acting.</w:t>
      </w:r>
    </w:p>
    <w:p>
      <w:pPr>
        <w:spacing w:after="0" w:line="175" w:lineRule="exact"/>
        <w:rPr>
          <w:rFonts w:ascii="Times New Roman" w:cs="Times New Roman" w:eastAsia="Times New Roman" w:hAnsi="Times New Roman"/>
          <w:sz w:val="20"/>
          <w:szCs w:val="20"/>
          <w:color w:val="auto"/>
        </w:rPr>
      </w:pPr>
    </w:p>
    <w:p>
      <w:pPr>
        <w:jc w:val="both"/>
        <w:ind w:firstLine="1304"/>
        <w:spacing w:after="0" w:line="281" w:lineRule="auto"/>
        <w:tabs>
          <w:tab w:leader="none" w:pos="1934"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Notes may appoint a successor Trustee to replace the successor Trustee appointed by the Company.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bl>
    <w:p>
      <w:pPr>
        <w:sectPr>
          <w:pgSz w:w="11900" w:h="16838" w:orient="portrait"/>
          <w:cols w:equalWidth="0" w:num="1">
            <w:col w:w="11240"/>
          </w:cols>
          <w:pgMar w:left="320" w:top="1440" w:right="339" w:bottom="1440" w:gutter="0" w:footer="0" w:header="0"/>
        </w:sectPr>
      </w:pPr>
    </w:p>
    <w:bookmarkStart w:id="105" w:name="page106"/>
    <w:bookmarkEnd w:id="105"/>
    <w:p>
      <w:pPr>
        <w:spacing w:after="0" w:line="135" w:lineRule="exact"/>
        <w:rPr>
          <w:sz w:val="20"/>
          <w:szCs w:val="20"/>
          <w:color w:val="auto"/>
        </w:rPr>
      </w:pPr>
    </w:p>
    <w:p>
      <w:pPr>
        <w:jc w:val="both"/>
        <w:ind w:firstLine="1304"/>
        <w:spacing w:after="0" w:line="261" w:lineRule="auto"/>
        <w:tabs>
          <w:tab w:leader="none" w:pos="1932"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successor Trustee does not take office within 60 days after the retiring Trustee resigns or is removed, the retiring Trustee (at the Company’s expense), the Company, or the Holders of at least 10% in aggregate principal amount of the then outstanding Notes may petition any court of competent jurisdiction for the appointment of a successor Trustee.</w:t>
      </w:r>
    </w:p>
    <w:p>
      <w:pPr>
        <w:spacing w:after="0" w:line="127"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Trustee, after written request by any Holder who has been a Holder for at least six months, fails to comply with </w:t>
      </w: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 xml:space="preserve"> hereof, such Holder may petition any court of competent jurisdiction for the removal of the Trustee and the appointment of a successor Trustee.</w:t>
      </w:r>
    </w:p>
    <w:p>
      <w:pPr>
        <w:spacing w:after="0" w:line="127"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9"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provided all sums owing to the Trustee hereunder have been paid and subject to the Lien provided for in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hereof. Notwithstanding replacement of the Trustee pursuant to this </w:t>
      </w:r>
      <w:r>
        <w:rPr>
          <w:rFonts w:ascii="Times New Roman" w:cs="Times New Roman" w:eastAsia="Times New Roman" w:hAnsi="Times New Roman"/>
          <w:sz w:val="20"/>
          <w:szCs w:val="20"/>
          <w:u w:val="single" w:color="auto"/>
          <w:color w:val="auto"/>
        </w:rPr>
        <w:t>Section 7.08</w:t>
      </w:r>
      <w:r>
        <w:rPr>
          <w:rFonts w:ascii="Times New Roman" w:cs="Times New Roman" w:eastAsia="Times New Roman" w:hAnsi="Times New Roman"/>
          <w:sz w:val="20"/>
          <w:szCs w:val="20"/>
          <w:color w:val="auto"/>
        </w:rPr>
        <w:t xml:space="preserve">, the Company’s obligations under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hereof will continue for the benefit of the retiring Trustee.</w:t>
      </w:r>
    </w:p>
    <w:p>
      <w:pPr>
        <w:spacing w:after="0" w:line="1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7.09 </w:t>
      </w:r>
      <w:r>
        <w:rPr>
          <w:rFonts w:ascii="Times New Roman" w:cs="Times New Roman" w:eastAsia="Times New Roman" w:hAnsi="Times New Roman"/>
          <w:sz w:val="20"/>
          <w:szCs w:val="20"/>
          <w:b w:val="1"/>
          <w:bCs w:val="1"/>
          <w:u w:val="single" w:color="auto"/>
          <w:color w:val="auto"/>
        </w:rPr>
        <w:t>Successor Trustee by Merger, etc</w:t>
      </w:r>
      <w:r>
        <w:rPr>
          <w:rFonts w:ascii="Times New Roman" w:cs="Times New Roman" w:eastAsia="Times New Roman" w:hAnsi="Times New Roman"/>
          <w:sz w:val="20"/>
          <w:szCs w:val="20"/>
          <w:color w:val="auto"/>
        </w:rPr>
        <w:t>. If the Trustee consolidates, merges or converts into, or transfers all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substantially all of its corporate trust business to another corporation, the successor corporation without any further act will be the successor Trustee.</w:t>
      </w:r>
    </w:p>
    <w:p>
      <w:pPr>
        <w:spacing w:after="0" w:line="12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7.10 </w:t>
      </w:r>
      <w:r>
        <w:rPr>
          <w:rFonts w:ascii="Times New Roman" w:cs="Times New Roman" w:eastAsia="Times New Roman" w:hAnsi="Times New Roman"/>
          <w:sz w:val="20"/>
          <w:szCs w:val="20"/>
          <w:b w:val="1"/>
          <w:bCs w:val="1"/>
          <w:u w:val="single" w:color="auto"/>
          <w:color w:val="auto"/>
        </w:rPr>
        <w:t>Eligibility; Disqualification</w:t>
      </w:r>
      <w:r>
        <w:rPr>
          <w:rFonts w:ascii="Times New Roman" w:cs="Times New Roman" w:eastAsia="Times New Roman" w:hAnsi="Times New Roman"/>
          <w:sz w:val="20"/>
          <w:szCs w:val="20"/>
          <w:color w:val="auto"/>
        </w:rPr>
        <w:t>. There will at all times be a Trustee hereunder that is a corporation organized and doing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1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7.11</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LEGAL DEFEASANCE AND COVENANT DEFEASANCE</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8.01 </w:t>
      </w:r>
      <w:r>
        <w:rPr>
          <w:rFonts w:ascii="Times New Roman" w:cs="Times New Roman" w:eastAsia="Times New Roman" w:hAnsi="Times New Roman"/>
          <w:sz w:val="20"/>
          <w:szCs w:val="20"/>
          <w:b w:val="1"/>
          <w:bCs w:val="1"/>
          <w:u w:val="single" w:color="auto"/>
          <w:color w:val="auto"/>
        </w:rPr>
        <w:t>Option to Effect Legal Defeasance or Covenant Defeasance</w:t>
      </w:r>
      <w:r>
        <w:rPr>
          <w:rFonts w:ascii="Times New Roman" w:cs="Times New Roman" w:eastAsia="Times New Roman" w:hAnsi="Times New Roman"/>
          <w:sz w:val="20"/>
          <w:szCs w:val="20"/>
          <w:color w:val="auto"/>
        </w:rPr>
        <w:t>. The Company may at any time, at the option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Board of Directors evidenced by a resolution set forth in an Officers’ Certificate, elect to have either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8.03</w:t>
      </w:r>
      <w:r>
        <w:rPr>
          <w:rFonts w:ascii="Times New Roman" w:cs="Times New Roman" w:eastAsia="Times New Roman" w:hAnsi="Times New Roman"/>
          <w:sz w:val="20"/>
          <w:szCs w:val="20"/>
          <w:color w:val="auto"/>
        </w:rPr>
        <w:t xml:space="preserve"> hereof be applied to all outstanding Notes upon compliance with the conditions set forth below in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8.02 </w:t>
      </w:r>
      <w:r>
        <w:rPr>
          <w:rFonts w:ascii="Times New Roman" w:cs="Times New Roman" w:eastAsia="Times New Roman" w:hAnsi="Times New Roman"/>
          <w:sz w:val="20"/>
          <w:szCs w:val="20"/>
          <w:b w:val="1"/>
          <w:bCs w:val="1"/>
          <w:u w:val="single" w:color="auto"/>
          <w:color w:val="auto"/>
        </w:rPr>
        <w:t>Legal Defeasance and Discharge</w:t>
      </w:r>
      <w:r>
        <w:rPr>
          <w:rFonts w:ascii="Times New Roman" w:cs="Times New Roman" w:eastAsia="Times New Roman" w:hAnsi="Times New Roman"/>
          <w:sz w:val="20"/>
          <w:szCs w:val="20"/>
          <w:color w:val="auto"/>
        </w:rPr>
        <w:t>. Upon the Company’s exercise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of the option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this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the Company and each of the Guarantors will, subject to the satisfaction of the conditions set forth in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xml:space="preserve"> hereof, be deemed to have been discharged from their obligations with respect to all outstanding Notes (including the Note Guarantees) on the date the conditions set forth below are satisfied (hereinafter, “</w:t>
      </w:r>
      <w:r>
        <w:rPr>
          <w:rFonts w:ascii="Times New Roman" w:cs="Times New Roman" w:eastAsia="Times New Roman" w:hAnsi="Times New Roman"/>
          <w:sz w:val="20"/>
          <w:szCs w:val="20"/>
          <w:u w:val="single" w:color="auto"/>
          <w:color w:val="auto"/>
        </w:rPr>
        <w:t>Legal Defeasance</w:t>
      </w:r>
      <w:r>
        <w:rPr>
          <w:rFonts w:ascii="Times New Roman" w:cs="Times New Roman" w:eastAsia="Times New Roman" w:hAnsi="Times New Roman"/>
          <w:sz w:val="20"/>
          <w:szCs w:val="20"/>
          <w:color w:val="auto"/>
        </w:rPr>
        <w:t xml:space="preserve">”). For this purpose, Legal Defeasance means that the Company and the Guarantors will be deemed to have paid and discharged the entire Indebtedness represented by the outstanding Notes (including the Note Guarantees), which will thereafter be deemed to be “outstanding” only for the purposes of </w:t>
      </w:r>
      <w:r>
        <w:rPr>
          <w:rFonts w:ascii="Times New Roman" w:cs="Times New Roman" w:eastAsia="Times New Roman" w:hAnsi="Times New Roman"/>
          <w:sz w:val="20"/>
          <w:szCs w:val="20"/>
          <w:u w:val="single" w:color="auto"/>
          <w:color w:val="auto"/>
        </w:rPr>
        <w:t>Section 8.05</w:t>
      </w:r>
      <w:r>
        <w:rPr>
          <w:rFonts w:ascii="Times New Roman" w:cs="Times New Roman" w:eastAsia="Times New Roman" w:hAnsi="Times New Roman"/>
          <w:sz w:val="20"/>
          <w:szCs w:val="20"/>
          <w:color w:val="auto"/>
        </w:rPr>
        <w:t xml:space="preserve"> hereof and the other Sections of this Indenture referred to in clauses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below, and to have satisfied all their other obligations under such Notes, the Note Guarantees and this Indenture (and the Trustee, on demand of and at the expense of the Company, shall execute proper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bl>
    <w:p>
      <w:pPr>
        <w:sectPr>
          <w:pgSz w:w="11900" w:h="16838" w:orient="portrait"/>
          <w:cols w:equalWidth="0" w:num="1">
            <w:col w:w="11240"/>
          </w:cols>
          <w:pgMar w:left="320" w:top="1440" w:right="339" w:bottom="1440" w:gutter="0" w:footer="0" w:header="0"/>
        </w:sectPr>
      </w:pPr>
    </w:p>
    <w:bookmarkStart w:id="106" w:name="page107"/>
    <w:bookmarkEnd w:id="106"/>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acknowledging the same), except for the following provisions which will survive until otherwise terminated or discharged hereunder:</w:t>
      </w:r>
    </w:p>
    <w:p>
      <w:pPr>
        <w:spacing w:after="0" w:line="175" w:lineRule="exact"/>
        <w:rPr>
          <w:sz w:val="20"/>
          <w:szCs w:val="20"/>
          <w:color w:val="auto"/>
        </w:rPr>
      </w:pPr>
    </w:p>
    <w:p>
      <w:pPr>
        <w:ind w:left="660" w:right="20" w:firstLine="644"/>
        <w:spacing w:after="0" w:line="269" w:lineRule="auto"/>
        <w:tabs>
          <w:tab w:leader="none" w:pos="194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rights of Holders of outstanding Notes to receive payments in respect of the principal of, premium on, if any, and interest on, such Notes when such payments are due from the trust referred to in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xml:space="preserve"> hereof;</w:t>
      </w:r>
    </w:p>
    <w:p>
      <w:pPr>
        <w:spacing w:after="0" w:line="11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Company’s obligations with respect to such Notes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hereof;</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94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powers, trusts, duties and immunities of the Trustee hereunder and the Company’s and the Guarantors’ obligations in connection therewith; and</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Subject to compliance with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the Company may exercise its option under this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notwithstanding the prior exercise of its option under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hereof.</w:t>
      </w:r>
    </w:p>
    <w:p>
      <w:pPr>
        <w:spacing w:after="0" w:line="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8.03 </w:t>
      </w:r>
      <w:r>
        <w:rPr>
          <w:rFonts w:ascii="Times New Roman" w:cs="Times New Roman" w:eastAsia="Times New Roman" w:hAnsi="Times New Roman"/>
          <w:sz w:val="20"/>
          <w:szCs w:val="20"/>
          <w:b w:val="1"/>
          <w:bCs w:val="1"/>
          <w:u w:val="single" w:color="auto"/>
          <w:color w:val="auto"/>
        </w:rPr>
        <w:t>Covenant Defeasance</w:t>
      </w:r>
      <w:r>
        <w:rPr>
          <w:rFonts w:ascii="Times New Roman" w:cs="Times New Roman" w:eastAsia="Times New Roman" w:hAnsi="Times New Roman"/>
          <w:sz w:val="20"/>
          <w:szCs w:val="20"/>
          <w:color w:val="auto"/>
        </w:rPr>
        <w:t>. Upon the Company’s exercise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of the option applicable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the Company and each of the Guarantors will, subject to the satisfaction of the conditions set forth in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xml:space="preserve"> hereof, be released from each of their obligations under the covenants contained in </w:t>
      </w:r>
      <w:r>
        <w:rPr>
          <w:rFonts w:ascii="Times New Roman" w:cs="Times New Roman" w:eastAsia="Times New Roman" w:hAnsi="Times New Roman"/>
          <w:sz w:val="20"/>
          <w:szCs w:val="20"/>
          <w:u w:val="single" w:color="auto"/>
          <w:color w:val="auto"/>
        </w:rPr>
        <w:t>Sections 4.07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4.19</w:t>
      </w:r>
      <w:r>
        <w:rPr>
          <w:rFonts w:ascii="Times New Roman" w:cs="Times New Roman" w:eastAsia="Times New Roman" w:hAnsi="Times New Roman"/>
          <w:sz w:val="20"/>
          <w:szCs w:val="20"/>
          <w:color w:val="auto"/>
        </w:rPr>
        <w:t xml:space="preserve"> hereof and clause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hereof with respect to the outstanding Notes on and after the date the conditions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8.04</w:t>
      </w:r>
      <w:r>
        <w:rPr>
          <w:rFonts w:ascii="Times New Roman" w:cs="Times New Roman" w:eastAsia="Times New Roman" w:hAnsi="Times New Roman"/>
          <w:sz w:val="20"/>
          <w:szCs w:val="20"/>
          <w:color w:val="auto"/>
        </w:rPr>
        <w:t xml:space="preserve"> hereof are satisfied (hereinafter, “</w:t>
      </w:r>
      <w:r>
        <w:rPr>
          <w:rFonts w:ascii="Times New Roman" w:cs="Times New Roman" w:eastAsia="Times New Roman" w:hAnsi="Times New Roman"/>
          <w:sz w:val="20"/>
          <w:szCs w:val="20"/>
          <w:u w:val="single" w:color="auto"/>
          <w:color w:val="auto"/>
        </w:rPr>
        <w:t>Covenant Defeasance</w:t>
      </w:r>
      <w:r>
        <w:rPr>
          <w:rFonts w:ascii="Times New Roman" w:cs="Times New Roman" w:eastAsia="Times New Roman" w:hAnsi="Times New Roman"/>
          <w:sz w:val="20"/>
          <w:szCs w:val="20"/>
          <w:color w:val="auto"/>
        </w:rPr>
        <w:t xml:space="preserve">”),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Note Guarantees, the Company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hereof, but, except as specified above, the remainder of this Indenture and such Notes and Note Guarantees will be unaffected thereby. In addition, upon the Company’s exercise under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hereof of the option applicable to this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subject to the satisfaction of the conditions set forth in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xml:space="preserve"> hereof, </w:t>
      </w:r>
      <w:r>
        <w:rPr>
          <w:rFonts w:ascii="Times New Roman" w:cs="Times New Roman" w:eastAsia="Times New Roman" w:hAnsi="Times New Roman"/>
          <w:sz w:val="20"/>
          <w:szCs w:val="20"/>
          <w:u w:val="single" w:color="auto"/>
          <w:color w:val="auto"/>
        </w:rPr>
        <w:t>Sections 6.01(a)(3)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w:t>
      </w:r>
      <w:r>
        <w:rPr>
          <w:rFonts w:ascii="Times New Roman" w:cs="Times New Roman" w:eastAsia="Times New Roman" w:hAnsi="Times New Roman"/>
          <w:sz w:val="20"/>
          <w:szCs w:val="20"/>
          <w:color w:val="auto"/>
        </w:rPr>
        <w:t xml:space="preserve"> hereof will not constitute Events of Default.</w:t>
      </w:r>
    </w:p>
    <w:p>
      <w:pPr>
        <w:spacing w:after="0" w:line="13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Section 8.04 </w:t>
      </w:r>
      <w:r>
        <w:rPr>
          <w:rFonts w:ascii="Times New Roman" w:cs="Times New Roman" w:eastAsia="Times New Roman" w:hAnsi="Times New Roman"/>
          <w:sz w:val="20"/>
          <w:szCs w:val="20"/>
          <w:b w:val="1"/>
          <w:bCs w:val="1"/>
          <w:u w:val="single" w:color="auto"/>
          <w:color w:val="auto"/>
        </w:rPr>
        <w:t>Conditions to Legal or Covenant Defeasance</w:t>
      </w:r>
      <w:r>
        <w:rPr>
          <w:rFonts w:ascii="Times New Roman" w:cs="Times New Roman" w:eastAsia="Times New Roman" w:hAnsi="Times New Roman"/>
          <w:sz w:val="20"/>
          <w:szCs w:val="20"/>
          <w:color w:val="auto"/>
        </w:rPr>
        <w:t>. In order to exercise either Legal Defeasance or Covenant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Defeasance under either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8.03</w:t>
      </w:r>
      <w:r>
        <w:rPr>
          <w:rFonts w:ascii="Times New Roman" w:cs="Times New Roman" w:eastAsia="Times New Roman" w:hAnsi="Times New Roman"/>
          <w:sz w:val="20"/>
          <w:szCs w:val="20"/>
          <w:color w:val="auto"/>
        </w:rPr>
        <w:t xml:space="preserve"> hereof:</w:t>
      </w:r>
    </w:p>
    <w:p>
      <w:pPr>
        <w:spacing w:after="0" w:line="88" w:lineRule="exact"/>
        <w:rPr>
          <w:sz w:val="20"/>
          <w:szCs w:val="20"/>
          <w:color w:val="auto"/>
        </w:rPr>
      </w:pPr>
    </w:p>
    <w:p>
      <w:pPr>
        <w:jc w:val="both"/>
        <w:ind w:left="660" w:firstLine="644"/>
        <w:spacing w:after="0" w:line="253" w:lineRule="auto"/>
        <w:tabs>
          <w:tab w:leader="none" w:pos="194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irrevocably deposit with the Trustee, in trust, for the benefit of the Holders, cash in U.S. dollars, non-callable Government Securities, or a combination thereof, in amounts as will be sufficient, in the opinion of a nationally recognized investment bank, appraisal firm or firm of independent public accountants (in the case of any deposit of Government Securities), to pay the principal of, premium on, if any, and interest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bl>
    <w:p>
      <w:pPr>
        <w:sectPr>
          <w:pgSz w:w="11900" w:h="16838" w:orient="portrait"/>
          <w:cols w:equalWidth="0" w:num="1">
            <w:col w:w="11240"/>
          </w:cols>
          <w:pgMar w:left="320" w:top="1440" w:right="339" w:bottom="1440" w:gutter="0" w:footer="0" w:header="0"/>
        </w:sectPr>
      </w:pPr>
    </w:p>
    <w:bookmarkStart w:id="107" w:name="page108"/>
    <w:bookmarkEnd w:id="107"/>
    <w:p>
      <w:pPr>
        <w:spacing w:after="0" w:line="135" w:lineRule="exact"/>
        <w:rPr>
          <w:sz w:val="20"/>
          <w:szCs w:val="20"/>
          <w:color w:val="auto"/>
        </w:rPr>
      </w:pPr>
    </w:p>
    <w:p>
      <w:pPr>
        <w:ind w:left="660" w:firstLine="644"/>
        <w:spacing w:after="0" w:line="283" w:lineRule="auto"/>
        <w:tabs>
          <w:tab w:leader="none" w:pos="194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election under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hereof, the Company must deliver to the Trustee an Opinion of Counsel reasonably acceptable to the Trustee confirming that:</w:t>
      </w:r>
    </w:p>
    <w:p>
      <w:pPr>
        <w:spacing w:after="0" w:line="92"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received from, or there has been published by, the U.S. Internal Revenue Service a</w:t>
      </w:r>
    </w:p>
    <w:p>
      <w:pPr>
        <w:spacing w:after="0" w:line="39" w:lineRule="exact"/>
        <w:rPr>
          <w:rFonts w:ascii="Times New Roman" w:cs="Times New Roman" w:eastAsia="Times New Roman" w:hAnsi="Times New Roman"/>
          <w:sz w:val="19"/>
          <w:szCs w:val="19"/>
          <w:color w:val="auto"/>
        </w:rPr>
      </w:pPr>
    </w:p>
    <w:p>
      <w:pPr>
        <w:ind w:left="1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ruling; or</w:t>
      </w:r>
    </w:p>
    <w:p>
      <w:pPr>
        <w:spacing w:after="0" w:line="146" w:lineRule="exact"/>
        <w:rPr>
          <w:rFonts w:ascii="Times New Roman" w:cs="Times New Roman" w:eastAsia="Times New Roman" w:hAnsi="Times New Roman"/>
          <w:sz w:val="19"/>
          <w:szCs w:val="19"/>
          <w:color w:val="auto"/>
        </w:rPr>
      </w:pPr>
    </w:p>
    <w:p>
      <w:pPr>
        <w:ind w:left="3240" w:hanging="640"/>
        <w:spacing w:after="0"/>
        <w:tabs>
          <w:tab w:leader="none" w:pos="324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date of this Indenture, there has been a change in the applicable federal income tax law,</w:t>
      </w:r>
    </w:p>
    <w:p>
      <w:pPr>
        <w:spacing w:after="0" w:line="17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20"/>
          <w:szCs w:val="20"/>
          <w:color w:val="auto"/>
        </w:rPr>
        <w:t>in either case to the effect that, and based thereon such Opinion of Counsel shall confirm that, the beneficial owners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18" w:lineRule="exact"/>
        <w:rPr>
          <w:sz w:val="20"/>
          <w:szCs w:val="20"/>
          <w:color w:val="auto"/>
        </w:rPr>
      </w:pPr>
    </w:p>
    <w:p>
      <w:pPr>
        <w:jc w:val="both"/>
        <w:ind w:left="660" w:firstLine="644"/>
        <w:spacing w:after="0" w:line="276" w:lineRule="auto"/>
        <w:tabs>
          <w:tab w:leader="none" w:pos="1944"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an election under </w:t>
      </w:r>
      <w:r>
        <w:rPr>
          <w:rFonts w:ascii="Times New Roman" w:cs="Times New Roman" w:eastAsia="Times New Roman" w:hAnsi="Times New Roman"/>
          <w:sz w:val="19"/>
          <w:szCs w:val="19"/>
          <w:u w:val="single" w:color="auto"/>
          <w:color w:val="auto"/>
        </w:rPr>
        <w:t>Section 8.03</w:t>
      </w:r>
      <w:r>
        <w:rPr>
          <w:rFonts w:ascii="Times New Roman" w:cs="Times New Roman" w:eastAsia="Times New Roman" w:hAnsi="Times New Roman"/>
          <w:sz w:val="19"/>
          <w:szCs w:val="19"/>
          <w:color w:val="auto"/>
        </w:rPr>
        <w:t xml:space="preserve"> hereof, the Company must deliver to the Trustee an Opinion of Counsel reasonably acceptable to the Trustee confirming that the beneficial owners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15" w:lineRule="exact"/>
        <w:rPr>
          <w:rFonts w:ascii="Times New Roman" w:cs="Times New Roman" w:eastAsia="Times New Roman" w:hAnsi="Times New Roman"/>
          <w:sz w:val="19"/>
          <w:szCs w:val="19"/>
          <w:color w:val="auto"/>
        </w:rPr>
      </w:pPr>
    </w:p>
    <w:p>
      <w:pPr>
        <w:jc w:val="both"/>
        <w:ind w:left="660" w:firstLine="644"/>
        <w:spacing w:after="0" w:line="261" w:lineRule="auto"/>
        <w:tabs>
          <w:tab w:leader="none" w:pos="19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27"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the Guarantors is a party or by which the Company or any of the Guarantors is bound;</w:t>
      </w:r>
    </w:p>
    <w:p>
      <w:pPr>
        <w:spacing w:after="0" w:line="133"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127"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1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Section 8.05 </w:t>
      </w:r>
      <w:r>
        <w:rPr>
          <w:rFonts w:ascii="Times New Roman" w:cs="Times New Roman" w:eastAsia="Times New Roman" w:hAnsi="Times New Roman"/>
          <w:sz w:val="20"/>
          <w:szCs w:val="20"/>
          <w:b w:val="1"/>
          <w:bCs w:val="1"/>
          <w:u w:val="single" w:color="auto"/>
          <w:color w:val="auto"/>
        </w:rPr>
        <w:t>Deposited Money and Government Securities to be Held in Trust; Other Miscellaneous Provisions</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8.06</w:t>
      </w:r>
      <w:r>
        <w:rPr>
          <w:rFonts w:ascii="Times New Roman" w:cs="Times New Roman" w:eastAsia="Times New Roman" w:hAnsi="Times New Roman"/>
          <w:sz w:val="20"/>
          <w:szCs w:val="20"/>
          <w:color w:val="auto"/>
        </w:rPr>
        <w:t xml:space="preserve"> hereof, all money and non-callable Government Securities (including the proceeds thereof) deposited with the Trustee (or other qualifying trustee, collectively for purposes of this </w:t>
      </w:r>
      <w:r>
        <w:rPr>
          <w:rFonts w:ascii="Times New Roman" w:cs="Times New Roman" w:eastAsia="Times New Roman" w:hAnsi="Times New Roman"/>
          <w:sz w:val="20"/>
          <w:szCs w:val="20"/>
          <w:u w:val="single" w:color="auto"/>
          <w:color w:val="auto"/>
        </w:rPr>
        <w:t>Section 8.05</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xml:space="preserve"> hereof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bl>
    <w:p>
      <w:pPr>
        <w:sectPr>
          <w:pgSz w:w="11900" w:h="16838" w:orient="portrait"/>
          <w:cols w:equalWidth="0" w:num="1">
            <w:col w:w="11240"/>
          </w:cols>
          <w:pgMar w:left="320" w:top="1440" w:right="339" w:bottom="1440" w:gutter="0" w:footer="0" w:header="0"/>
        </w:sectPr>
      </w:pPr>
    </w:p>
    <w:bookmarkStart w:id="108" w:name="page109"/>
    <w:bookmarkEnd w:id="108"/>
    <w:p>
      <w:pPr>
        <w:spacing w:after="0" w:line="13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The Company will pay and indemnify the Trustee against any tax, fee or other charge imposed on or assessed against the cash or non-callable Government Securities deposited pursuant to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xml:space="preserve"> hereof or the principal and interest received in respect thereof other than any such tax, fee or other charge which by law is for the account of the Holders of the outstanding Notes.</w:t>
      </w:r>
    </w:p>
    <w:p>
      <w:pPr>
        <w:spacing w:after="0" w:line="1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to the contrary, the Trustee will deliver or pay to the Company from time to time upon the request of the Company any money or non-callable Government Securities held by it as provided in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xml:space="preserve"> hereof which, in the opinion of a nationally recognized firm of independent public accountants expressed in a written certification thereof delivered to the Trustee (which may be the opinion delivered under </w:t>
      </w:r>
      <w:r>
        <w:rPr>
          <w:rFonts w:ascii="Times New Roman" w:cs="Times New Roman" w:eastAsia="Times New Roman" w:hAnsi="Times New Roman"/>
          <w:sz w:val="20"/>
          <w:szCs w:val="20"/>
          <w:u w:val="single" w:color="auto"/>
          <w:color w:val="auto"/>
        </w:rPr>
        <w:t>Section 8.04(1)</w:t>
      </w:r>
      <w:r>
        <w:rPr>
          <w:rFonts w:ascii="Times New Roman" w:cs="Times New Roman" w:eastAsia="Times New Roman" w:hAnsi="Times New Roman"/>
          <w:sz w:val="20"/>
          <w:szCs w:val="20"/>
          <w:color w:val="auto"/>
        </w:rPr>
        <w:t xml:space="preserve"> hereof), are in excess of the amount thereof that would then be required to be deposited to effect an equivalent Legal Defeasance or Covenant Defeasance.</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8.06 </w:t>
      </w:r>
      <w:r>
        <w:rPr>
          <w:rFonts w:ascii="Times New Roman" w:cs="Times New Roman" w:eastAsia="Times New Roman" w:hAnsi="Times New Roman"/>
          <w:sz w:val="20"/>
          <w:szCs w:val="20"/>
          <w:b w:val="1"/>
          <w:bCs w:val="1"/>
          <w:u w:val="single" w:color="auto"/>
          <w:color w:val="auto"/>
        </w:rPr>
        <w:t>Repayment to Company</w:t>
      </w:r>
      <w:r>
        <w:rPr>
          <w:rFonts w:ascii="Times New Roman" w:cs="Times New Roman" w:eastAsia="Times New Roman" w:hAnsi="Times New Roman"/>
          <w:sz w:val="20"/>
          <w:szCs w:val="20"/>
          <w:color w:val="auto"/>
        </w:rPr>
        <w:t>. Subject to any applicable abandoned property law, any money deposited with the Trustee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any Paying Agent, or then held by the Company, in trust for the payment of the principal of, premium on, if any, or interest on any Note and remaining unclaimed for two years after such principal, premium, if any, or interest has become due and payable shall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w:t>
      </w:r>
    </w:p>
    <w:p>
      <w:pPr>
        <w:spacing w:after="0" w:line="1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Section 8.07 </w:t>
      </w:r>
      <w:r>
        <w:rPr>
          <w:rFonts w:ascii="Times New Roman" w:cs="Times New Roman" w:eastAsia="Times New Roman" w:hAnsi="Times New Roman"/>
          <w:sz w:val="20"/>
          <w:szCs w:val="20"/>
          <w:b w:val="1"/>
          <w:bCs w:val="1"/>
          <w:u w:val="single" w:color="auto"/>
          <w:color w:val="auto"/>
        </w:rPr>
        <w:t>Reinstatement</w:t>
      </w:r>
      <w:r>
        <w:rPr>
          <w:rFonts w:ascii="Times New Roman" w:cs="Times New Roman" w:eastAsia="Times New Roman" w:hAnsi="Times New Roman"/>
          <w:sz w:val="20"/>
          <w:szCs w:val="20"/>
          <w:color w:val="auto"/>
        </w:rPr>
        <w:t>. If the Trustee or Paying Agent is unable to apply any U.S. dollars or non-callable Government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Securities in accordance with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8.03</w:t>
      </w:r>
      <w:r>
        <w:rPr>
          <w:rFonts w:ascii="Times New Roman" w:cs="Times New Roman" w:eastAsia="Times New Roman" w:hAnsi="Times New Roman"/>
          <w:sz w:val="20"/>
          <w:szCs w:val="20"/>
          <w:color w:val="auto"/>
        </w:rPr>
        <w:t xml:space="preserve"> hereof, as the case may be, by reason of any order or judgment of any court or governmental authority enjoining, restraining or otherwise prohibiting such application, then the Company’s and the Guarantors’ obligations under this Indenture and the Notes and the Note Guarantees will be revived and reinstated as though no deposit had occurred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8.03</w:t>
      </w:r>
      <w:r>
        <w:rPr>
          <w:rFonts w:ascii="Times New Roman" w:cs="Times New Roman" w:eastAsia="Times New Roman" w:hAnsi="Times New Roman"/>
          <w:sz w:val="20"/>
          <w:szCs w:val="20"/>
          <w:color w:val="auto"/>
        </w:rPr>
        <w:t xml:space="preserve"> hereof until such time as the Trustee or Paying Agent is permitted to apply all such money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8.03</w:t>
      </w:r>
      <w:r>
        <w:rPr>
          <w:rFonts w:ascii="Times New Roman" w:cs="Times New Roman" w:eastAsia="Times New Roman" w:hAnsi="Times New Roman"/>
          <w:sz w:val="20"/>
          <w:szCs w:val="20"/>
          <w:color w:val="auto"/>
        </w:rPr>
        <w:t xml:space="preserve"> hereof,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the Company makes any payment of principal of, premium on, if any, or interest on, any Note following the reinstatement of its obligations, the Company will be subrogated to the rights of the Holders of such Notes to receive such payment from the money held by the Trustee or Paying Agent.</w:t>
      </w:r>
    </w:p>
    <w:p>
      <w:pPr>
        <w:spacing w:after="0" w:line="13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SUPPLEMENT AND WAIVER</w:t>
      </w:r>
    </w:p>
    <w:p>
      <w:pPr>
        <w:spacing w:after="0" w:line="17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9.01</w:t>
      </w:r>
      <w:r>
        <w:rPr>
          <w:sz w:val="20"/>
          <w:szCs w:val="20"/>
          <w:color w:val="auto"/>
        </w:rPr>
        <w:tab/>
      </w:r>
      <w:r>
        <w:rPr>
          <w:rFonts w:ascii="Times New Roman" w:cs="Times New Roman" w:eastAsia="Times New Roman" w:hAnsi="Times New Roman"/>
          <w:sz w:val="20"/>
          <w:szCs w:val="20"/>
          <w:b w:val="1"/>
          <w:bCs w:val="1"/>
          <w:u w:val="single" w:color="auto"/>
          <w:color w:val="auto"/>
        </w:rPr>
        <w:t>Without Consent of Holders of Notes</w:t>
      </w:r>
      <w:r>
        <w:rPr>
          <w:rFonts w:ascii="Times New Roman" w:cs="Times New Roman" w:eastAsia="Times New Roman" w:hAnsi="Times New Roman"/>
          <w:sz w:val="20"/>
          <w:szCs w:val="20"/>
          <w:color w:val="auto"/>
        </w:rPr>
        <w:t>. Notwithstanding</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of this Indenture, without the consent of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Holder of Notes, the Company, the Guarantors and the Trustee may amend or supplement this Indenture, the Notes or the Note Guarantees:</w:t>
      </w:r>
    </w:p>
    <w:p>
      <w:pPr>
        <w:spacing w:after="0" w:line="153" w:lineRule="exact"/>
        <w:rPr>
          <w:sz w:val="20"/>
          <w:szCs w:val="20"/>
          <w:color w:val="auto"/>
        </w:rPr>
      </w:pPr>
    </w:p>
    <w:p>
      <w:pPr>
        <w:ind w:left="2580" w:hanging="628"/>
        <w:spacing w:after="0"/>
        <w:tabs>
          <w:tab w:leader="none" w:pos="258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cure any ambiguity, defect or inconsistency;</w:t>
      </w:r>
    </w:p>
    <w:p>
      <w:pPr>
        <w:spacing w:after="0" w:line="17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uncertificated Notes in addition to or in place of certificated Notes;</w:t>
      </w:r>
    </w:p>
    <w:p>
      <w:pPr>
        <w:spacing w:after="0" w:line="161" w:lineRule="exact"/>
        <w:rPr>
          <w:rFonts w:ascii="Times New Roman" w:cs="Times New Roman" w:eastAsia="Times New Roman" w:hAnsi="Times New Roman"/>
          <w:sz w:val="20"/>
          <w:szCs w:val="20"/>
          <w:color w:val="auto"/>
        </w:rPr>
      </w:pPr>
    </w:p>
    <w:p>
      <w:pPr>
        <w:ind w:left="1300" w:firstLine="652"/>
        <w:spacing w:after="0" w:line="283" w:lineRule="auto"/>
        <w:tabs>
          <w:tab w:leader="none" w:pos="258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provide for the assumption of the Company’s or a Guarantor’s obligations to the Holders of the Notes and Note Guarantees by a successor to the Company or such Guarantor pursuant to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bl>
    <w:p>
      <w:pPr>
        <w:sectPr>
          <w:pgSz w:w="11900" w:h="16838" w:orient="portrait"/>
          <w:cols w:equalWidth="0" w:num="1">
            <w:col w:w="11240"/>
          </w:cols>
          <w:pgMar w:left="320" w:top="1440" w:right="339" w:bottom="1440" w:gutter="0" w:footer="0" w:header="0"/>
        </w:sectPr>
      </w:pPr>
    </w:p>
    <w:bookmarkStart w:id="109" w:name="page110"/>
    <w:bookmarkEnd w:id="109"/>
    <w:p>
      <w:pPr>
        <w:spacing w:after="0" w:line="135" w:lineRule="exact"/>
        <w:rPr>
          <w:sz w:val="20"/>
          <w:szCs w:val="20"/>
          <w:color w:val="auto"/>
        </w:rPr>
      </w:pPr>
    </w:p>
    <w:p>
      <w:pPr>
        <w:ind w:left="1300" w:firstLine="652"/>
        <w:spacing w:after="0" w:line="283" w:lineRule="auto"/>
        <w:tabs>
          <w:tab w:leader="none" w:pos="258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any change that would provide any additional rights or benefits to the Holders of the Notes or that does not adversely affect the legal rights hereunder of any Holder;</w:t>
      </w:r>
    </w:p>
    <w:p>
      <w:pPr>
        <w:spacing w:after="0" w:line="92"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requirements of the SEC in order to effect or maintain the qualification of this Indenture</w:t>
      </w:r>
    </w:p>
    <w:p>
      <w:pPr>
        <w:spacing w:after="0" w:line="28"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TIA;</w:t>
      </w:r>
    </w:p>
    <w:p>
      <w:pPr>
        <w:spacing w:after="0" w:line="146"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8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conform the text of this Indenture, the Notes or the Note Guarantees to any provision of the “Description of Notes” section of the Offering Memorandum to the extent that such provision in that “Description of Notes” was intended to be a verbatim recitation of a provision of this Indenture, the Notes or the Note Guarantees, which intent may be evidenced by an Officers’ Certificate to that effect;</w:t>
      </w:r>
    </w:p>
    <w:p>
      <w:pPr>
        <w:spacing w:after="0" w:line="131" w:lineRule="exact"/>
        <w:rPr>
          <w:rFonts w:ascii="Times New Roman" w:cs="Times New Roman" w:eastAsia="Times New Roman" w:hAnsi="Times New Roman"/>
          <w:sz w:val="20"/>
          <w:szCs w:val="20"/>
          <w:color w:val="auto"/>
        </w:rPr>
      </w:pPr>
    </w:p>
    <w:p>
      <w:pPr>
        <w:ind w:left="1300" w:firstLine="652"/>
        <w:spacing w:after="0" w:line="269" w:lineRule="auto"/>
        <w:tabs>
          <w:tab w:leader="none" w:pos="258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evidence and provide for the acceptance and appointment of a successor trustee under this Indenture pursuant to the requirements hereof;</w:t>
      </w:r>
    </w:p>
    <w:p>
      <w:pPr>
        <w:spacing w:after="0" w:line="118" w:lineRule="exact"/>
        <w:rPr>
          <w:rFonts w:ascii="Times New Roman" w:cs="Times New Roman" w:eastAsia="Times New Roman" w:hAnsi="Times New Roman"/>
          <w:sz w:val="20"/>
          <w:szCs w:val="20"/>
          <w:color w:val="auto"/>
        </w:rPr>
      </w:pPr>
    </w:p>
    <w:p>
      <w:pPr>
        <w:ind w:left="1300" w:firstLine="652"/>
        <w:spacing w:after="0" w:line="283" w:lineRule="auto"/>
        <w:tabs>
          <w:tab w:leader="none" w:pos="258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issuance of Additional Notes in accordance with the limitations set forth in this Indenture as of the date hereof;</w:t>
      </w:r>
    </w:p>
    <w:p>
      <w:pPr>
        <w:spacing w:after="0" w:line="92" w:lineRule="exact"/>
        <w:rPr>
          <w:rFonts w:ascii="Times New Roman" w:cs="Times New Roman" w:eastAsia="Times New Roman" w:hAnsi="Times New Roman"/>
          <w:sz w:val="20"/>
          <w:szCs w:val="20"/>
          <w:color w:val="auto"/>
        </w:rPr>
      </w:pPr>
    </w:p>
    <w:p>
      <w:pPr>
        <w:ind w:left="1300" w:firstLine="652"/>
        <w:spacing w:after="0" w:line="283" w:lineRule="auto"/>
        <w:tabs>
          <w:tab w:leader="none" w:pos="258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allow any Guarantor to execute a supplemental indenture and/or a Note Guarantee with respect to the Notes and to release any Guarantor from its Note Guarantee in accordance with the terms of this Indenture;</w:t>
      </w:r>
    </w:p>
    <w:p>
      <w:pPr>
        <w:spacing w:after="0" w:line="92" w:lineRule="exact"/>
        <w:rPr>
          <w:rFonts w:ascii="Times New Roman" w:cs="Times New Roman" w:eastAsia="Times New Roman" w:hAnsi="Times New Roman"/>
          <w:sz w:val="20"/>
          <w:szCs w:val="20"/>
          <w:color w:val="auto"/>
        </w:rPr>
      </w:pPr>
    </w:p>
    <w:p>
      <w:pPr>
        <w:ind w:left="1300" w:right="20" w:firstLine="652"/>
        <w:spacing w:after="0" w:line="283" w:lineRule="auto"/>
        <w:tabs>
          <w:tab w:leader="none" w:pos="258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convey, transfer, assign, mortgage or pledge as security for the Notes any property or assets in accordance with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105" w:lineRule="exact"/>
        <w:rPr>
          <w:rFonts w:ascii="Times New Roman" w:cs="Times New Roman" w:eastAsia="Times New Roman" w:hAnsi="Times New Roman"/>
          <w:sz w:val="20"/>
          <w:szCs w:val="20"/>
          <w:color w:val="auto"/>
        </w:rPr>
      </w:pPr>
    </w:p>
    <w:p>
      <w:pPr>
        <w:ind w:left="1300" w:firstLine="652"/>
        <w:spacing w:after="0" w:line="269" w:lineRule="auto"/>
        <w:tabs>
          <w:tab w:leader="none" w:pos="2581"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make any amendment to the provisions of this Indenture relating to the form, authentication, transfer and legending of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w:t>
      </w:r>
    </w:p>
    <w:p>
      <w:pPr>
        <w:spacing w:after="0" w:line="118" w:lineRule="exact"/>
        <w:rPr>
          <w:rFonts w:ascii="Times New Roman" w:cs="Times New Roman" w:eastAsia="Times New Roman" w:hAnsi="Times New Roman"/>
          <w:sz w:val="20"/>
          <w:szCs w:val="20"/>
          <w:color w:val="auto"/>
        </w:rPr>
      </w:pPr>
    </w:p>
    <w:p>
      <w:pPr>
        <w:ind w:left="1300" w:firstLine="1300"/>
        <w:spacing w:after="0" w:line="269" w:lineRule="auto"/>
        <w:tabs>
          <w:tab w:leader="none" w:pos="3235"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this Indenture as so amended would not result in Notes being transferred in violation of the Securities Act or any other applicable securities law; and</w:t>
      </w:r>
    </w:p>
    <w:p>
      <w:pPr>
        <w:spacing w:after="0" w:line="118"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amendment does not materially affect the rights of Holders to transfer Notes; or</w:t>
      </w:r>
    </w:p>
    <w:p>
      <w:pPr>
        <w:spacing w:after="0" w:line="161"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any change that does not adversely affect the rights of any Holder in any material respect.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Upon the request of the Company accompanied by a resolution of its Board of Directors authorizing the execution of any such amended or supplemental indenture, and upon receipt by the Trustee of the documents described in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hereof, the Trustee will join with the Company and the Guarantors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9.02 </w:t>
      </w:r>
      <w:r>
        <w:rPr>
          <w:rFonts w:ascii="Times New Roman" w:cs="Times New Roman" w:eastAsia="Times New Roman" w:hAnsi="Times New Roman"/>
          <w:sz w:val="20"/>
          <w:szCs w:val="20"/>
          <w:b w:val="1"/>
          <w:bCs w:val="1"/>
          <w:u w:val="single" w:color="auto"/>
          <w:color w:val="auto"/>
        </w:rPr>
        <w:t>With Consent of Holders of Notes</w:t>
      </w:r>
      <w:r>
        <w:rPr>
          <w:rFonts w:ascii="Times New Roman" w:cs="Times New Roman" w:eastAsia="Times New Roman" w:hAnsi="Times New Roman"/>
          <w:sz w:val="20"/>
          <w:szCs w:val="20"/>
          <w:color w:val="auto"/>
        </w:rPr>
        <w:t>. Except as provided below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the Company and the Trustee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may amend or supplement this Indenture (including, without limitation,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hereof) and the Notes and the Note Guarantees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the Notes),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bl>
    <w:p>
      <w:pPr>
        <w:sectPr>
          <w:pgSz w:w="11900" w:h="16838" w:orient="portrait"/>
          <w:cols w:equalWidth="0" w:num="1">
            <w:col w:w="11240"/>
          </w:cols>
          <w:pgMar w:left="320" w:top="1440" w:right="339" w:bottom="1440" w:gutter="0" w:footer="0" w:header="0"/>
        </w:sectPr>
      </w:pPr>
    </w:p>
    <w:bookmarkStart w:id="110" w:name="page111"/>
    <w:bookmarkEnd w:id="110"/>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6.04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xml:space="preserve"> hereof, any existing Default or Event of Default (other than a Default or Event of Default in the payment of the principal of, premium on, if any, or interest on, the Notes, except a payment default resulting from an acceleration that has been rescinded) or compliance with any provision of this Indenture or the Notes or the Note Guarantees may be waived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hereof shall determine which Notes are considered to be “outstanding” for purposes of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Upon the request of the Company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hereof, the Trustee will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2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It is not necessary for the consent of the Holders of Notes under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to approve the particular form of any proposed amendment, supplement or waiver, but it is sufficient if such consent approves the substance thereof.</w:t>
      </w:r>
    </w:p>
    <w:p>
      <w:pPr>
        <w:spacing w:after="0" w:line="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After an amendment, supplement or waiver under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becomes effective, the Company will mail to the Holders of Notes affected thereby a notice briefly describing the amendment, supplement or waiver. Any failure of the Company to mail such notice, or any defect therein, will not, however, in any way impair or affect the validity of any such amended or supplemental indenture or waiver. Subject to </w:t>
      </w:r>
      <w:r>
        <w:rPr>
          <w:rFonts w:ascii="Times New Roman" w:cs="Times New Roman" w:eastAsia="Times New Roman" w:hAnsi="Times New Roman"/>
          <w:sz w:val="20"/>
          <w:szCs w:val="20"/>
          <w:u w:val="single" w:color="auto"/>
          <w:color w:val="auto"/>
        </w:rPr>
        <w:t>Sections 6.04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xml:space="preserve"> hereof, the Holders of a majority in aggregate principal amount of the Notes then outstanding voting as a single class may waive compliance in a particular instance by the Company with any provision of this Indenture, the Notes or the Note Guarantees. However, without the consent of each Holder affected, an amendment, supplement or waiver under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may not (with respect to any Notes held by a non-consenting Holder):</w:t>
      </w:r>
    </w:p>
    <w:p>
      <w:pPr>
        <w:spacing w:after="0" w:line="125" w:lineRule="exact"/>
        <w:rPr>
          <w:sz w:val="20"/>
          <w:szCs w:val="20"/>
          <w:color w:val="auto"/>
        </w:rPr>
      </w:pPr>
    </w:p>
    <w:p>
      <w:pPr>
        <w:ind w:left="1940" w:hanging="636"/>
        <w:spacing w:after="0"/>
        <w:tabs>
          <w:tab w:leader="none" w:pos="19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amount of Notes whose Holders must consent to an amendment, supplement or waiver;</w:t>
      </w:r>
    </w:p>
    <w:p>
      <w:pPr>
        <w:spacing w:after="0" w:line="175"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change the fixed maturity of any Note, reduce the amount payable upon the redemption of any Note, or change the times at which any Note may be redeemed or, once notice of redemption has been given, the time at which it must thereupon be redeemed (other than a conditional notice of redemption as provided under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with respect to </w:t>
      </w:r>
      <w:r>
        <w:rPr>
          <w:rFonts w:ascii="Times New Roman" w:cs="Times New Roman" w:eastAsia="Times New Roman" w:hAnsi="Times New Roman"/>
          <w:sz w:val="20"/>
          <w:szCs w:val="20"/>
          <w:u w:val="single" w:color="auto"/>
          <w:color w:val="auto"/>
        </w:rPr>
        <w:t>Sections 3.07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hereof);</w:t>
      </w:r>
    </w:p>
    <w:p>
      <w:pPr>
        <w:spacing w:after="0" w:line="11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rate of or change the time for payment of interest, including default interest, on any Note;</w:t>
      </w:r>
    </w:p>
    <w:p>
      <w:pPr>
        <w:spacing w:after="0" w:line="17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Default or Event of Default in the payment of principal of, premium on, if any, or interest on, the Notes (except a rescission of acceleration of the Notes by the Holders of at least a majority in aggregate principal amount of the then outstanding Notes and a waiver of the payment default that resulted from such acceleration);</w:t>
      </w:r>
    </w:p>
    <w:p>
      <w:pPr>
        <w:spacing w:after="0" w:line="12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Note payable in money other than that stated in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bl>
    <w:p>
      <w:pPr>
        <w:sectPr>
          <w:pgSz w:w="11900" w:h="16838" w:orient="portrait"/>
          <w:cols w:equalWidth="0" w:num="1">
            <w:col w:w="11240"/>
          </w:cols>
          <w:pgMar w:left="320" w:top="1440" w:right="339" w:bottom="1440" w:gutter="0" w:footer="0" w:header="0"/>
        </w:sectPr>
      </w:pPr>
    </w:p>
    <w:bookmarkStart w:id="111" w:name="page112"/>
    <w:bookmarkEnd w:id="111"/>
    <w:p>
      <w:pPr>
        <w:spacing w:after="0" w:line="135" w:lineRule="exact"/>
        <w:rPr>
          <w:sz w:val="20"/>
          <w:szCs w:val="20"/>
          <w:color w:val="auto"/>
        </w:rPr>
      </w:pPr>
    </w:p>
    <w:p>
      <w:pPr>
        <w:ind w:left="1940" w:hanging="636"/>
        <w:spacing w:after="0"/>
        <w:tabs>
          <w:tab w:leader="none" w:pos="194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to or modify the ranking of the Notes that would adversely affect such Holder;</w:t>
      </w:r>
    </w:p>
    <w:p>
      <w:pPr>
        <w:spacing w:after="0" w:line="175" w:lineRule="exact"/>
        <w:rPr>
          <w:rFonts w:ascii="Times New Roman" w:cs="Times New Roman" w:eastAsia="Times New Roman" w:hAnsi="Times New Roman"/>
          <w:sz w:val="20"/>
          <w:szCs w:val="20"/>
          <w:color w:val="auto"/>
        </w:rPr>
      </w:pPr>
    </w:p>
    <w:p>
      <w:pPr>
        <w:ind w:right="20" w:firstLine="1304"/>
        <w:spacing w:after="0" w:line="269" w:lineRule="auto"/>
        <w:tabs>
          <w:tab w:leader="none" w:pos="1932"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the provisions of this Indenture relating to waivers of past Defaults or the rights of Holders of Notes to receive payments of principal of, premium on, if any, or interest on, the Notes (other than as permitted by clause (8) below);</w:t>
      </w:r>
    </w:p>
    <w:p>
      <w:pPr>
        <w:spacing w:after="0" w:line="11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 redemption payment with respect to any Note (other than a payment required by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hereof);</w:t>
      </w:r>
    </w:p>
    <w:p>
      <w:pPr>
        <w:spacing w:after="0" w:line="153" w:lineRule="exact"/>
        <w:rPr>
          <w:rFonts w:ascii="Times New Roman" w:cs="Times New Roman" w:eastAsia="Times New Roman" w:hAnsi="Times New Roman"/>
          <w:sz w:val="20"/>
          <w:szCs w:val="20"/>
          <w:color w:val="auto"/>
        </w:rPr>
      </w:pPr>
    </w:p>
    <w:p>
      <w:pPr>
        <w:ind w:right="20" w:firstLine="1304"/>
        <w:spacing w:after="0" w:line="283" w:lineRule="auto"/>
        <w:tabs>
          <w:tab w:leader="none" w:pos="1932"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any Guarantor from any of its obligations under its Note Guarantee or this Indenture, except in accordance with the terms of this Indenture; or</w:t>
      </w:r>
    </w:p>
    <w:p>
      <w:pPr>
        <w:spacing w:after="0" w:line="92" w:lineRule="exact"/>
        <w:rPr>
          <w:rFonts w:ascii="Times New Roman" w:cs="Times New Roman" w:eastAsia="Times New Roman" w:hAnsi="Times New Roman"/>
          <w:sz w:val="20"/>
          <w:szCs w:val="20"/>
          <w:color w:val="auto"/>
        </w:rPr>
      </w:pPr>
    </w:p>
    <w:p>
      <w:pPr>
        <w:ind w:firstLine="1304"/>
        <w:spacing w:after="0" w:line="283" w:lineRule="auto"/>
        <w:tabs>
          <w:tab w:leader="none" w:pos="193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 the right of any Holder of Notes to receive any principal payment or interest payment on such Holder’s Notes, on or after the Stated Maturity thereof, or to institute suit for the enforcement of any such payment; or</w:t>
      </w:r>
    </w:p>
    <w:p>
      <w:pPr>
        <w:spacing w:after="0" w:line="9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the preceding amendment and waiver provisions.</w:t>
      </w:r>
    </w:p>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9.03</w:t>
      </w:r>
      <w:r>
        <w:rPr>
          <w:sz w:val="20"/>
          <w:szCs w:val="20"/>
          <w:color w:val="auto"/>
        </w:rPr>
        <w:tab/>
      </w:r>
      <w:r>
        <w:rPr>
          <w:rFonts w:ascii="Times New Roman" w:cs="Times New Roman" w:eastAsia="Times New Roman" w:hAnsi="Times New Roman"/>
          <w:sz w:val="19"/>
          <w:szCs w:val="19"/>
          <w:b w:val="1"/>
          <w:bCs w:val="1"/>
          <w:u w:val="single" w:color="auto"/>
          <w:color w:val="auto"/>
        </w:rPr>
        <w:t>[Reserved]</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9.04 </w:t>
      </w:r>
      <w:r>
        <w:rPr>
          <w:rFonts w:ascii="Times New Roman" w:cs="Times New Roman" w:eastAsia="Times New Roman" w:hAnsi="Times New Roman"/>
          <w:sz w:val="20"/>
          <w:szCs w:val="20"/>
          <w:b w:val="1"/>
          <w:bCs w:val="1"/>
          <w:u w:val="single" w:color="auto"/>
          <w:color w:val="auto"/>
        </w:rPr>
        <w:t>Revocation and Effect of Consents</w:t>
      </w:r>
      <w:r>
        <w:rPr>
          <w:rFonts w:ascii="Times New Roman" w:cs="Times New Roman" w:eastAsia="Times New Roman" w:hAnsi="Times New Roman"/>
          <w:sz w:val="20"/>
          <w:szCs w:val="20"/>
          <w:color w:val="auto"/>
        </w:rPr>
        <w:t>. Until an amendment, supplement or waiver becomes effective, a consent to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1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9.05 </w:t>
      </w:r>
      <w:r>
        <w:rPr>
          <w:rFonts w:ascii="Times New Roman" w:cs="Times New Roman" w:eastAsia="Times New Roman" w:hAnsi="Times New Roman"/>
          <w:sz w:val="20"/>
          <w:szCs w:val="20"/>
          <w:b w:val="1"/>
          <w:bCs w:val="1"/>
          <w:u w:val="single" w:color="auto"/>
          <w:color w:val="auto"/>
        </w:rPr>
        <w:t>Notation on or Exchange of Notes</w:t>
      </w:r>
      <w:r>
        <w:rPr>
          <w:rFonts w:ascii="Times New Roman" w:cs="Times New Roman" w:eastAsia="Times New Roman" w:hAnsi="Times New Roman"/>
          <w:sz w:val="20"/>
          <w:szCs w:val="20"/>
          <w:color w:val="auto"/>
        </w:rPr>
        <w:t>. The Trustee may place an appropriate notation about an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supplement or waiver on any Note thereafter authenticated. The Company in exchange for all Notes may issue and the Trustee shall, upon receipt of an Authentication Order, authenticate new Notes that reflect the amendment, supplement or waiver.</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Failure to make the appropriate notation or issue a new Note will not affect the validity and effect of such amendment, supplement 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waiver.</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9.06 </w:t>
      </w:r>
      <w:r>
        <w:rPr>
          <w:rFonts w:ascii="Times New Roman" w:cs="Times New Roman" w:eastAsia="Times New Roman" w:hAnsi="Times New Roman"/>
          <w:sz w:val="20"/>
          <w:szCs w:val="20"/>
          <w:b w:val="1"/>
          <w:bCs w:val="1"/>
          <w:u w:val="single" w:color="auto"/>
          <w:color w:val="auto"/>
        </w:rPr>
        <w:t>Trustee to Sign Amendments, etc</w:t>
      </w:r>
      <w:r>
        <w:rPr>
          <w:rFonts w:ascii="Times New Roman" w:cs="Times New Roman" w:eastAsia="Times New Roman" w:hAnsi="Times New Roman"/>
          <w:sz w:val="20"/>
          <w:szCs w:val="20"/>
          <w:color w:val="auto"/>
        </w:rPr>
        <w:t>. The Trustee will sign any amended or supplemental indenture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pursuant to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and (subject to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hereof) will be fully protected in relying upon, in addition to the documents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bl>
    <w:p>
      <w:pPr>
        <w:sectPr>
          <w:pgSz w:w="11900" w:h="16838" w:orient="portrait"/>
          <w:cols w:equalWidth="0" w:num="1">
            <w:col w:w="11240"/>
          </w:cols>
          <w:pgMar w:left="320" w:top="1440" w:right="339" w:bottom="1440" w:gutter="0" w:footer="0" w:header="0"/>
        </w:sectPr>
      </w:pPr>
    </w:p>
    <w:bookmarkStart w:id="112" w:name="page113"/>
    <w:bookmarkEnd w:id="112"/>
    <w:p>
      <w:pPr>
        <w:spacing w:after="0" w:line="13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u w:val="single" w:color="auto"/>
          <w:color w:val="auto"/>
        </w:rPr>
        <w:t>Section 12.04</w:t>
      </w:r>
      <w:r>
        <w:rPr>
          <w:rFonts w:ascii="Times New Roman" w:cs="Times New Roman" w:eastAsia="Times New Roman" w:hAnsi="Times New Roman"/>
          <w:sz w:val="20"/>
          <w:szCs w:val="20"/>
          <w:color w:val="auto"/>
        </w:rPr>
        <w:t xml:space="preserve"> hereof, an Officers’ Certificate and an Opinion of Counsel stating that the execution of such amended or supplemental indenture is authorized or permitted by this Indenture.</w:t>
      </w:r>
    </w:p>
    <w:p>
      <w:pPr>
        <w:spacing w:after="0" w:line="8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 GUARANTEES</w:t>
      </w:r>
    </w:p>
    <w:p>
      <w:pPr>
        <w:spacing w:after="0" w:line="17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10.01</w:t>
      </w:r>
      <w:r>
        <w:rPr>
          <w:sz w:val="20"/>
          <w:szCs w:val="20"/>
          <w:color w:val="auto"/>
        </w:rPr>
        <w:tab/>
      </w:r>
      <w:r>
        <w:rPr>
          <w:rFonts w:ascii="Times New Roman" w:cs="Times New Roman" w:eastAsia="Times New Roman" w:hAnsi="Times New Roman"/>
          <w:sz w:val="19"/>
          <w:szCs w:val="19"/>
          <w:b w:val="1"/>
          <w:bCs w:val="1"/>
          <w:u w:val="single" w:color="auto"/>
          <w:color w:val="auto"/>
        </w:rPr>
        <w:t>Guarantee</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56"/>
        <w:spacing w:after="0" w:line="261" w:lineRule="auto"/>
        <w:tabs>
          <w:tab w:leader="none" w:pos="1286"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113"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84"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of, premium, if any, on, and interest on the Notes will be promptly paid in full when due, whether at maturity, by acceleration, redemption or otherwise, and interest on the overdue principal of, premium on, if any, and interest on, the Notes, if lawful, and all other obligations of the Company to the Holders or the Trustee hereunder or thereunder will be promptly paid in full or performed, all in accordance with the terms hereof and thereof; and</w:t>
      </w:r>
    </w:p>
    <w:p>
      <w:pPr>
        <w:spacing w:after="0" w:line="131"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84"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14" w:lineRule="exact"/>
        <w:rPr>
          <w:sz w:val="20"/>
          <w:szCs w:val="20"/>
          <w:color w:val="auto"/>
        </w:rPr>
      </w:pPr>
    </w:p>
    <w:p>
      <w:pPr>
        <w:jc w:val="both"/>
        <w:ind w:firstLine="656"/>
        <w:spacing w:after="0" w:line="253" w:lineRule="auto"/>
        <w:tabs>
          <w:tab w:leader="none" w:pos="128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Note Guarantee will not be discharged except by complete performance of the obligations contained in the Notes and this Indenture.</w:t>
      </w:r>
    </w:p>
    <w:p>
      <w:pPr>
        <w:spacing w:after="0" w:line="125" w:lineRule="exact"/>
        <w:rPr>
          <w:rFonts w:ascii="Times New Roman" w:cs="Times New Roman" w:eastAsia="Times New Roman" w:hAnsi="Times New Roman"/>
          <w:sz w:val="20"/>
          <w:szCs w:val="20"/>
          <w:color w:val="auto"/>
        </w:rPr>
      </w:pPr>
    </w:p>
    <w:p>
      <w:pPr>
        <w:jc w:val="both"/>
        <w:ind w:left="80" w:firstLine="576"/>
        <w:spacing w:after="0" w:line="268" w:lineRule="auto"/>
        <w:tabs>
          <w:tab w:leader="none" w:pos="1285"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Note Guarantee, to the extent theretofore discharged, will be reinstated in full force and effect.</w:t>
      </w:r>
    </w:p>
    <w:p>
      <w:pPr>
        <w:spacing w:after="0" w:line="107" w:lineRule="exact"/>
        <w:rPr>
          <w:rFonts w:ascii="Times New Roman" w:cs="Times New Roman" w:eastAsia="Times New Roman" w:hAnsi="Times New Roman"/>
          <w:sz w:val="20"/>
          <w:szCs w:val="20"/>
          <w:color w:val="auto"/>
        </w:rPr>
      </w:pPr>
    </w:p>
    <w:p>
      <w:pPr>
        <w:jc w:val="both"/>
        <w:ind w:left="80" w:firstLine="576"/>
        <w:spacing w:after="0" w:line="257" w:lineRule="auto"/>
        <w:tabs>
          <w:tab w:leader="none" w:pos="1283"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hereof for the purposes of this Note Guarantee, notwithstanding any stay, injunction or other prohibition preventing such acceleration in respect of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bl>
    <w:p>
      <w:pPr>
        <w:sectPr>
          <w:pgSz w:w="11900" w:h="16838" w:orient="portrait"/>
          <w:cols w:equalWidth="0" w:num="1">
            <w:col w:w="11240"/>
          </w:cols>
          <w:pgMar w:left="320" w:top="1440" w:right="339" w:bottom="1440" w:gutter="0" w:footer="0" w:header="0"/>
        </w:sectPr>
      </w:pPr>
    </w:p>
    <w:bookmarkStart w:id="113" w:name="page114"/>
    <w:bookmarkEnd w:id="113"/>
    <w:p>
      <w:pPr>
        <w:spacing w:after="0" w:line="135"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20"/>
          <w:szCs w:val="20"/>
          <w:color w:val="auto"/>
        </w:rPr>
        <w:t xml:space="preserve">guaranteed hereby, and (2) in the event of any declaration of acceleration of such obligations as provided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hereof, such obligations (whether or not due and payable) will forthwith become due and payable by the Guarantors for the purpose of this Note Guarantee. The Guarantors will have the right to seek contribution from any non-paying Guarantor so long as the exercise of such right does not impair the rights of the Holders under the Note Guarantee.</w:t>
      </w:r>
    </w:p>
    <w:p>
      <w:pPr>
        <w:spacing w:after="0" w:line="11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10.02</w:t>
      </w:r>
      <w:r>
        <w:rPr>
          <w:sz w:val="20"/>
          <w:szCs w:val="20"/>
          <w:color w:val="auto"/>
        </w:rPr>
        <w:tab/>
      </w:r>
      <w:r>
        <w:rPr>
          <w:rFonts w:ascii="Times New Roman" w:cs="Times New Roman" w:eastAsia="Times New Roman" w:hAnsi="Times New Roman"/>
          <w:sz w:val="19"/>
          <w:szCs w:val="19"/>
          <w:b w:val="1"/>
          <w:bCs w:val="1"/>
          <w:u w:val="single" w:color="auto"/>
          <w:color w:val="auto"/>
        </w:rPr>
        <w:t>Limitation on Guarantor Liability</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left="80" w:firstLine="657"/>
        <w:spacing w:after="0" w:line="251" w:lineRule="auto"/>
        <w:tabs>
          <w:tab w:leader="none" w:pos="128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result in the obligations of such Guarantor under its Note Guarantee not constituting a fraudulent transfer or conveyance.</w:t>
      </w:r>
    </w:p>
    <w:p>
      <w:pPr>
        <w:spacing w:after="0" w:line="141" w:lineRule="exact"/>
        <w:rPr>
          <w:rFonts w:ascii="Times New Roman" w:cs="Times New Roman" w:eastAsia="Times New Roman" w:hAnsi="Times New Roman"/>
          <w:sz w:val="20"/>
          <w:szCs w:val="20"/>
          <w:color w:val="auto"/>
        </w:rPr>
      </w:pPr>
    </w:p>
    <w:p>
      <w:pPr>
        <w:jc w:val="both"/>
        <w:ind w:left="80" w:firstLine="657"/>
        <w:spacing w:after="0" w:line="251" w:lineRule="auto"/>
        <w:tabs>
          <w:tab w:leader="none" w:pos="128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required by the Texas Pawnshop Act, the obligations under a Note Guarantee of any Guarantor subject to such provision of the Texas Pawnshop Act will be limited to the maximum amount that will, after giving effect to such maximum amount and all other contingent and fixed liabilities of such Guarantor that are relevant under such provision of the Texas Pawnshop Act, and after giving effect to any collections from, rights to receive contribution from or payments made by or on behalf of any other Guarantor in respect of the obligations of such other Guarantor, result in the obligations of such Guarantor under its Note Guarantee not resulting in a violation of the requirement to maintain a minimum of net assets that are used or readily available for use in the business of such Guarantor pursuant to the Texas Pawnshop Act.</w:t>
      </w:r>
    </w:p>
    <w:p>
      <w:pPr>
        <w:spacing w:after="0" w:line="13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10.03</w:t>
      </w:r>
      <w:r>
        <w:rPr>
          <w:sz w:val="20"/>
          <w:szCs w:val="20"/>
          <w:color w:val="auto"/>
        </w:rPr>
        <w:tab/>
      </w:r>
      <w:r>
        <w:rPr>
          <w:rFonts w:ascii="Times New Roman" w:cs="Times New Roman" w:eastAsia="Times New Roman" w:hAnsi="Times New Roman"/>
          <w:sz w:val="19"/>
          <w:szCs w:val="19"/>
          <w:b w:val="1"/>
          <w:bCs w:val="1"/>
          <w:u w:val="single" w:color="auto"/>
          <w:color w:val="auto"/>
        </w:rPr>
        <w:t>Execution and Delivery of Note Guarantee</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To evidence its Note Guarantee set forth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hereof, each Guarantor hereby agrees that this Indenture (or a supplemental indenture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hereto) shall be executed by an Officer on behalf of such Guarantor.</w:t>
      </w:r>
    </w:p>
    <w:p>
      <w:pPr>
        <w:spacing w:after="0" w:line="10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Each Guarantor hereby agrees that its Note Guarantee set forth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hereof will remain in full force and effect notwithstanding the absence of the endorsement of any notation of such Note Guarantee on the Notes.</w:t>
      </w:r>
    </w:p>
    <w:p>
      <w:pPr>
        <w:spacing w:after="0" w:line="11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If an Officer whose signature is on this Indenture or on the Note Guarantee no longer holds that office at the time the Trustee authenticates a Note, the Note Guarantee with respect thereto will be valid nevertheless.</w:t>
      </w:r>
    </w:p>
    <w:p>
      <w:pPr>
        <w:spacing w:after="0" w:line="11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The delivery of any Note by the Trustee, after the authentication thereof hereunder, will constitute due delivery of the Note Guarantee set forth in this Indenture on behalf of the Guarantors.</w:t>
      </w:r>
    </w:p>
    <w:p>
      <w:pPr>
        <w:spacing w:after="0" w:line="9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In the event that any Restricted Subsidiary is required by </w:t>
      </w:r>
      <w:r>
        <w:rPr>
          <w:rFonts w:ascii="Times New Roman" w:cs="Times New Roman" w:eastAsia="Times New Roman" w:hAnsi="Times New Roman"/>
          <w:sz w:val="20"/>
          <w:szCs w:val="20"/>
          <w:u w:val="single" w:color="auto"/>
          <w:color w:val="auto"/>
        </w:rPr>
        <w:t>Section 4.17</w:t>
      </w:r>
      <w:r>
        <w:rPr>
          <w:rFonts w:ascii="Times New Roman" w:cs="Times New Roman" w:eastAsia="Times New Roman" w:hAnsi="Times New Roman"/>
          <w:sz w:val="20"/>
          <w:szCs w:val="20"/>
          <w:color w:val="auto"/>
        </w:rPr>
        <w:t xml:space="preserve"> hereof to guarantee the Notes, the Company will cause such Restricted Subsidiary to comply with the provisions of </w:t>
      </w:r>
      <w:r>
        <w:rPr>
          <w:rFonts w:ascii="Times New Roman" w:cs="Times New Roman" w:eastAsia="Times New Roman" w:hAnsi="Times New Roman"/>
          <w:sz w:val="20"/>
          <w:szCs w:val="20"/>
          <w:u w:val="single" w:color="auto"/>
          <w:color w:val="auto"/>
        </w:rPr>
        <w:t>Section 4.17</w:t>
      </w:r>
      <w:r>
        <w:rPr>
          <w:rFonts w:ascii="Times New Roman" w:cs="Times New Roman" w:eastAsia="Times New Roman" w:hAnsi="Times New Roman"/>
          <w:sz w:val="20"/>
          <w:szCs w:val="20"/>
          <w:color w:val="auto"/>
        </w:rPr>
        <w:t xml:space="preserve"> hereof and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bl>
    <w:p>
      <w:pPr>
        <w:sectPr>
          <w:pgSz w:w="11900" w:h="16838" w:orient="portrait"/>
          <w:cols w:equalWidth="0" w:num="1">
            <w:col w:w="11240"/>
          </w:cols>
          <w:pgMar w:left="320" w:top="1440" w:right="339" w:bottom="1440" w:gutter="0" w:footer="0" w:header="0"/>
        </w:sectPr>
      </w:pPr>
    </w:p>
    <w:bookmarkStart w:id="114" w:name="page115"/>
    <w:bookmarkEnd w:id="114"/>
    <w:p>
      <w:pPr>
        <w:spacing w:after="0" w:line="13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10.04</w:t>
      </w:r>
      <w:r>
        <w:rPr>
          <w:sz w:val="20"/>
          <w:szCs w:val="20"/>
          <w:color w:val="auto"/>
        </w:rPr>
        <w:tab/>
      </w:r>
      <w:r>
        <w:rPr>
          <w:rFonts w:ascii="Times New Roman" w:cs="Times New Roman" w:eastAsia="Times New Roman" w:hAnsi="Times New Roman"/>
          <w:sz w:val="19"/>
          <w:szCs w:val="19"/>
          <w:b w:val="1"/>
          <w:bCs w:val="1"/>
          <w:u w:val="single" w:color="auto"/>
          <w:color w:val="auto"/>
        </w:rPr>
        <w:t>Guarantors May Consolidate, etc. on Certain Terms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firstLine="737"/>
        <w:spacing w:after="0" w:line="295" w:lineRule="auto"/>
        <w:tabs>
          <w:tab w:leader="none" w:pos="1286"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Subsidiary Guarantor may sell or otherwise dispose of all or substantially all of its assets to, or consolidate with or merge with or into (whether or not such Guarantor is the surviving Person) another Person, other than the Company or another Guarantor, unless:</w:t>
      </w:r>
    </w:p>
    <w:p>
      <w:pPr>
        <w:spacing w:after="0" w:line="97"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to such transaction, no Event of Default shall have occurred and be continuing; and</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175" w:lineRule="exact"/>
        <w:rPr>
          <w:rFonts w:ascii="Times New Roman" w:cs="Times New Roman" w:eastAsia="Times New Roman" w:hAnsi="Times New Roman"/>
          <w:sz w:val="20"/>
          <w:szCs w:val="20"/>
          <w:color w:val="auto"/>
        </w:rPr>
      </w:pPr>
    </w:p>
    <w:p>
      <w:pPr>
        <w:jc w:val="both"/>
        <w:ind w:left="1300" w:firstLine="1300"/>
        <w:spacing w:after="0" w:line="258" w:lineRule="auto"/>
        <w:tabs>
          <w:tab w:leader="none" w:pos="3235" w:val="left"/>
        </w:tabs>
        <w:numPr>
          <w:ilvl w:val="2"/>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hereof, the Person acquiring the property in any such sale or disposition or the Person formed by or surviving any such consolidation or merger unconditionally assumes all the obligations of that Guarantor under its Note Guarantee, and this Indenture on the terms set forth herein or therein, pursuant to a supplemental indenture in the form of Exhibit E; or</w:t>
      </w:r>
    </w:p>
    <w:p>
      <w:pPr>
        <w:spacing w:after="0" w:line="118"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sale or other disposition does not violate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hereof.</w:t>
      </w:r>
    </w:p>
    <w:p>
      <w:pPr>
        <w:spacing w:after="0" w:line="175" w:lineRule="exact"/>
        <w:rPr>
          <w:rFonts w:ascii="Times New Roman" w:cs="Times New Roman" w:eastAsia="Times New Roman" w:hAnsi="Times New Roman"/>
          <w:sz w:val="20"/>
          <w:szCs w:val="20"/>
          <w:color w:val="auto"/>
        </w:rPr>
      </w:pPr>
    </w:p>
    <w:p>
      <w:pPr>
        <w:jc w:val="both"/>
        <w:ind w:firstLine="737"/>
        <w:spacing w:after="0" w:line="258" w:lineRule="auto"/>
        <w:tabs>
          <w:tab w:leader="none" w:pos="128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any such consolidation, merger, sale or conveyance and upon the assumption by the successor Person, by supplemental indenture, executed and delivered to the Trustee and satisfactory in form to the Trustee, of the Note Guarantee and the due and punctual performance of all of the covenants and conditions of this Indenture to be performed by the Guarantor, such successor Person will succeed to and be substituted for the Guarantor with the same effect as if it had been named herein as a Guarantor.</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Except as set forth in Articles IV and V hereof, and notwithstanding clauses </w:t>
      </w:r>
      <w:r>
        <w:rPr>
          <w:rFonts w:ascii="Times New Roman" w:cs="Times New Roman" w:eastAsia="Times New Roman" w:hAnsi="Times New Roman"/>
          <w:sz w:val="20"/>
          <w:szCs w:val="20"/>
          <w:u w:val="single" w:color="auto"/>
          <w:color w:val="auto"/>
        </w:rPr>
        <w:t>(2)(A)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10.04(a)</w:t>
      </w:r>
      <w:r>
        <w:rPr>
          <w:rFonts w:ascii="Times New Roman" w:cs="Times New Roman" w:eastAsia="Times New Roman" w:hAnsi="Times New Roman"/>
          <w:sz w:val="20"/>
          <w:szCs w:val="20"/>
          <w:color w:val="auto"/>
        </w:rPr>
        <w:t>,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w:t>
      </w:r>
    </w:p>
    <w:p>
      <w:pPr>
        <w:spacing w:after="0" w:line="12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10.05</w:t>
      </w:r>
      <w:r>
        <w:rPr>
          <w:sz w:val="20"/>
          <w:szCs w:val="20"/>
          <w:color w:val="auto"/>
        </w:rPr>
        <w:tab/>
      </w:r>
      <w:r>
        <w:rPr>
          <w:rFonts w:ascii="Times New Roman" w:cs="Times New Roman" w:eastAsia="Times New Roman" w:hAnsi="Times New Roman"/>
          <w:sz w:val="19"/>
          <w:szCs w:val="19"/>
          <w:b w:val="1"/>
          <w:bCs w:val="1"/>
          <w:u w:val="single" w:color="auto"/>
          <w:color w:val="auto"/>
        </w:rPr>
        <w:t>Releases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300" w:hanging="563"/>
        <w:spacing w:after="0"/>
        <w:tabs>
          <w:tab w:leader="none" w:pos="130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Note Guarantee of a Guarantor will automatically and unconditionally be released and discharged:</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4"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the Note Guarantee of a Guarantor, in connection with any dissolution of a Guarantor or a sale, exchange, transfer, conveyance or other disposition of Capital Stock of that Guarantor by way of merger, amalgamation, consolidation, dividend, distribution or otherwise or any sale or other disposition of all or substantially all of the assets of that Guarantor or its direct or indirect parent entity to a Person that is not (either before or after giving effect to such transaction) the Company or a Restricted Subsidiary of the Company, if the sale or other disposition does not violate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and the Guarantor ceases to be a Restricted Subsidiary of the Company as a result of the sale, exchange, transfer or other disposition.;</w:t>
      </w:r>
    </w:p>
    <w:p>
      <w:pPr>
        <w:spacing w:after="0" w:line="124" w:lineRule="exact"/>
        <w:rPr>
          <w:rFonts w:ascii="Times New Roman" w:cs="Times New Roman" w:eastAsia="Times New Roman" w:hAnsi="Times New Roman"/>
          <w:sz w:val="20"/>
          <w:szCs w:val="20"/>
          <w:color w:val="auto"/>
        </w:rPr>
      </w:pPr>
    </w:p>
    <w:p>
      <w:pPr>
        <w:ind w:left="660" w:firstLine="644"/>
        <w:spacing w:after="0" w:line="283" w:lineRule="auto"/>
        <w:tabs>
          <w:tab w:leader="none" w:pos="1944"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release or discharge of a Guarantor’s Guarantee in respect of Indebtedness that resulted in the issuance after the Issue Date of such Guarantor’s Note Guarantee;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bl>
    <w:p>
      <w:pPr>
        <w:sectPr>
          <w:pgSz w:w="11900" w:h="16838" w:orient="portrait"/>
          <w:cols w:equalWidth="0" w:num="1">
            <w:col w:w="11240"/>
          </w:cols>
          <w:pgMar w:left="320" w:top="1440" w:right="339" w:bottom="1440" w:gutter="0" w:footer="0" w:header="0"/>
        </w:sectPr>
      </w:pPr>
    </w:p>
    <w:bookmarkStart w:id="115" w:name="page116"/>
    <w:bookmarkEnd w:id="115"/>
    <w:p>
      <w:pPr>
        <w:spacing w:after="0" w:line="135" w:lineRule="exact"/>
        <w:rPr>
          <w:sz w:val="20"/>
          <w:szCs w:val="20"/>
          <w:color w:val="auto"/>
        </w:rPr>
      </w:pPr>
    </w:p>
    <w:p>
      <w:pPr>
        <w:ind w:left="660" w:right="20" w:firstLine="644"/>
        <w:spacing w:after="0" w:line="283" w:lineRule="auto"/>
        <w:tabs>
          <w:tab w:leader="none" w:pos="1944"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Company designates any Restricted Subsidiary that is a Guarantor to be an Unrestricted Subsidiary in accordance with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w:t>
      </w:r>
    </w:p>
    <w:p>
      <w:pPr>
        <w:spacing w:after="0" w:line="92" w:lineRule="exact"/>
        <w:rPr>
          <w:rFonts w:ascii="Times New Roman" w:cs="Times New Roman" w:eastAsia="Times New Roman" w:hAnsi="Times New Roman"/>
          <w:sz w:val="20"/>
          <w:szCs w:val="20"/>
          <w:color w:val="auto"/>
        </w:rPr>
      </w:pPr>
    </w:p>
    <w:p>
      <w:pPr>
        <w:ind w:left="660" w:firstLine="644"/>
        <w:spacing w:after="0" w:line="283" w:lineRule="auto"/>
        <w:tabs>
          <w:tab w:leader="none" w:pos="1944"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Legal Defeasance or Covenant Defeasance in accordance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hereof or satisfaction and discharge of this Indenture in accordance with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hereof;</w:t>
      </w:r>
    </w:p>
    <w:p>
      <w:pPr>
        <w:spacing w:after="0" w:line="9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described under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660" w:firstLine="644"/>
        <w:spacing w:after="0" w:line="283" w:lineRule="auto"/>
        <w:tabs>
          <w:tab w:leader="none" w:pos="1944"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merger, amalgamation or consolidation of any Guarantor with and into the Company or another Guarantor or upon the liquidation of such Guarantor, in each case, in compliance with the applicable provisions of this Indenture; or</w:t>
      </w:r>
    </w:p>
    <w:p>
      <w:pPr>
        <w:spacing w:after="0" w:line="9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such time as such Guarantor constitutes an Excluded Subsidiary</w:t>
      </w:r>
    </w:p>
    <w:p>
      <w:pPr>
        <w:spacing w:after="0" w:line="175" w:lineRule="exact"/>
        <w:rPr>
          <w:rFonts w:ascii="Times New Roman" w:cs="Times New Roman" w:eastAsia="Times New Roman" w:hAnsi="Times New Roman"/>
          <w:sz w:val="20"/>
          <w:szCs w:val="20"/>
          <w:color w:val="auto"/>
        </w:rPr>
      </w:pPr>
    </w:p>
    <w:p>
      <w:pPr>
        <w:jc w:val="both"/>
        <w:ind w:firstLine="737"/>
        <w:spacing w:after="0" w:line="253" w:lineRule="auto"/>
        <w:tabs>
          <w:tab w:leader="none" w:pos="128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release specified above upon receipt of an Officers’ Certificate and an Opinion of Counsel, the Trustee will, at the request and expense of the Company, execute any documents reasonably necessary in order to evidence or effect such release, discharge and termination in respect of such Guarantee in accordance with these provisions, subject to customary protections and indemnifications. Neither the Company nor any Guarantor will be required to make a notation on the Note to reflect any such release, termination or discharge. Each of the releases and amendments set forth above shall be effected by the Trustee without any consent of the holders or any other action or consent on the part of the Trustee.</w:t>
      </w:r>
    </w:p>
    <w:p>
      <w:pPr>
        <w:spacing w:after="0" w:line="1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Any Guarantor not released from its obligations under its Note Guarantee as provided in this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will remain liable for the full amount of principal of, premium on, if any, and interest on, the Notes and for the other obligations of any Guarantor under this Indenture as provided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w:t>
      </w:r>
    </w:p>
    <w:p>
      <w:pPr>
        <w:spacing w:after="0" w:line="1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4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SATISFACTION AND DISCHARGE</w:t>
      </w:r>
    </w:p>
    <w:p>
      <w:pPr>
        <w:spacing w:after="0" w:line="17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11.01</w:t>
      </w:r>
      <w:r>
        <w:rPr>
          <w:sz w:val="20"/>
          <w:szCs w:val="20"/>
          <w:color w:val="auto"/>
        </w:rPr>
        <w:tab/>
      </w:r>
      <w:r>
        <w:rPr>
          <w:rFonts w:ascii="Times New Roman" w:cs="Times New Roman" w:eastAsia="Times New Roman" w:hAnsi="Times New Roman"/>
          <w:sz w:val="19"/>
          <w:szCs w:val="19"/>
          <w:b w:val="1"/>
          <w:bCs w:val="1"/>
          <w:u w:val="single" w:color="auto"/>
          <w:color w:val="auto"/>
        </w:rPr>
        <w:t>Satisfaction and Discharge</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Indenture will be discharged and will cease to be of further effect as to all Notes issued hereunder, when:</w:t>
      </w:r>
    </w:p>
    <w:p>
      <w:pPr>
        <w:spacing w:after="0" w:line="175" w:lineRule="exact"/>
        <w:rPr>
          <w:sz w:val="20"/>
          <w:szCs w:val="20"/>
          <w:color w:val="auto"/>
        </w:rPr>
      </w:pPr>
    </w:p>
    <w:p>
      <w:pPr>
        <w:ind w:left="2580" w:hanging="628"/>
        <w:spacing w:after="0"/>
        <w:tabs>
          <w:tab w:leader="none" w:pos="258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175" w:lineRule="exact"/>
        <w:rPr>
          <w:rFonts w:ascii="Times New Roman" w:cs="Times New Roman" w:eastAsia="Times New Roman" w:hAnsi="Times New Roman"/>
          <w:sz w:val="20"/>
          <w:szCs w:val="20"/>
          <w:color w:val="auto"/>
        </w:rPr>
      </w:pPr>
    </w:p>
    <w:p>
      <w:pPr>
        <w:jc w:val="both"/>
        <w:ind w:left="1300" w:firstLine="1300"/>
        <w:spacing w:after="0" w:line="261" w:lineRule="auto"/>
        <w:tabs>
          <w:tab w:leader="none" w:pos="3234"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Notes that have been authenticated, except lost, stolen or destroyed Notes that have been replaced or paid and Notes for whose payment money has been deposited in trust and thereafter repaid to the Company, have been delivered to the Trustee for cancellation; or</w:t>
      </w:r>
    </w:p>
    <w:p>
      <w:pPr>
        <w:spacing w:after="0" w:line="113" w:lineRule="exact"/>
        <w:rPr>
          <w:rFonts w:ascii="Times New Roman" w:cs="Times New Roman" w:eastAsia="Times New Roman" w:hAnsi="Times New Roman"/>
          <w:sz w:val="20"/>
          <w:szCs w:val="20"/>
          <w:color w:val="auto"/>
        </w:rPr>
      </w:pPr>
    </w:p>
    <w:p>
      <w:pPr>
        <w:jc w:val="both"/>
        <w:ind w:left="1300" w:firstLine="1300"/>
        <w:spacing w:after="0" w:line="253" w:lineRule="auto"/>
        <w:tabs>
          <w:tab w:leader="none" w:pos="3232"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Notes that have not been delivered to the Trustee for cancellation have become due and payable by reason of the mailing of a notice of redemption (or delivering such notice of redemption in accordance with the procedures of DTC)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thereof, in amounts as will be sufficient, without consideration of any reinvestment of interest, in the opinion of a nationally recognized investment bank, appraisal firm or firm of independent public accountants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bl>
    <w:p>
      <w:pPr>
        <w:sectPr>
          <w:pgSz w:w="11900" w:h="16838" w:orient="portrait"/>
          <w:cols w:equalWidth="0" w:num="1">
            <w:col w:w="11240"/>
          </w:cols>
          <w:pgMar w:left="320" w:top="1440" w:right="339" w:bottom="1440" w:gutter="0" w:footer="0" w:header="0"/>
        </w:sectPr>
      </w:pPr>
    </w:p>
    <w:bookmarkStart w:id="116" w:name="page117"/>
    <w:bookmarkEnd w:id="116"/>
    <w:p>
      <w:pPr>
        <w:spacing w:after="0" w:line="13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20"/>
          <w:szCs w:val="20"/>
          <w:color w:val="auto"/>
        </w:rPr>
        <w:t>the case of any deposit of Government Securities), to pay and discharge the entire Indebtedness on the Notes not delivered to the Trustee for cancellation for principal of, premium on, if any, and interest on, the Notes to the date of maturity or redemption;</w:t>
      </w:r>
    </w:p>
    <w:p>
      <w:pPr>
        <w:spacing w:after="0" w:line="127" w:lineRule="exact"/>
        <w:rPr>
          <w:sz w:val="20"/>
          <w:szCs w:val="20"/>
          <w:color w:val="auto"/>
        </w:rPr>
      </w:pPr>
    </w:p>
    <w:p>
      <w:pPr>
        <w:jc w:val="both"/>
        <w:ind w:left="1300" w:firstLine="652"/>
        <w:spacing w:after="0" w:line="251" w:lineRule="auto"/>
        <w:tabs>
          <w:tab w:leader="none" w:pos="258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respect of subclause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clause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no Default or Event of Default has occurred and is continuing on the date of the deposit (other than a Default or Event of Default resulting from the borrowing of funds to be applied to such deposit and any similar deposit relating to other Indebtedness and, in each case, the granting of Liens to secure such borrowings) and the deposit will not result in a breach or violation of, or constitute a default under, any other instrument to which the Company or any Guarantor is a party or by which the Company or any Guarantor is bound (other than with respect to the borrowing of funds to be applied concurrently to make the deposit required to effect such satisfaction and discharge and any similar concurrent deposit relating to other Indebtedness, and in each case the granting of Liens to secure such borrowings);</w:t>
      </w:r>
    </w:p>
    <w:p>
      <w:pPr>
        <w:spacing w:after="0" w:line="141"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or any Guarantor has paid or caused to be paid all sums payable by it under this Indenture; and</w:t>
      </w:r>
    </w:p>
    <w:p>
      <w:pPr>
        <w:spacing w:after="0" w:line="173" w:lineRule="exact"/>
        <w:rPr>
          <w:rFonts w:ascii="Times New Roman" w:cs="Times New Roman" w:eastAsia="Times New Roman" w:hAnsi="Times New Roman"/>
          <w:sz w:val="19"/>
          <w:szCs w:val="19"/>
          <w:color w:val="auto"/>
        </w:rPr>
      </w:pPr>
    </w:p>
    <w:p>
      <w:pPr>
        <w:ind w:left="1300" w:firstLine="652"/>
        <w:spacing w:after="0" w:line="283" w:lineRule="auto"/>
        <w:tabs>
          <w:tab w:leader="none" w:pos="258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delivered irrevocable instructions to the Trustee under this Indenture to apply the deposited money toward the payment of the Notes at maturity or on the redemption date, as the case may be.</w:t>
      </w:r>
    </w:p>
    <w:p>
      <w:pPr>
        <w:spacing w:after="0" w:line="9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In addition, the Company must deliver an Officers’ Certificate and an Opinion of Counsel to the Trustee stating that all conditions precedent to satisfaction and discharge have been satisfied.</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Notwithstanding the satisfaction and discharge of this Indenture, if money has been deposited with the Trustee pursuant to subclause</w:t>
      </w:r>
    </w:p>
    <w:p>
      <w:pPr>
        <w:spacing w:after="0" w:line="33" w:lineRule="exact"/>
        <w:rPr>
          <w:sz w:val="20"/>
          <w:szCs w:val="20"/>
          <w:color w:val="auto"/>
        </w:rPr>
      </w:pPr>
    </w:p>
    <w:p>
      <w:pPr>
        <w:jc w:val="both"/>
        <w:ind w:firstLine="8"/>
        <w:spacing w:after="0" w:line="249" w:lineRule="auto"/>
        <w:tabs>
          <w:tab w:leader="none" w:pos="280" w:val="left"/>
        </w:tabs>
        <w:numPr>
          <w:ilvl w:val="0"/>
          <w:numId w:val="16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clause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the provisions of </w:t>
      </w:r>
      <w:r>
        <w:rPr>
          <w:rFonts w:ascii="Times New Roman" w:cs="Times New Roman" w:eastAsia="Times New Roman" w:hAnsi="Times New Roman"/>
          <w:sz w:val="20"/>
          <w:szCs w:val="20"/>
          <w:u w:val="single" w:color="auto"/>
          <w:color w:val="auto"/>
        </w:rPr>
        <w:t>Sections 11.02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8.06</w:t>
      </w:r>
      <w:r>
        <w:rPr>
          <w:rFonts w:ascii="Times New Roman" w:cs="Times New Roman" w:eastAsia="Times New Roman" w:hAnsi="Times New Roman"/>
          <w:sz w:val="20"/>
          <w:szCs w:val="20"/>
          <w:color w:val="auto"/>
        </w:rPr>
        <w:t xml:space="preserve"> hereof will survive. In addition, nothing in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will be deemed to discharge those provisions of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hereof, that, by their terms, survive the satisfaction and discharge of this Indenture.</w:t>
      </w:r>
    </w:p>
    <w:p>
      <w:pPr>
        <w:spacing w:after="0" w:line="13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11.02</w:t>
      </w:r>
      <w:r>
        <w:rPr>
          <w:sz w:val="20"/>
          <w:szCs w:val="20"/>
          <w:color w:val="auto"/>
        </w:rPr>
        <w:tab/>
      </w:r>
      <w:r>
        <w:rPr>
          <w:rFonts w:ascii="Times New Roman" w:cs="Times New Roman" w:eastAsia="Times New Roman" w:hAnsi="Times New Roman"/>
          <w:sz w:val="19"/>
          <w:szCs w:val="19"/>
          <w:b w:val="1"/>
          <w:bCs w:val="1"/>
          <w:u w:val="single" w:color="auto"/>
          <w:color w:val="auto"/>
        </w:rPr>
        <w:t>Application of Trust Money</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8.06</w:t>
      </w:r>
      <w:r>
        <w:rPr>
          <w:rFonts w:ascii="Times New Roman" w:cs="Times New Roman" w:eastAsia="Times New Roman" w:hAnsi="Times New Roman"/>
          <w:sz w:val="20"/>
          <w:szCs w:val="20"/>
          <w:color w:val="auto"/>
        </w:rPr>
        <w:t xml:space="preserve"> hereof, all money deposited with the Trustee pursuant to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1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The Company will pay and indemnify the Trustee against any tax, fee or other charge imposed on or assessed against the cash or non-callable Government Securities deposited pursuant to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hereof or the principal and interest received in respect thereof other than any such tax, fee or other charge which by law is for the account of the Holders of the outstanding Notes.</w:t>
      </w:r>
    </w:p>
    <w:p>
      <w:pPr>
        <w:spacing w:after="0" w:line="1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If the Trustee or Paying Agent is unable to apply any money or Government Securities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hereof by reason of any legal proceeding or by reason of any order or judgment of any court or governmental authority enjoining, restraining or otherwise prohibiting such application, the Company’s and any Guarantor’s obligations under this Indenture and the Notes shall be revived and reinstated as though no deposit had occurred pursuant to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hereof; provided that if the Company has made any payment of principal of, premium on, if any, or interest on, any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bl>
    <w:p>
      <w:pPr>
        <w:sectPr>
          <w:pgSz w:w="11900" w:h="16838" w:orient="portrait"/>
          <w:cols w:equalWidth="0" w:num="1">
            <w:col w:w="11240"/>
          </w:cols>
          <w:pgMar w:left="320" w:top="1440" w:right="339" w:bottom="1440" w:gutter="0" w:footer="0" w:header="0"/>
        </w:sectPr>
      </w:pPr>
    </w:p>
    <w:bookmarkStart w:id="117" w:name="page118"/>
    <w:bookmarkEnd w:id="117"/>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because of the reinstatement of its obligations, the Company shall be subrogated to the rights of the Holders of such Notes to receive such payment from the money or Government Securities held by the Trustee or Paying Agent.</w:t>
      </w:r>
    </w:p>
    <w:p>
      <w:pPr>
        <w:spacing w:after="0" w:line="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ARTICLE XII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7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12.01</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12.02</w:t>
      </w:r>
      <w:r>
        <w:rPr>
          <w:sz w:val="20"/>
          <w:szCs w:val="20"/>
          <w:color w:val="auto"/>
        </w:rPr>
        <w:tab/>
      </w: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 notice or communication by the Company, any Guarantor or the Trustee to the others is duly given if in writing and delivered in Person or by first class mail (registered or certified, return receipt requested) or overnight air courier guaranteeing next day delivery, to the others’ address: If to the Company and/or any Guarantor:</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EZCORP, Inc.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2500 Bee Cave Road</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Building 1, Suite 200</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Austin, Texas 78746</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Attention: Chief Legal Officer</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Trustee: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Truist Bank</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2713 Forest Hills Rd, Building #2, 2nd Fl.</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Wilson, North Carolina 27893</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Attention: Client Manager: Patrick Giordano</w:t>
      </w:r>
    </w:p>
    <w:p>
      <w:pPr>
        <w:spacing w:after="0" w:line="15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Company, any Guarantor or the Trustee, by notice to the others, may designate additional or different addresses for subsequent notices or communications.</w:t>
      </w:r>
    </w:p>
    <w:p>
      <w:pPr>
        <w:spacing w:after="0" w:line="11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 xml:space="preserve">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facsimile or email; and the next Business Day after timely delivery to the courier, if sent by overnight air courier guaranteeing next day delivery;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notice or communication delivered to the Trustee shall be deemed effective upon actual receipt thereof.</w:t>
      </w:r>
    </w:p>
    <w:p>
      <w:pPr>
        <w:spacing w:after="0" w:line="10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Notwithstanding any other provision of this Indenture or any Note, where this Indenture or any Note provides for notice of any event (including any notice of redemption or purchase) to a Holder of a Global Note (whether by mail or otherwise), such notice shall be sufficiently given if given to the Depositary pursuant to the standing instructions from the Depositary.</w:t>
      </w:r>
    </w:p>
    <w:p>
      <w:pPr>
        <w:spacing w:after="0" w:line="1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2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If a notice or communication is mailed in the manner provided above within the time prescribed, it is duly given, whether or not the addressee receives it.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bl>
    <w:p>
      <w:pPr>
        <w:sectPr>
          <w:pgSz w:w="11900" w:h="16838" w:orient="portrait"/>
          <w:cols w:equalWidth="0" w:num="1">
            <w:col w:w="11240"/>
          </w:cols>
          <w:pgMar w:left="320" w:top="1440" w:right="339" w:bottom="1440" w:gutter="0" w:footer="0" w:header="0"/>
        </w:sectPr>
      </w:pPr>
    </w:p>
    <w:bookmarkStart w:id="118" w:name="page119"/>
    <w:bookmarkEnd w:id="118"/>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the Company mails a notice or communication to Holders, it will mail a copy to the Trustee and each Agent at the same time.</w:t>
      </w:r>
    </w:p>
    <w:p>
      <w:pPr>
        <w:spacing w:after="0" w:line="17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12.03</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b w:val="1"/>
          <w:bCs w:val="1"/>
          <w:color w:val="auto"/>
        </w:rPr>
        <w:t>.</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12.04</w:t>
      </w:r>
      <w:r>
        <w:rPr>
          <w:sz w:val="20"/>
          <w:szCs w:val="20"/>
          <w:color w:val="auto"/>
        </w:rPr>
        <w:tab/>
      </w:r>
      <w:r>
        <w:rPr>
          <w:rFonts w:ascii="Times New Roman" w:cs="Times New Roman" w:eastAsia="Times New Roman" w:hAnsi="Times New Roman"/>
          <w:sz w:val="19"/>
          <w:szCs w:val="19"/>
          <w:b w:val="1"/>
          <w:bCs w:val="1"/>
          <w:u w:val="single" w:color="auto"/>
          <w:color w:val="auto"/>
        </w:rPr>
        <w:t>Certificate and Opinion as to Conditions Precedent</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Upon any request or application by the Company to the Trustee to take any action under this Indenture, the Company shall furnish to the Trustee:</w:t>
      </w:r>
    </w:p>
    <w:p>
      <w:pPr>
        <w:spacing w:after="0" w:line="119" w:lineRule="exact"/>
        <w:rPr>
          <w:sz w:val="20"/>
          <w:szCs w:val="20"/>
          <w:color w:val="auto"/>
        </w:rPr>
      </w:pPr>
    </w:p>
    <w:p>
      <w:pPr>
        <w:jc w:val="both"/>
        <w:ind w:firstLine="1304"/>
        <w:spacing w:after="0" w:line="261" w:lineRule="auto"/>
        <w:tabs>
          <w:tab w:leader="none" w:pos="1932"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Officers’ Certificate in form and substance reasonably satisfactory to the Trustee (which must include the statements set forth in </w:t>
      </w:r>
      <w:r>
        <w:rPr>
          <w:rFonts w:ascii="Times New Roman" w:cs="Times New Roman" w:eastAsia="Times New Roman" w:hAnsi="Times New Roman"/>
          <w:sz w:val="20"/>
          <w:szCs w:val="20"/>
          <w:u w:val="single" w:color="auto"/>
          <w:color w:val="auto"/>
        </w:rPr>
        <w:t>Section 12.05</w:t>
      </w:r>
      <w:r>
        <w:rPr>
          <w:rFonts w:ascii="Times New Roman" w:cs="Times New Roman" w:eastAsia="Times New Roman" w:hAnsi="Times New Roman"/>
          <w:sz w:val="20"/>
          <w:szCs w:val="20"/>
          <w:color w:val="auto"/>
        </w:rPr>
        <w:t xml:space="preserve"> hereof) stating that, in the opinion of the signers, all conditions precedent and covenants, if any, provided for in this Indenture relating to the proposed action have been satisfied; and</w:t>
      </w:r>
    </w:p>
    <w:p>
      <w:pPr>
        <w:spacing w:after="0" w:line="127"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Opinion of Counsel in form and substance reasonably satisfactory to the Trustee (which must include the statements set forth in </w:t>
      </w:r>
      <w:r>
        <w:rPr>
          <w:rFonts w:ascii="Times New Roman" w:cs="Times New Roman" w:eastAsia="Times New Roman" w:hAnsi="Times New Roman"/>
          <w:sz w:val="20"/>
          <w:szCs w:val="20"/>
          <w:u w:val="single" w:color="auto"/>
          <w:color w:val="auto"/>
        </w:rPr>
        <w:t>Section 12.05</w:t>
      </w:r>
      <w:r>
        <w:rPr>
          <w:rFonts w:ascii="Times New Roman" w:cs="Times New Roman" w:eastAsia="Times New Roman" w:hAnsi="Times New Roman"/>
          <w:sz w:val="20"/>
          <w:szCs w:val="20"/>
          <w:color w:val="auto"/>
        </w:rPr>
        <w:t xml:space="preserve"> hereof) stating that, in the opinion of such counsel, all such conditions precedent and covenants have been satisfied.</w:t>
      </w:r>
    </w:p>
    <w:p>
      <w:pPr>
        <w:spacing w:after="0" w:line="12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12.05</w:t>
      </w:r>
      <w:r>
        <w:rPr>
          <w:sz w:val="20"/>
          <w:szCs w:val="20"/>
          <w:color w:val="auto"/>
        </w:rPr>
        <w:tab/>
      </w:r>
      <w:r>
        <w:rPr>
          <w:rFonts w:ascii="Times New Roman" w:cs="Times New Roman" w:eastAsia="Times New Roman" w:hAnsi="Times New Roman"/>
          <w:sz w:val="19"/>
          <w:szCs w:val="19"/>
          <w:b w:val="1"/>
          <w:bCs w:val="1"/>
          <w:u w:val="single" w:color="auto"/>
          <w:color w:val="auto"/>
        </w:rPr>
        <w:t>Statements Required in Certificate or Opinion</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certificate or opinion with respect to compliance with a condition or covenant provided for in this Indenture must include:</w:t>
      </w:r>
    </w:p>
    <w:p>
      <w:pPr>
        <w:spacing w:after="0" w:line="175" w:lineRule="exact"/>
        <w:rPr>
          <w:sz w:val="20"/>
          <w:szCs w:val="20"/>
          <w:color w:val="auto"/>
        </w:rPr>
      </w:pPr>
    </w:p>
    <w:p>
      <w:pPr>
        <w:ind w:left="1940" w:hanging="636"/>
        <w:spacing w:after="0"/>
        <w:tabs>
          <w:tab w:leader="none" w:pos="194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the Person making such certificate or opinion has read such covenant or condition;</w:t>
      </w:r>
    </w:p>
    <w:p>
      <w:pPr>
        <w:spacing w:after="0" w:line="161"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statement as to the nature and scope of the examination or investigation upon which the statements or opinions contained in such certificate or opinion are based;</w:t>
      </w:r>
    </w:p>
    <w:p>
      <w:pPr>
        <w:spacing w:after="0" w:line="105"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1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as to whether or not, in the opinion of such Person, such condition or covenant has been satisfied.</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12.06</w:t>
      </w:r>
      <w:r>
        <w:rPr>
          <w:sz w:val="20"/>
          <w:szCs w:val="20"/>
          <w:color w:val="auto"/>
        </w:rPr>
        <w:tab/>
      </w:r>
      <w:r>
        <w:rPr>
          <w:rFonts w:ascii="Times New Roman" w:cs="Times New Roman" w:eastAsia="Times New Roman" w:hAnsi="Times New Roman"/>
          <w:sz w:val="19"/>
          <w:szCs w:val="19"/>
          <w:b w:val="1"/>
          <w:bCs w:val="1"/>
          <w:u w:val="single" w:color="auto"/>
          <w:color w:val="auto"/>
        </w:rPr>
        <w:t>Rules by Trustee and Agents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Trustee may make reasonable rules for action by or at a meeting of Holders. The Registrar or Paying Agent may make reasonable rules and set reasonable requirements for its functions.</w:t>
      </w:r>
    </w:p>
    <w:p>
      <w:pPr>
        <w:spacing w:after="0" w:line="11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12.07</w:t>
      </w:r>
      <w:r>
        <w:rPr>
          <w:sz w:val="20"/>
          <w:szCs w:val="20"/>
          <w:color w:val="auto"/>
        </w:rPr>
        <w:tab/>
      </w:r>
      <w:r>
        <w:rPr>
          <w:rFonts w:ascii="Times New Roman" w:cs="Times New Roman" w:eastAsia="Times New Roman" w:hAnsi="Times New Roman"/>
          <w:sz w:val="19"/>
          <w:szCs w:val="19"/>
          <w:b w:val="1"/>
          <w:bCs w:val="1"/>
          <w:u w:val="single" w:color="auto"/>
          <w:color w:val="auto"/>
        </w:rPr>
        <w:t>No Personal Liability of Directors, Officers, Employees and Stockholders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 director, officer, employee, incorporator, stockholder, partner, member or manager (or any equivalent thereof) of the Company or any Guarantor, as such, will have any liability for any obligations of the Company or the Guarantors under the Notes, this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bl>
    <w:p>
      <w:pPr>
        <w:sectPr>
          <w:pgSz w:w="11900" w:h="16838" w:orient="portrait"/>
          <w:cols w:equalWidth="0" w:num="1">
            <w:col w:w="11240"/>
          </w:cols>
          <w:pgMar w:left="320" w:top="1440" w:right="339" w:bottom="1440" w:gutter="0" w:footer="0" w:header="0"/>
        </w:sectPr>
      </w:pPr>
    </w:p>
    <w:bookmarkStart w:id="119" w:name="page120"/>
    <w:bookmarkEnd w:id="119"/>
    <w:p>
      <w:pPr>
        <w:spacing w:after="0" w:line="13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12.08</w:t>
      </w:r>
      <w:r>
        <w:rPr>
          <w:sz w:val="20"/>
          <w:szCs w:val="20"/>
          <w:color w:val="auto"/>
        </w:rPr>
        <w:tab/>
      </w:r>
      <w:r>
        <w:rPr>
          <w:rFonts w:ascii="Times New Roman" w:cs="Times New Roman" w:eastAsia="Times New Roman" w:hAnsi="Times New Roman"/>
          <w:sz w:val="19"/>
          <w:szCs w:val="19"/>
          <w:b w:val="1"/>
          <w:bCs w:val="1"/>
          <w:u w:val="single" w:color="auto"/>
          <w:color w:val="auto"/>
        </w:rPr>
        <w:t>Governing Law</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INTERNAL LAW OF THE STATE OF NEW YORK WILL GOVERN AND BE USED TO CONSTRUE THIS INDENTURE, THE NOTES AND THE NOTE GUARANTEES WITHOUT GIVING EFFECT TO APPLICABLE PRINCIPLES OF CONFLICTS OF LAW TO THE EXTENT THAT THE APPLICATION OF THE LAWS OF ANOTHER JURISDICTION WOULD BE REQUIRED THEREBY.</w:t>
      </w:r>
    </w:p>
    <w:p>
      <w:pPr>
        <w:spacing w:after="0" w:line="12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12.09</w:t>
      </w:r>
      <w:r>
        <w:rPr>
          <w:sz w:val="20"/>
          <w:szCs w:val="20"/>
          <w:color w:val="auto"/>
        </w:rPr>
        <w:tab/>
      </w:r>
      <w:r>
        <w:rPr>
          <w:rFonts w:ascii="Times New Roman" w:cs="Times New Roman" w:eastAsia="Times New Roman" w:hAnsi="Times New Roman"/>
          <w:sz w:val="19"/>
          <w:szCs w:val="19"/>
          <w:b w:val="1"/>
          <w:bCs w:val="1"/>
          <w:u w:val="single" w:color="auto"/>
          <w:color w:val="auto"/>
        </w:rPr>
        <w:t>No Adverse Interpretation of Other Agreements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11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12.10</w:t>
      </w:r>
      <w:r>
        <w:rPr>
          <w:sz w:val="20"/>
          <w:szCs w:val="20"/>
          <w:color w:val="auto"/>
        </w:rPr>
        <w:tab/>
      </w:r>
      <w:r>
        <w:rPr>
          <w:rFonts w:ascii="Times New Roman" w:cs="Times New Roman" w:eastAsia="Times New Roman" w:hAnsi="Times New Roman"/>
          <w:sz w:val="19"/>
          <w:szCs w:val="19"/>
          <w:b w:val="1"/>
          <w:bCs w:val="1"/>
          <w:u w:val="single" w:color="auto"/>
          <w:color w:val="auto"/>
        </w:rPr>
        <w:t>Successors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All agreements of the Company in this Indenture and the Notes will bind its successors. All agreements of the Trustee in this Indenture will bind its successors. All agreements of each Guarantor in this Indenture will bind its successors, except as otherwise provided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hereof.</w:t>
      </w:r>
    </w:p>
    <w:p>
      <w:pPr>
        <w:spacing w:after="0" w:line="10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12.11</w:t>
      </w:r>
      <w:r>
        <w:rPr>
          <w:sz w:val="20"/>
          <w:szCs w:val="20"/>
          <w:color w:val="auto"/>
        </w:rPr>
        <w:tab/>
      </w:r>
      <w:r>
        <w:rPr>
          <w:rFonts w:ascii="Times New Roman" w:cs="Times New Roman" w:eastAsia="Times New Roman" w:hAnsi="Times New Roman"/>
          <w:sz w:val="19"/>
          <w:szCs w:val="19"/>
          <w:b w:val="1"/>
          <w:bCs w:val="1"/>
          <w:u w:val="single" w:color="auto"/>
          <w:color w:val="auto"/>
        </w:rPr>
        <w:t>Severability</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In case any provision in this Indenture or in the Notes is invalid, illegal or unenforceable, the validity, legality and enforceability of the remaining provisions will not in any way be affected or impaired thereby.</w:t>
      </w:r>
    </w:p>
    <w:p>
      <w:pPr>
        <w:spacing w:after="0" w:line="11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12.12</w:t>
      </w:r>
      <w:r>
        <w:rPr>
          <w:sz w:val="20"/>
          <w:szCs w:val="20"/>
          <w:color w:val="auto"/>
        </w:rPr>
        <w:tab/>
      </w:r>
      <w:r>
        <w:rPr>
          <w:rFonts w:ascii="Times New Roman" w:cs="Times New Roman" w:eastAsia="Times New Roman" w:hAnsi="Times New Roman"/>
          <w:sz w:val="19"/>
          <w:szCs w:val="19"/>
          <w:b w:val="1"/>
          <w:bCs w:val="1"/>
          <w:u w:val="single" w:color="auto"/>
          <w:color w:val="auto"/>
        </w:rPr>
        <w:t>Counterpart Originals; Electronic Signature</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parties may sign any number of copies of this Indenture. Each signed copy will be an original, but all of them together represent the same agreement. Delivery of an executed counterpart of a signature page to this Indenture by facsimile or other electronic transmission (e.g., a “pdf” or “tif”) shall be effective as delivery of a manually executed counterpart thereof.</w:t>
      </w:r>
    </w:p>
    <w:p>
      <w:pPr>
        <w:spacing w:after="0" w:line="11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This Indenture and any certificate, agreement or other document to be signed in connection with this Indenture and the transactions contemplated hereby shall be valid, binding, and enforceable against a party only when executed and delivered by an authorized individual on behalf of the party by means of (i) an original manual signature; (ii) a faxed, scanned, or photocopied manual signature; or (iii) in the case of this Indenture and any certificate, agreement or other document to be signed in connection with this Indenture and the transactions contemplated hereby,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w:t>
      </w:r>
      <w:r>
        <w:rPr>
          <w:rFonts w:ascii="Times New Roman" w:cs="Times New Roman" w:eastAsia="Times New Roman" w:hAnsi="Times New Roman"/>
          <w:sz w:val="20"/>
          <w:szCs w:val="20"/>
          <w:u w:val="single" w:color="auto"/>
          <w:color w:val="auto"/>
        </w:rPr>
        <w:t>Signature Law</w:t>
      </w:r>
      <w:r>
        <w:rPr>
          <w:rFonts w:ascii="Times New Roman" w:cs="Times New Roman" w:eastAsia="Times New Roman" w:hAnsi="Times New Roman"/>
          <w:sz w:val="20"/>
          <w:szCs w:val="20"/>
          <w:color w:val="auto"/>
        </w:rPr>
        <w:t>”).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For avoidance of doubt, original manual signatures shall be used for execution or indorsement of writings when required under the Uniform Commercial Code or other Signature Law due to the character or intended character of the writings.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bl>
    <w:p>
      <w:pPr>
        <w:sectPr>
          <w:pgSz w:w="11900" w:h="16838" w:orient="portrait"/>
          <w:cols w:equalWidth="0" w:num="1">
            <w:col w:w="11240"/>
          </w:cols>
          <w:pgMar w:left="320" w:top="1440" w:right="339" w:bottom="1440" w:gutter="0" w:footer="0" w:header="0"/>
        </w:sectPr>
      </w:pPr>
    </w:p>
    <w:bookmarkStart w:id="120" w:name="page121"/>
    <w:bookmarkEnd w:id="120"/>
    <w:p>
      <w:pPr>
        <w:spacing w:after="0" w:line="13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12.13</w:t>
      </w:r>
      <w:r>
        <w:rPr>
          <w:sz w:val="20"/>
          <w:szCs w:val="20"/>
          <w:color w:val="auto"/>
        </w:rPr>
        <w:tab/>
      </w:r>
      <w:r>
        <w:rPr>
          <w:rFonts w:ascii="Times New Roman" w:cs="Times New Roman" w:eastAsia="Times New Roman" w:hAnsi="Times New Roman"/>
          <w:sz w:val="19"/>
          <w:szCs w:val="19"/>
          <w:b w:val="1"/>
          <w:bCs w:val="1"/>
          <w:u w:val="single" w:color="auto"/>
          <w:color w:val="auto"/>
        </w:rPr>
        <w:t>Table of Contents, Headings, etc</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1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12.14</w:t>
      </w:r>
      <w:r>
        <w:rPr>
          <w:sz w:val="20"/>
          <w:szCs w:val="20"/>
          <w:color w:val="auto"/>
        </w:rPr>
        <w:tab/>
      </w:r>
      <w:r>
        <w:rPr>
          <w:rFonts w:ascii="Times New Roman" w:cs="Times New Roman" w:eastAsia="Times New Roman" w:hAnsi="Times New Roman"/>
          <w:sz w:val="19"/>
          <w:szCs w:val="19"/>
          <w:b w:val="1"/>
          <w:bCs w:val="1"/>
          <w:u w:val="single" w:color="auto"/>
          <w:color w:val="auto"/>
        </w:rPr>
        <w:t>Waiver of Jury Trial</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OF THE COMPANY, THE OTHER NOTE PARTIES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1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12.15</w:t>
      </w:r>
      <w:r>
        <w:rPr>
          <w:sz w:val="20"/>
          <w:szCs w:val="20"/>
          <w:color w:val="auto"/>
        </w:rPr>
        <w:tab/>
      </w:r>
      <w:r>
        <w:rPr>
          <w:rFonts w:ascii="Times New Roman" w:cs="Times New Roman" w:eastAsia="Times New Roman" w:hAnsi="Times New Roman"/>
          <w:sz w:val="19"/>
          <w:szCs w:val="19"/>
          <w:b w:val="1"/>
          <w:bCs w:val="1"/>
          <w:u w:val="single" w:color="auto"/>
          <w:color w:val="auto"/>
        </w:rPr>
        <w:t>U.S.A. Patriot Act</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bl>
    <w:p>
      <w:pPr>
        <w:sectPr>
          <w:pgSz w:w="11900" w:h="16838" w:orient="portrait"/>
          <w:cols w:equalWidth="0" w:num="1">
            <w:col w:w="11240"/>
          </w:cols>
          <w:pgMar w:left="320" w:top="1440" w:right="339" w:bottom="1440" w:gutter="0" w:footer="0" w:header="0"/>
        </w:sectPr>
      </w:pPr>
    </w:p>
    <w:bookmarkStart w:id="121" w:name="page122"/>
    <w:bookmarkEnd w:id="121"/>
    <w:p>
      <w:pPr>
        <w:ind w:left="5020"/>
        <w:spacing w:after="0"/>
        <w:rPr>
          <w:sz w:val="20"/>
          <w:szCs w:val="20"/>
          <w:color w:val="auto"/>
        </w:rPr>
      </w:pPr>
      <w:r>
        <w:rPr>
          <w:rFonts w:ascii="Times New Roman" w:cs="Times New Roman" w:eastAsia="Times New Roman" w:hAnsi="Times New Roman"/>
          <w:sz w:val="20"/>
          <w:szCs w:val="20"/>
          <w:color w:val="auto"/>
        </w:rPr>
        <w:t>SIGNATURES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as of March 28, 2025</w:t>
      </w:r>
    </w:p>
    <w:p>
      <w:pPr>
        <w:spacing w:after="0" w:line="15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EZCORP, Inc.</w:t>
      </w:r>
    </w:p>
    <w:p>
      <w:pPr>
        <w:spacing w:after="0" w:line="368"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-10795</wp:posOffset>
            </wp:positionV>
            <wp:extent cx="2051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1050" cy="8255"/>
                    </a:xfrm>
                    <a:prstGeom prst="rect">
                      <a:avLst/>
                    </a:prstGeom>
                    <a:noFill/>
                  </pic:spPr>
                </pic:pic>
              </a:graphicData>
            </a:graphic>
          </wp:anchor>
        </w:drawing>
      </w:r>
    </w:p>
    <w:p>
      <w:pPr>
        <w:spacing w:after="0" w:line="8" w:lineRule="exact"/>
        <w:rPr>
          <w:sz w:val="20"/>
          <w:szCs w:val="20"/>
          <w:color w:val="auto"/>
        </w:rPr>
      </w:pPr>
    </w:p>
    <w:p>
      <w:pPr>
        <w:ind w:left="5200"/>
        <w:spacing w:after="0"/>
        <w:tabs>
          <w:tab w:leader="none" w:pos="59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Timothy K. Jugmans</w:t>
      </w:r>
    </w:p>
    <w:p>
      <w:pPr>
        <w:spacing w:after="0" w:line="13" w:lineRule="exact"/>
        <w:rPr>
          <w:sz w:val="20"/>
          <w:szCs w:val="20"/>
          <w:color w:val="auto"/>
        </w:rPr>
      </w:pPr>
    </w:p>
    <w:p>
      <w:pPr>
        <w:ind w:left="5200"/>
        <w:spacing w:after="0"/>
        <w:tabs>
          <w:tab w:leader="none" w:pos="58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Indenture</w:t>
      </w:r>
      <w:r>
        <w:rPr>
          <w:rFonts w:ascii="Times New Roman" w:cs="Times New Roman" w:eastAsia="Times New Roman" w:hAnsi="Times New Roman"/>
          <w:sz w:val="20"/>
          <w:szCs w:val="20"/>
          <w:color w:val="auto"/>
        </w:rPr>
        <w:t>]</w:t>
      </w:r>
    </w:p>
    <w:p>
      <w:pPr>
        <w:spacing w:after="0" w:line="1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129712752</w:t>
      </w:r>
    </w:p>
    <w:p>
      <w:pPr>
        <w:sectPr>
          <w:pgSz w:w="11900" w:h="16838" w:orient="portrait"/>
          <w:cols w:equalWidth="0" w:num="1">
            <w:col w:w="10139"/>
          </w:cols>
          <w:pgMar w:left="320" w:top="1413" w:right="1440" w:bottom="1440" w:gutter="0" w:footer="0" w:header="0"/>
        </w:sectPr>
      </w:pPr>
    </w:p>
    <w:bookmarkStart w:id="122" w:name="page123"/>
    <w:bookmarkEnd w:id="122"/>
    <w:p>
      <w:pPr>
        <w:ind w:left="4460"/>
        <w:spacing w:after="0"/>
        <w:rPr>
          <w:sz w:val="20"/>
          <w:szCs w:val="20"/>
          <w:color w:val="auto"/>
        </w:rPr>
      </w:pP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w:t>
      </w:r>
    </w:p>
    <w:p>
      <w:pPr>
        <w:spacing w:after="0" w:line="25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CCV Pennsylvania, Inc.</w:t>
      </w:r>
    </w:p>
    <w:p>
      <w:pPr>
        <w:spacing w:after="0" w:line="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Holdings,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Nevada,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Alabama,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Arizona, Inc.</w:t>
      </w:r>
    </w:p>
    <w:p>
      <w:pPr>
        <w:spacing w:after="0" w:line="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Arkansas,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Colorado,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Florida,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Georgia,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Illinois, Inc.</w:t>
      </w:r>
    </w:p>
    <w:p>
      <w:pPr>
        <w:spacing w:after="0" w:line="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Indiana,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Iowa,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Minnesota,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MS,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Oklahoma, Inc.</w:t>
      </w:r>
    </w:p>
    <w:p>
      <w:pPr>
        <w:spacing w:after="0" w:line="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Oregon,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Tennessee,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EZPAWN Utah,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Texas EZPAWN Management,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Mister Money Holdings,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CCV Americas, LLC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EZCORP FS Holdings, Inc.</w:t>
      </w:r>
    </w:p>
    <w:p>
      <w:pPr>
        <w:spacing w:after="0" w:line="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Egreen Financial,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 Online Sales,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EZCORP USA,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EZCORP Services, Inc.</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Rollingwood Holdings, LLC</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60"/>
        <w:spacing w:after="0"/>
        <w:tabs>
          <w:tab w:leader="none" w:pos="49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-10795</wp:posOffset>
            </wp:positionV>
            <wp:extent cx="2051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1050" cy="8890"/>
                    </a:xfrm>
                    <a:prstGeom prst="rect">
                      <a:avLst/>
                    </a:prstGeom>
                    <a:noFill/>
                  </pic:spPr>
                </pic:pic>
              </a:graphicData>
            </a:graphic>
          </wp:anchor>
        </w:drawing>
      </w:r>
    </w:p>
    <w:p>
      <w:pPr>
        <w:spacing w:after="0" w:line="2" w:lineRule="exact"/>
        <w:rPr>
          <w:sz w:val="20"/>
          <w:szCs w:val="20"/>
          <w:color w:val="auto"/>
        </w:rPr>
      </w:pPr>
    </w:p>
    <w:p>
      <w:pPr>
        <w:ind w:left="5120"/>
        <w:spacing w:after="0"/>
        <w:tabs>
          <w:tab w:leader="none" w:pos="58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Timothy K. Jugmans</w:t>
      </w:r>
    </w:p>
    <w:p>
      <w:pPr>
        <w:spacing w:after="0" w:line="6" w:lineRule="exact"/>
        <w:rPr>
          <w:sz w:val="20"/>
          <w:szCs w:val="20"/>
          <w:color w:val="auto"/>
        </w:rPr>
      </w:pPr>
    </w:p>
    <w:p>
      <w:pPr>
        <w:ind w:left="5120"/>
        <w:spacing w:after="0"/>
        <w:tabs>
          <w:tab w:leader="none" w:pos="57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 and Treasurer</w:t>
      </w:r>
    </w:p>
    <w:p>
      <w:pPr>
        <w:spacing w:after="0" w:line="1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Texas EZPAWN L.P.</w:t>
      </w:r>
    </w:p>
    <w:p>
      <w:pPr>
        <w:spacing w:after="0" w:line="382"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20"/>
          <w:szCs w:val="20"/>
          <w:color w:val="auto"/>
        </w:rPr>
        <w:t>By: TEXAS EZPAWN Management, Inc., its general partner</w:t>
      </w:r>
    </w:p>
    <w:p>
      <w:pPr>
        <w:spacing w:after="0" w:line="364" w:lineRule="exact"/>
        <w:rPr>
          <w:sz w:val="20"/>
          <w:szCs w:val="20"/>
          <w:color w:val="auto"/>
        </w:rPr>
      </w:pPr>
    </w:p>
    <w:p>
      <w:pPr>
        <w:ind w:left="4460"/>
        <w:spacing w:after="0"/>
        <w:tabs>
          <w:tab w:leader="none" w:pos="49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-10795</wp:posOffset>
            </wp:positionV>
            <wp:extent cx="2051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1050" cy="8255"/>
                    </a:xfrm>
                    <a:prstGeom prst="rect">
                      <a:avLst/>
                    </a:prstGeom>
                    <a:noFill/>
                  </pic:spPr>
                </pic:pic>
              </a:graphicData>
            </a:graphic>
          </wp:anchor>
        </w:drawing>
      </w:r>
    </w:p>
    <w:p>
      <w:pPr>
        <w:spacing w:after="0" w:line="8" w:lineRule="exact"/>
        <w:rPr>
          <w:sz w:val="20"/>
          <w:szCs w:val="20"/>
          <w:color w:val="auto"/>
        </w:rPr>
      </w:pPr>
    </w:p>
    <w:p>
      <w:pPr>
        <w:ind w:left="5120"/>
        <w:spacing w:after="0"/>
        <w:tabs>
          <w:tab w:leader="none" w:pos="58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Timothy K. Jugmans</w:t>
      </w:r>
    </w:p>
    <w:p>
      <w:pPr>
        <w:spacing w:after="0" w:line="6" w:lineRule="exact"/>
        <w:rPr>
          <w:sz w:val="20"/>
          <w:szCs w:val="20"/>
          <w:color w:val="auto"/>
        </w:rPr>
      </w:pPr>
    </w:p>
    <w:p>
      <w:pPr>
        <w:ind w:left="5120"/>
        <w:spacing w:after="0"/>
        <w:tabs>
          <w:tab w:leader="none" w:pos="57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 and Treasurer</w:t>
      </w:r>
    </w:p>
    <w:p>
      <w:pPr>
        <w:spacing w:after="0" w:line="200" w:lineRule="exact"/>
        <w:rPr>
          <w:sz w:val="20"/>
          <w:szCs w:val="20"/>
          <w:color w:val="auto"/>
        </w:rPr>
      </w:pPr>
    </w:p>
    <w:p>
      <w:pPr>
        <w:spacing w:after="0" w:line="39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Indenture</w:t>
      </w:r>
      <w:r>
        <w:rPr>
          <w:rFonts w:ascii="Times New Roman" w:cs="Times New Roman" w:eastAsia="Times New Roman" w:hAnsi="Times New Roman"/>
          <w:sz w:val="20"/>
          <w:szCs w:val="20"/>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129712752</w:t>
      </w:r>
    </w:p>
    <w:p>
      <w:pPr>
        <w:sectPr>
          <w:pgSz w:w="11900" w:h="16838" w:orient="portrait"/>
          <w:cols w:equalWidth="0" w:num="1">
            <w:col w:w="10059"/>
          </w:cols>
          <w:pgMar w:left="400" w:top="1413" w:right="1440" w:bottom="1440" w:gutter="0" w:footer="0" w:header="0"/>
        </w:sectPr>
      </w:pPr>
    </w:p>
    <w:bookmarkStart w:id="123" w:name="page124"/>
    <w:bookmarkEnd w:id="123"/>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Truist Bank</w:t>
      </w:r>
    </w:p>
    <w:p>
      <w:pPr>
        <w:spacing w:after="0" w:line="200" w:lineRule="exact"/>
        <w:rPr>
          <w:sz w:val="20"/>
          <w:szCs w:val="20"/>
          <w:color w:val="auto"/>
        </w:rPr>
      </w:pPr>
    </w:p>
    <w:p>
      <w:pPr>
        <w:spacing w:after="0" w:line="249" w:lineRule="exact"/>
        <w:rPr>
          <w:sz w:val="20"/>
          <w:szCs w:val="20"/>
          <w:color w:val="auto"/>
        </w:rPr>
      </w:pPr>
    </w:p>
    <w:p>
      <w:pPr>
        <w:ind w:left="4460"/>
        <w:spacing w:after="0"/>
        <w:tabs>
          <w:tab w:leader="none" w:pos="49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Patrick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-10795</wp:posOffset>
            </wp:positionV>
            <wp:extent cx="2048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 w:lineRule="exact"/>
        <w:rPr>
          <w:sz w:val="20"/>
          <w:szCs w:val="20"/>
          <w:color w:val="auto"/>
        </w:rPr>
      </w:pPr>
    </w:p>
    <w:p>
      <w:pPr>
        <w:jc w:val="right"/>
        <w:ind w:right="2859"/>
        <w:spacing w:after="0"/>
        <w:tabs>
          <w:tab w:leader="none" w:pos="13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Patrick Giordano</w:t>
      </w:r>
    </w:p>
    <w:p>
      <w:pPr>
        <w:spacing w:after="0" w:line="6" w:lineRule="exact"/>
        <w:rPr>
          <w:sz w:val="20"/>
          <w:szCs w:val="20"/>
          <w:color w:val="auto"/>
        </w:rPr>
      </w:pPr>
    </w:p>
    <w:p>
      <w:pPr>
        <w:ind w:left="5120"/>
        <w:spacing w:after="0"/>
        <w:tabs>
          <w:tab w:leader="none" w:pos="57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Indenture</w:t>
      </w:r>
      <w:r>
        <w:rPr>
          <w:rFonts w:ascii="Times New Roman" w:cs="Times New Roman" w:eastAsia="Times New Roman" w:hAnsi="Times New Roman"/>
          <w:sz w:val="20"/>
          <w:szCs w:val="20"/>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129712752</w:t>
      </w:r>
    </w:p>
    <w:p>
      <w:pPr>
        <w:sectPr>
          <w:pgSz w:w="11900" w:h="16838" w:orient="portrait"/>
          <w:cols w:equalWidth="0" w:num="1">
            <w:col w:w="10059"/>
          </w:cols>
          <w:pgMar w:left="400" w:top="1409" w:right="1440" w:bottom="1440" w:gutter="0" w:footer="0" w:header="0"/>
        </w:sectPr>
      </w:pPr>
    </w:p>
    <w:bookmarkStart w:id="124" w:name="page125"/>
    <w:bookmarkEnd w:id="124"/>
    <w:p>
      <w:pPr>
        <w:ind w:left="10460"/>
        <w:spacing w:after="0"/>
        <w:rPr>
          <w:sz w:val="20"/>
          <w:szCs w:val="20"/>
          <w:color w:val="auto"/>
        </w:rPr>
      </w:pPr>
      <w:r>
        <w:rPr>
          <w:rFonts w:ascii="Times New Roman" w:cs="Times New Roman" w:eastAsia="Times New Roman" w:hAnsi="Times New Roman"/>
          <w:sz w:val="19"/>
          <w:szCs w:val="19"/>
          <w:color w:val="auto"/>
        </w:rPr>
        <w:t>Exhibit A</w:t>
      </w:r>
    </w:p>
    <w:p>
      <w:pPr>
        <w:ind w:left="11080"/>
        <w:spacing w:after="0" w:line="203" w:lineRule="auto"/>
        <w:rPr>
          <w:sz w:val="20"/>
          <w:szCs w:val="20"/>
          <w:color w:val="auto"/>
        </w:rPr>
      </w:pPr>
      <w:r>
        <w:rPr>
          <w:rFonts w:ascii="Times New Roman" w:cs="Times New Roman" w:eastAsia="Times New Roman" w:hAnsi="Times New Roman"/>
          <w:sz w:val="20"/>
          <w:szCs w:val="20"/>
          <w:u w:val="single" w:color="auto"/>
          <w:color w:val="auto"/>
        </w:rPr>
        <w:t>to</w:t>
      </w:r>
    </w:p>
    <w:p>
      <w:pPr>
        <w:spacing w:after="0" w:line="1"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9"/>
          <w:szCs w:val="19"/>
          <w:u w:val="single" w:color="auto"/>
          <w:color w:val="auto"/>
        </w:rPr>
        <w:t>Indenture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9"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9"/>
          <w:szCs w:val="19"/>
          <w:color w:val="auto"/>
        </w:rPr>
        <w:t>CUSIP/ISIN __________</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7.375% Senior Notes due 2032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No._________</w:t>
      </w:r>
    </w:p>
    <w:p>
      <w:pPr>
        <w:spacing w:after="0" w:line="162"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9"/>
          <w:szCs w:val="19"/>
          <w:color w:val="auto"/>
        </w:rPr>
        <w:t>$ _________</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EZCORP,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promises to pay to [Cede &amp; Co.][_________________________________] or registered assigns,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principal sum of __________________________________________________________ DOLLARS [, or such other amount as set forth</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the Schedule of Exchanges of Interests in the Global Note attached hereto,] on April 1, 2032.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Payment Dates: April 1 and October 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 Dates: March 15 and September 15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_______________</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EZCORP, INC.</w:t>
      </w:r>
    </w:p>
    <w:p>
      <w:pPr>
        <w:spacing w:after="0" w:line="283"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is one of the Notes referred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within-mentioned Indenture: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TRUIST BANK,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_____________________________________</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8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6"/>
              </w:rPr>
              <w:t>A-1</w:t>
            </w:r>
          </w:p>
        </w:tc>
      </w:tr>
    </w:tbl>
    <w:p>
      <w:pPr>
        <w:sectPr>
          <w:pgSz w:w="11900" w:h="16838" w:orient="portrait"/>
          <w:cols w:equalWidth="0" w:num="1">
            <w:col w:w="11240"/>
          </w:cols>
          <w:pgMar w:left="320" w:top="1399" w:right="339" w:bottom="1440" w:gutter="0" w:footer="0" w:header="0"/>
        </w:sectPr>
      </w:pPr>
    </w:p>
    <w:bookmarkStart w:id="125" w:name="page126"/>
    <w:bookmarkEnd w:id="125"/>
    <w:p>
      <w:pPr>
        <w:ind w:left="5040"/>
        <w:spacing w:after="0"/>
        <w:rPr>
          <w:sz w:val="20"/>
          <w:szCs w:val="20"/>
          <w:color w:val="auto"/>
        </w:rPr>
      </w:pPr>
      <w:r>
        <w:rPr>
          <w:rFonts w:ascii="Times New Roman" w:cs="Times New Roman" w:eastAsia="Times New Roman" w:hAnsi="Times New Roman"/>
          <w:sz w:val="20"/>
          <w:szCs w:val="20"/>
          <w:color w:val="auto"/>
        </w:rPr>
        <w:t>[Back of Note]</w:t>
      </w:r>
    </w:p>
    <w:p>
      <w:pPr>
        <w:spacing w:after="0" w:line="17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7.375% Senior Notes due 2032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Insert the Global Note Legend, if applicable pursuant to the provisions of the Indenture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Insert the Private Placement Legend, if applicable pursuant to the provisions of the Indenture</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Insert the ERISA Legend pursuant to the provisions of the Indenture</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Capitalized terms used herein have the meanings assigned to them in the Indenture referred to below unless otherwise indicated.</w:t>
      </w:r>
    </w:p>
    <w:p>
      <w:pPr>
        <w:spacing w:after="0" w:line="162" w:lineRule="exact"/>
        <w:rPr>
          <w:sz w:val="20"/>
          <w:szCs w:val="20"/>
          <w:color w:val="auto"/>
        </w:rPr>
      </w:pPr>
    </w:p>
    <w:p>
      <w:pPr>
        <w:jc w:val="both"/>
        <w:ind w:firstLine="656"/>
        <w:spacing w:after="0" w:line="210" w:lineRule="auto"/>
        <w:tabs>
          <w:tab w:leader="none" w:pos="129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EZCORP,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promises to pay or cause to be paid interest on the principal amount of this Note at 7.375% per annum from March 28, 2025 until maturity. The Company will pay interest semi-annually in arrears on April 1 and October 1 of each year, or if any such day is not a Business Day, on the next succeeding Business Day (each, an “</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Interest on the Notes will accrue from the most recent date to which interest has been paid or, if no interest has been paid, from the date of issuance;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first Interest Payment Date shall be October 1, 2025. Notwithstanding the foregoing, if an Interest Payment Date falls on a day that is not a Business Day, the related payment of interest will be made on the next succeeding Business Day as if made on the date the payment was due, and no interest shall accrue for the intervening period. The Company will pay interest (including post-petition interest in any proceeding under any Bankruptcy Law) on overdue principal at a rate that is 1% higher than the then applicable interest rate on the Notes to the extent lawful; it will pay interest (including post-petition interest in any proceeding under any Bankruptcy Law) on overdue installments of interest (without regard to any applicable grace period), at the same rate to the extent lawful. Interest will be computed on the basis of a 360-day year comprised of twelve 30-day months.</w:t>
      </w:r>
    </w:p>
    <w:p>
      <w:pPr>
        <w:spacing w:after="0" w:line="110" w:lineRule="exact"/>
        <w:rPr>
          <w:rFonts w:ascii="Times New Roman" w:cs="Times New Roman" w:eastAsia="Times New Roman" w:hAnsi="Times New Roman"/>
          <w:sz w:val="20"/>
          <w:szCs w:val="20"/>
          <w:color w:val="auto"/>
        </w:rPr>
      </w:pPr>
    </w:p>
    <w:p>
      <w:pPr>
        <w:jc w:val="both"/>
        <w:ind w:firstLine="656"/>
        <w:spacing w:after="0" w:line="212" w:lineRule="auto"/>
        <w:tabs>
          <w:tab w:leader="none" w:pos="129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METHOD OF PAYMENT. The Company will pay interest on the Notes (except defaulted interest) to the Persons who are registered Holders of Notes at the close of business on the March 15 and September 15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Paying Agent and Registrar, or, at the option of the Company, payment of interest may be made by check mailed to the Holders at their addresses set forth in the register of 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payment by wire transfer of immediately available funds will be required with respect to principal of, premium on, if any, and interest on, all Global Notes and all other Notes the Holders of which hold not less than $5,000,000 aggregate principal amount of such other Notes in definitive form and will have provided wire transfer instructions to a U.S. dollar account maintained by such holder with a bank located in the contiguous United States to the Company or the Paying Agent. Such payment will be in such coin or currency of the United States of America as at the time of payment is legal tender for payment of public and private debts.</w:t>
      </w:r>
    </w:p>
    <w:p>
      <w:pPr>
        <w:spacing w:after="0" w:line="100" w:lineRule="exact"/>
        <w:rPr>
          <w:rFonts w:ascii="Times New Roman" w:cs="Times New Roman" w:eastAsia="Times New Roman" w:hAnsi="Times New Roman"/>
          <w:sz w:val="20"/>
          <w:szCs w:val="20"/>
          <w:color w:val="auto"/>
        </w:rPr>
      </w:pPr>
    </w:p>
    <w:p>
      <w:pPr>
        <w:jc w:val="both"/>
        <w:ind w:firstLine="656"/>
        <w:spacing w:after="0" w:line="230" w:lineRule="auto"/>
        <w:tabs>
          <w:tab w:leader="none" w:pos="129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PAYING AGENT AND REGISTRAR. Initially, TRUIST BANK, the Trustee under the Indenture, will act as Paying Agent and Registrar. The Company may change the Paying Agent or Registrar without prior notice to the Holders of the Notes. The Company or any of its Subsidiaries may act as Paying Agent or Registrar.</w:t>
      </w:r>
    </w:p>
    <w:p>
      <w:pPr>
        <w:spacing w:after="0" w:line="94" w:lineRule="exact"/>
        <w:rPr>
          <w:rFonts w:ascii="Times New Roman" w:cs="Times New Roman" w:eastAsia="Times New Roman" w:hAnsi="Times New Roman"/>
          <w:sz w:val="20"/>
          <w:szCs w:val="20"/>
          <w:color w:val="auto"/>
        </w:rPr>
      </w:pPr>
    </w:p>
    <w:p>
      <w:pPr>
        <w:jc w:val="both"/>
        <w:ind w:firstLine="656"/>
        <w:spacing w:after="0" w:line="220" w:lineRule="auto"/>
        <w:tabs>
          <w:tab w:leader="none" w:pos="129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INDENTURE. The Company issued the Notes under an Indenture dated as of March 28, 2025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among the Company,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Company. The Indenture does not limit the aggregate principal amount of Notes that may be issued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8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6"/>
              </w:rPr>
              <w:t>A-2</w:t>
            </w:r>
          </w:p>
        </w:tc>
      </w:tr>
    </w:tbl>
    <w:p>
      <w:pPr>
        <w:sectPr>
          <w:pgSz w:w="11900" w:h="16838" w:orient="portrait"/>
          <w:cols w:equalWidth="0" w:num="1">
            <w:col w:w="11240"/>
          </w:cols>
          <w:pgMar w:left="320" w:top="1413" w:right="339" w:bottom="1440" w:gutter="0" w:footer="0" w:header="0"/>
        </w:sectPr>
      </w:pPr>
    </w:p>
    <w:bookmarkStart w:id="126" w:name="page127"/>
    <w:bookmarkEnd w:id="126"/>
    <w:p>
      <w:pPr>
        <w:ind w:left="1300" w:hanging="644"/>
        <w:spacing w:after="0"/>
        <w:tabs>
          <w:tab w:leader="none" w:pos="130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OPTIONAL REDEMPTION.</w:t>
      </w:r>
    </w:p>
    <w:p>
      <w:pPr>
        <w:spacing w:after="0" w:line="1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pursuant to the following paragraphs, the Notes will not be redeemable at the Company’s option prior to</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April 1, 2028.</w:t>
      </w:r>
    </w:p>
    <w:p>
      <w:pPr>
        <w:spacing w:after="0" w:line="112"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prior to April 1, 2028, the Company may on any one or more occasions redeem up to 40% of the aggregate principal amount of Notes issued under the Indenture (including any Additional Notes), upon not less than 10 nor more than 60 days’ notice, at a redemption price equal to 107.375% of the principal amount of the Notes redeemed, plus accrued and unpaid interest, if any, to, but not including, the date of redemption (subject to the rights of Holders of Notes on the relevant record date to receive interest on the relevant Interest Payment Date), in an amount not to exceed the net proceeds from one or more Equity Offerings;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93" w:lineRule="exact"/>
        <w:rPr>
          <w:rFonts w:ascii="Times New Roman" w:cs="Times New Roman" w:eastAsia="Times New Roman" w:hAnsi="Times New Roman"/>
          <w:sz w:val="20"/>
          <w:szCs w:val="20"/>
          <w:color w:val="auto"/>
        </w:rPr>
      </w:pPr>
    </w:p>
    <w:p>
      <w:pPr>
        <w:ind w:left="660" w:firstLine="1292"/>
        <w:spacing w:after="0"/>
        <w:tabs>
          <w:tab w:leader="none" w:pos="2592" w:val="left"/>
        </w:tabs>
        <w:numPr>
          <w:ilvl w:val="2"/>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60% of the aggregate principal amount of Notes (including any Additional Notes, but excluding Notes held by the Company and its Subsidiaries) remains outstanding immediately after the occurrence of such redemption; and</w:t>
      </w:r>
    </w:p>
    <w:p>
      <w:pPr>
        <w:spacing w:after="0" w:line="107"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2"/>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occurs within 180 days after the closing of such Equity Offering.</w:t>
      </w:r>
    </w:p>
    <w:p>
      <w:pPr>
        <w:spacing w:after="0" w:line="12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prior to April 1, 2028, the Company may on any one or more occasions redeem all or a part of the Notes, upon not less than 10 nor more than 60 days’ notice, at a redemption price equal to 100% of the principal amount of the Notes redeemed, plus the Applicable Premium as of, and accrued and unpaid interest to, but not including, the date of redemption, subject to the rights of Holders on the relevant record date to receive interest due on the relevant Interest Payment Date.</w:t>
      </w:r>
    </w:p>
    <w:p>
      <w:pPr>
        <w:spacing w:after="0" w:line="107"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after April 1, 2028, the Company may on any one or more occasions redeem all or a part of the Notes, upon not less than 10 nor more than 60 days’ notice, at the redemption prices (expressed as percentages of principal amount) set forth below, plus accrued and unpaid interest, if any, on the Notes redeemed, to, but not including, the applicable date of redemption, if redeemed during the twelve-month period beginning on April 1 of the years indicated below, subject to the rights of Holders on the relevant record date to receive interest on the relevant Interest Payment Date:</w:t>
      </w:r>
    </w:p>
    <w:p>
      <w:pPr>
        <w:spacing w:after="0" w:line="144"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w w:val="87"/>
              </w:rPr>
              <w:t>Year</w:t>
            </w:r>
          </w:p>
        </w:tc>
        <w:tc>
          <w:tcPr>
            <w:tcW w:w="4480" w:type="dxa"/>
            <w:vAlign w:val="bottom"/>
          </w:tcPr>
          <w:p>
            <w:pPr>
              <w:spacing w:after="0"/>
              <w:rPr>
                <w:sz w:val="19"/>
                <w:szCs w:val="19"/>
                <w:color w:val="auto"/>
              </w:rPr>
            </w:pPr>
          </w:p>
        </w:tc>
        <w:tc>
          <w:tcPr>
            <w:tcW w:w="4140" w:type="dxa"/>
            <w:vAlign w:val="bottom"/>
            <w:gridSpan w:val="2"/>
          </w:tcPr>
          <w:p>
            <w:pPr>
              <w:jc w:val="center"/>
              <w:ind w:left="3181"/>
              <w:spacing w:after="0"/>
              <w:rPr>
                <w:sz w:val="20"/>
                <w:szCs w:val="20"/>
                <w:color w:val="auto"/>
              </w:rPr>
            </w:pPr>
            <w:r>
              <w:rPr>
                <w:rFonts w:ascii="Times New Roman" w:cs="Times New Roman" w:eastAsia="Times New Roman" w:hAnsi="Times New Roman"/>
                <w:sz w:val="20"/>
                <w:szCs w:val="20"/>
                <w:color w:val="auto"/>
                <w:w w:val="97"/>
              </w:rPr>
              <w:t>Percentage</w:t>
            </w:r>
          </w:p>
        </w:tc>
      </w:tr>
      <w:tr>
        <w:trPr>
          <w:trHeight w:val="20"/>
        </w:trPr>
        <w:tc>
          <w:tcPr>
            <w:tcW w:w="3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97"/>
        </w:trPr>
        <w:tc>
          <w:tcPr>
            <w:tcW w:w="4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4140" w:type="dxa"/>
            <w:vAlign w:val="bottom"/>
            <w:gridSpan w:val="2"/>
          </w:tcPr>
          <w:p>
            <w:pPr>
              <w:jc w:val="center"/>
              <w:ind w:left="3181"/>
              <w:spacing w:after="0"/>
              <w:rPr>
                <w:sz w:val="20"/>
                <w:szCs w:val="20"/>
                <w:color w:val="auto"/>
              </w:rPr>
            </w:pPr>
            <w:r>
              <w:rPr>
                <w:rFonts w:ascii="Times New Roman" w:cs="Times New Roman" w:eastAsia="Times New Roman" w:hAnsi="Times New Roman"/>
                <w:sz w:val="20"/>
                <w:szCs w:val="20"/>
                <w:color w:val="auto"/>
              </w:rPr>
              <w:t>103.688%</w:t>
            </w:r>
          </w:p>
        </w:tc>
      </w:tr>
      <w:tr>
        <w:trPr>
          <w:trHeight w:val="297"/>
        </w:trPr>
        <w:tc>
          <w:tcPr>
            <w:tcW w:w="4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4140" w:type="dxa"/>
            <w:vAlign w:val="bottom"/>
            <w:gridSpan w:val="2"/>
          </w:tcPr>
          <w:p>
            <w:pPr>
              <w:jc w:val="center"/>
              <w:ind w:left="3181"/>
              <w:spacing w:after="0"/>
              <w:rPr>
                <w:sz w:val="20"/>
                <w:szCs w:val="20"/>
                <w:color w:val="auto"/>
              </w:rPr>
            </w:pPr>
            <w:r>
              <w:rPr>
                <w:rFonts w:ascii="Times New Roman" w:cs="Times New Roman" w:eastAsia="Times New Roman" w:hAnsi="Times New Roman"/>
                <w:sz w:val="20"/>
                <w:szCs w:val="20"/>
                <w:color w:val="auto"/>
              </w:rPr>
              <w:t>101.844%</w:t>
            </w:r>
          </w:p>
        </w:tc>
      </w:tr>
      <w:tr>
        <w:trPr>
          <w:trHeight w:val="297"/>
        </w:trPr>
        <w:tc>
          <w:tcPr>
            <w:tcW w:w="4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2030 and thereafter</w:t>
            </w:r>
          </w:p>
        </w:tc>
        <w:tc>
          <w:tcPr>
            <w:tcW w:w="4140" w:type="dxa"/>
            <w:vAlign w:val="bottom"/>
            <w:gridSpan w:val="2"/>
          </w:tcPr>
          <w:p>
            <w:pPr>
              <w:jc w:val="center"/>
              <w:ind w:left="3181"/>
              <w:spacing w:after="0"/>
              <w:rPr>
                <w:sz w:val="20"/>
                <w:szCs w:val="20"/>
                <w:color w:val="auto"/>
              </w:rPr>
            </w:pPr>
            <w:r>
              <w:rPr>
                <w:rFonts w:ascii="Times New Roman" w:cs="Times New Roman" w:eastAsia="Times New Roman" w:hAnsi="Times New Roman"/>
                <w:sz w:val="20"/>
                <w:szCs w:val="20"/>
                <w:color w:val="auto"/>
              </w:rPr>
              <w:t>100.000%</w:t>
            </w:r>
          </w:p>
        </w:tc>
      </w:tr>
    </w:tbl>
    <w:p>
      <w:pPr>
        <w:spacing w:after="0" w:line="268"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Unless the Company defaults in the payment of the redemption price, interest will cease to accrue on the Notes or portions thereof called for redemption on the applicable redemption date.</w:t>
      </w:r>
    </w:p>
    <w:p>
      <w:pPr>
        <w:spacing w:after="0" w:line="105" w:lineRule="exact"/>
        <w:rPr>
          <w:sz w:val="20"/>
          <w:szCs w:val="20"/>
          <w:color w:val="auto"/>
        </w:rPr>
      </w:pPr>
    </w:p>
    <w:p>
      <w:pPr>
        <w:ind w:right="20" w:firstLine="656"/>
        <w:spacing w:after="0"/>
        <w:tabs>
          <w:tab w:leader="none" w:pos="129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MANDATORY REDEMPTION. The Company is not required to make mandatory redemption or sinking fund payments with respect to the Notes.</w:t>
      </w:r>
    </w:p>
    <w:p>
      <w:pPr>
        <w:spacing w:after="0" w:line="93" w:lineRule="exact"/>
        <w:rPr>
          <w:rFonts w:ascii="Times New Roman" w:cs="Times New Roman" w:eastAsia="Times New Roman" w:hAnsi="Times New Roman"/>
          <w:sz w:val="20"/>
          <w:szCs w:val="20"/>
          <w:color w:val="auto"/>
        </w:rPr>
      </w:pPr>
    </w:p>
    <w:p>
      <w:pPr>
        <w:jc w:val="both"/>
        <w:ind w:firstLine="656"/>
        <w:spacing w:after="0" w:line="244" w:lineRule="auto"/>
        <w:tabs>
          <w:tab w:leader="none" w:pos="1296"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REPURCHASE AT THE OPTION OF HOLDER. Upon the occurrence of a Change of Control Triggering Event, the Company will be required to make a Change of Control Offer to each Holder in accordance with Section 4.15 of the Indenture. In connection with certain Asset Sales, the Company shall make an Asset Sale Offer in accordance with </w:t>
      </w:r>
      <w:r>
        <w:rPr>
          <w:rFonts w:ascii="Times New Roman" w:cs="Times New Roman" w:eastAsia="Times New Roman" w:hAnsi="Times New Roman"/>
          <w:sz w:val="19"/>
          <w:szCs w:val="19"/>
          <w:u w:val="single" w:color="auto"/>
          <w:color w:val="auto"/>
        </w:rPr>
        <w:t>Sections 3.09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4.10</w:t>
      </w:r>
      <w:r>
        <w:rPr>
          <w:rFonts w:ascii="Times New Roman" w:cs="Times New Roman" w:eastAsia="Times New Roman" w:hAnsi="Times New Roman"/>
          <w:sz w:val="19"/>
          <w:szCs w:val="19"/>
          <w:color w:val="auto"/>
        </w:rPr>
        <w:t xml:space="preserve"> of the Indenture.</w:t>
      </w:r>
    </w:p>
    <w:p>
      <w:pPr>
        <w:spacing w:after="0" w:line="1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the foregoing, in connection with any tender offer for the Notes, including a Change of Control Offer, Alternate Offer or Asset Sale Offer, if Holders of not less than 90% in aggregate principal amount of the outstanding Notes validly tender and do not withdraw such Notes in such tender offer, and if the Company, or any third party making such tender offer in lieu of the Company, purchases all of the Notes validly tendered and not withdrawn by such holders, then the Company or such third party will have the right upon not less than 10 nor more than 60 days’ prior notice, to redeem all Notes that remain outstanding following such purchase at a redemption price equal to the price offered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8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6"/>
              </w:rPr>
              <w:t>A-3</w:t>
            </w:r>
          </w:p>
        </w:tc>
      </w:tr>
    </w:tbl>
    <w:p>
      <w:pPr>
        <w:sectPr>
          <w:pgSz w:w="11900" w:h="16838" w:orient="portrait"/>
          <w:cols w:equalWidth="0" w:num="1">
            <w:col w:w="11240"/>
          </w:cols>
          <w:pgMar w:left="320" w:top="1399" w:right="339" w:bottom="1440" w:gutter="0" w:footer="0" w:header="0"/>
        </w:sectPr>
      </w:pPr>
    </w:p>
    <w:bookmarkStart w:id="127" w:name="page128"/>
    <w:bookmarkEnd w:id="127"/>
    <w:p>
      <w:pPr>
        <w:spacing w:after="0" w:line="13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Holder (excluding any early tender or incentive fee) in such tender offer plus, to the extent not included in the tender offer payment, accrued and unpaid interest, if any, thereon, to, but excluding, the date of such redemption.</w:t>
      </w:r>
    </w:p>
    <w:p>
      <w:pPr>
        <w:spacing w:after="0" w:line="92" w:lineRule="exact"/>
        <w:rPr>
          <w:sz w:val="20"/>
          <w:szCs w:val="20"/>
          <w:color w:val="auto"/>
        </w:rPr>
      </w:pPr>
    </w:p>
    <w:p>
      <w:pPr>
        <w:jc w:val="both"/>
        <w:ind w:firstLine="656"/>
        <w:spacing w:after="0" w:line="253" w:lineRule="auto"/>
        <w:tabs>
          <w:tab w:leader="none" w:pos="129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DENOMINATIONS, TRANSFER, EXCHANGE. The Notes are in registered form in minimum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next succeeding Interest Payment Date.</w:t>
      </w:r>
    </w:p>
    <w:p>
      <w:pPr>
        <w:spacing w:after="0" w:line="111" w:lineRule="exact"/>
        <w:rPr>
          <w:rFonts w:ascii="Times New Roman" w:cs="Times New Roman" w:eastAsia="Times New Roman" w:hAnsi="Times New Roman"/>
          <w:sz w:val="20"/>
          <w:szCs w:val="20"/>
          <w:color w:val="auto"/>
        </w:rPr>
      </w:pPr>
    </w:p>
    <w:p>
      <w:pPr>
        <w:ind w:firstLine="656"/>
        <w:spacing w:after="0"/>
        <w:tabs>
          <w:tab w:leader="none" w:pos="129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PERSONS DEEMED OWNERS. The registered Holder of a Note may be treated as the owner of it for all purposes. Only registered Holders have rights under the Indenture.</w:t>
      </w:r>
    </w:p>
    <w:p>
      <w:pPr>
        <w:spacing w:after="0" w:line="107" w:lineRule="exact"/>
        <w:rPr>
          <w:rFonts w:ascii="Times New Roman" w:cs="Times New Roman" w:eastAsia="Times New Roman" w:hAnsi="Times New Roman"/>
          <w:sz w:val="20"/>
          <w:szCs w:val="20"/>
          <w:color w:val="auto"/>
        </w:rPr>
      </w:pPr>
    </w:p>
    <w:p>
      <w:pPr>
        <w:ind w:firstLine="656"/>
        <w:spacing w:after="0" w:line="233" w:lineRule="auto"/>
        <w:tabs>
          <w:tab w:leader="none" w:pos="1287"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 SUPPLEMENT AND WAIVER. The Indenture, the Notes and the Note Guarantees may be amended or supplemented as provided in the Indenture.</w:t>
      </w:r>
    </w:p>
    <w:p>
      <w:pPr>
        <w:spacing w:after="0" w:line="106" w:lineRule="exact"/>
        <w:rPr>
          <w:rFonts w:ascii="Times New Roman" w:cs="Times New Roman" w:eastAsia="Times New Roman" w:hAnsi="Times New Roman"/>
          <w:sz w:val="20"/>
          <w:szCs w:val="20"/>
          <w:color w:val="auto"/>
        </w:rPr>
      </w:pPr>
    </w:p>
    <w:p>
      <w:pPr>
        <w:jc w:val="both"/>
        <w:ind w:firstLine="656"/>
        <w:spacing w:after="0" w:line="220" w:lineRule="auto"/>
        <w:tabs>
          <w:tab w:leader="none" w:pos="1279"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DEFAULTS AND REMEDIES. In case an Event of Default (as defined in the Indenture) arising from certain events of bankruptcy or insolvency occurs with respect to the Company,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Holders may not enforce the Indenture or the Notes except as provided in the Indenture.</w:t>
      </w:r>
    </w:p>
    <w:p>
      <w:pPr>
        <w:spacing w:after="0" w:line="93" w:lineRule="exact"/>
        <w:rPr>
          <w:rFonts w:ascii="Times New Roman" w:cs="Times New Roman" w:eastAsia="Times New Roman" w:hAnsi="Times New Roman"/>
          <w:sz w:val="20"/>
          <w:szCs w:val="20"/>
          <w:color w:val="auto"/>
        </w:rPr>
      </w:pPr>
    </w:p>
    <w:p>
      <w:pPr>
        <w:ind w:firstLine="656"/>
        <w:spacing w:after="0"/>
        <w:tabs>
          <w:tab w:leader="none" w:pos="1287"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The Company’s obligations under the Notes are fully and unconditionally guaranteed, jointly and severally, by the Guarantors from time to time party to the Indenture.</w:t>
      </w:r>
    </w:p>
    <w:p>
      <w:pPr>
        <w:spacing w:after="0" w:line="107"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7"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TRUSTEE DEALINGS WITH COMPANY. The Trustee, in its individual or any other capacity, may make loans to, accept deposits from, and perform services for the Company or its Affiliates, and may otherwise deal with the Company or its Affiliates, as if it were not the Trustee.</w:t>
      </w:r>
    </w:p>
    <w:p>
      <w:pPr>
        <w:spacing w:after="0" w:line="106"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7"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RECOURSE AGAINST OTHERS. No director, officer, employee, incorporator, stockholder, partner, member or manager (or any equivalent thereof) of the Company or any Guarantor, as such, will have any liability for any obligations of the Company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07" w:lineRule="exact"/>
        <w:rPr>
          <w:rFonts w:ascii="Times New Roman" w:cs="Times New Roman" w:eastAsia="Times New Roman" w:hAnsi="Times New Roman"/>
          <w:sz w:val="20"/>
          <w:szCs w:val="20"/>
          <w:color w:val="auto"/>
        </w:rPr>
      </w:pPr>
    </w:p>
    <w:p>
      <w:pPr>
        <w:ind w:firstLine="656"/>
        <w:spacing w:after="0" w:line="233" w:lineRule="auto"/>
        <w:tabs>
          <w:tab w:leader="none" w:pos="1287"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AUTHENTICATION. This Note will not be valid until authenticated by the manual signature of the Trustee or an authenticating agent.</w:t>
      </w:r>
    </w:p>
    <w:p>
      <w:pPr>
        <w:spacing w:after="0" w:line="106"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7"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06"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7"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CUSIP NUMBERS.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8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6"/>
              </w:rPr>
              <w:t>A-4</w:t>
            </w:r>
          </w:p>
        </w:tc>
      </w:tr>
    </w:tbl>
    <w:p>
      <w:pPr>
        <w:sectPr>
          <w:pgSz w:w="11900" w:h="16838" w:orient="portrait"/>
          <w:cols w:equalWidth="0" w:num="1">
            <w:col w:w="11240"/>
          </w:cols>
          <w:pgMar w:left="320" w:top="1440" w:right="339" w:bottom="1440" w:gutter="0" w:footer="0" w:header="0"/>
        </w:sectPr>
      </w:pPr>
    </w:p>
    <w:bookmarkStart w:id="128" w:name="page129"/>
    <w:bookmarkEnd w:id="128"/>
    <w:p>
      <w:pPr>
        <w:jc w:val="both"/>
        <w:ind w:firstLine="656"/>
        <w:spacing w:after="0" w:line="222" w:lineRule="auto"/>
        <w:tabs>
          <w:tab w:leader="none" w:pos="1287"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GOVERNING LAW. THE INTERNAL LAW OF THE STATE OF NEW YORK WILL GOVERN AND BE USED TO CONSTRUE THE INDENTURE, THIS NOTE AND THE NOTE GUARANTEES WITHOUT GIVING EFFECT TO APPLICABLE PRINCIPLES OF CONFLICTS OF LAW TO THE EXTENT THAT THE APPLICATION OF THE LAWS OF ANOTHER JURISDICTION WOULD BE REQUIRED THEREBY.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will furnish to any Holder upon written request and without charge a copy of the Indenture. Requests may be made to:</w:t>
      </w:r>
    </w:p>
    <w:p>
      <w:pPr>
        <w:spacing w:after="0" w:line="17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EZCORP, Inc.</w:t>
      </w:r>
    </w:p>
    <w:p>
      <w:pPr>
        <w:spacing w:after="0" w:line="2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2500 Bee Cave Road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Building 1, Suite 200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Austin, Texas 78746</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Attention: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8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6"/>
              </w:rPr>
              <w:t>A-5</w:t>
            </w:r>
          </w:p>
        </w:tc>
      </w:tr>
    </w:tbl>
    <w:p>
      <w:pPr>
        <w:sectPr>
          <w:pgSz w:w="11900" w:h="16838" w:orient="portrait"/>
          <w:cols w:equalWidth="0" w:num="1">
            <w:col w:w="11240"/>
          </w:cols>
          <w:pgMar w:left="320" w:top="1399"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0"/>
          <w:szCs w:val="20"/>
          <w:color w:val="auto"/>
        </w:rPr>
        <w:t>ASSIGNMENT FORM</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To assign this Note, fill in the form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or (we) assign and transfer this Note to: ________________________________________________</w:t>
      </w:r>
    </w:p>
    <w:p>
      <w:pPr>
        <w:spacing w:after="0" w:line="1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(Insert assignee’s legal name)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w:t>
      </w:r>
    </w:p>
    <w:p>
      <w:pPr>
        <w:spacing w:after="0" w:line="28" w:lineRule="exact"/>
        <w:rPr>
          <w:sz w:val="20"/>
          <w:szCs w:val="20"/>
          <w:color w:val="auto"/>
        </w:rPr>
      </w:pPr>
    </w:p>
    <w:p>
      <w:pPr>
        <w:jc w:val="center"/>
        <w:ind w:right="2740"/>
        <w:spacing w:after="0"/>
        <w:rPr>
          <w:sz w:val="20"/>
          <w:szCs w:val="20"/>
          <w:color w:val="auto"/>
        </w:rPr>
      </w:pPr>
      <w:r>
        <w:rPr>
          <w:rFonts w:ascii="Times New Roman" w:cs="Times New Roman" w:eastAsia="Times New Roman" w:hAnsi="Times New Roman"/>
          <w:sz w:val="20"/>
          <w:szCs w:val="20"/>
          <w:color w:val="auto"/>
        </w:rPr>
        <w:t>(Insert assignee’s soc. sec. or tax I.D. no.)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(Print or type assignee’s name, address and zip code)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irrevocably appoint _________________________________________________________________ to transfer this Note on the books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Company. The agent may substitute another to act for him.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____________________</w:t>
      </w:r>
    </w:p>
    <w:p>
      <w:pPr>
        <w:spacing w:after="0" w:line="16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Your Signature: _________________________</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(Sign exactly as your name appears on the face of this Note)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Guarantee*: ______________________</w:t>
      </w:r>
    </w:p>
    <w:p>
      <w:pPr>
        <w:spacing w:after="0" w:line="16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8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6"/>
              </w:rPr>
              <w:t>A-6</w:t>
            </w:r>
          </w:p>
        </w:tc>
      </w:tr>
    </w:tbl>
    <w:p>
      <w:pPr>
        <w:sectPr>
          <w:pgSz w:w="11900" w:h="16838" w:orient="portrait"/>
          <w:cols w:equalWidth="0" w:num="1">
            <w:col w:w="11240"/>
          </w:cols>
          <w:pgMar w:left="320" w:top="141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color w:val="auto"/>
        </w:rPr>
        <w:t>Option of Holder to Elect Purchase</w:t>
      </w:r>
    </w:p>
    <w:p>
      <w:pPr>
        <w:spacing w:after="0" w:line="17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If you want to elect to have this Note purchased by the Company pursuant to Section 4.10 or 4.15 of the Indenture, check the appropriate box below:</w:t>
      </w:r>
    </w:p>
    <w:p>
      <w:pPr>
        <w:spacing w:after="0" w:line="119" w:lineRule="exact"/>
        <w:rPr>
          <w:sz w:val="20"/>
          <w:szCs w:val="20"/>
          <w:color w:val="auto"/>
        </w:rPr>
      </w:pPr>
    </w:p>
    <w:p>
      <w:pPr>
        <w:ind w:left="1300"/>
        <w:spacing w:after="0" w:line="230" w:lineRule="exact"/>
        <w:tabs>
          <w:tab w:leader="none" w:pos="266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4.10</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9"/>
          <w:szCs w:val="19"/>
          <w:u w:val="single" w:color="auto"/>
          <w:color w:val="auto"/>
        </w:rPr>
        <w:t>Section 4.15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you want to elect to have only part of the Note purchased by the Company pursuant to Section 4.10 or Section 4.15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Indenture, state the amount you elect to have purchased:</w:t>
      </w:r>
    </w:p>
    <w:p>
      <w:pPr>
        <w:spacing w:after="0" w:line="160" w:lineRule="exact"/>
        <w:rPr>
          <w:sz w:val="20"/>
          <w:szCs w:val="20"/>
          <w:color w:val="auto"/>
        </w:rPr>
      </w:pPr>
    </w:p>
    <w:p>
      <w:pPr>
        <w:ind w:left="2600"/>
        <w:spacing w:after="0"/>
        <w:tabs>
          <w:tab w:leader="none" w:pos="28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_________________</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_________________</w:t>
      </w:r>
    </w:p>
    <w:p>
      <w:pPr>
        <w:spacing w:after="0" w:line="17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Your Signature: __________________________________</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(Sign exactly as your name appears on the face of this Note)</w:t>
      </w:r>
    </w:p>
    <w:p>
      <w:pPr>
        <w:spacing w:after="0" w:line="15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Tax Identification No.: _____________________________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Guarantee*: __________________________________</w:t>
      </w:r>
    </w:p>
    <w:p>
      <w:pPr>
        <w:spacing w:after="0" w:line="16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8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6"/>
              </w:rPr>
              <w:t>A-7</w:t>
            </w:r>
          </w:p>
        </w:tc>
      </w:tr>
    </w:tbl>
    <w:p>
      <w:pPr>
        <w:sectPr>
          <w:pgSz w:w="11900" w:h="16838" w:orient="portrait"/>
          <w:cols w:equalWidth="0" w:num="1">
            <w:col w:w="11240"/>
          </w:cols>
          <w:pgMar w:left="320" w:top="1413"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color w:val="auto"/>
        </w:rPr>
        <w:t>Schedule of Exchanges of Interests in the Global Note</w:t>
      </w:r>
      <w:r>
        <w:rPr>
          <w:rFonts w:ascii="Times New Roman" w:cs="Times New Roman" w:eastAsia="Times New Roman" w:hAnsi="Times New Roman"/>
          <w:sz w:val="25"/>
          <w:szCs w:val="25"/>
          <w:color w:val="auto"/>
          <w:vertAlign w:val="superscript"/>
        </w:rPr>
        <w:t>1</w:t>
      </w:r>
    </w:p>
    <w:p>
      <w:pPr>
        <w:spacing w:after="0" w:line="118"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Amount of</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Amount of</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Principal Amount</w:t>
            </w:r>
          </w:p>
        </w:tc>
        <w:tc>
          <w:tcPr>
            <w:tcW w:w="2260" w:type="dxa"/>
            <w:vAlign w:val="bottom"/>
          </w:tcPr>
          <w:p>
            <w:pPr>
              <w:spacing w:after="0"/>
              <w:rPr>
                <w:sz w:val="19"/>
                <w:szCs w:val="19"/>
                <w:color w:val="auto"/>
              </w:rPr>
            </w:pPr>
          </w:p>
        </w:tc>
      </w:tr>
      <w:tr>
        <w:trPr>
          <w:trHeight w:val="243"/>
        </w:trPr>
        <w:tc>
          <w:tcPr>
            <w:tcW w:w="224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decrease in</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increase in</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of this Global</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Signature of</w:t>
            </w:r>
          </w:p>
        </w:tc>
      </w:tr>
      <w:tr>
        <w:trPr>
          <w:trHeight w:val="243"/>
        </w:trPr>
        <w:tc>
          <w:tcPr>
            <w:tcW w:w="224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Amount</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Amount</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Note following</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authorized officer</w:t>
            </w:r>
          </w:p>
        </w:tc>
      </w:tr>
      <w:tr>
        <w:trPr>
          <w:trHeight w:val="229"/>
        </w:trPr>
        <w:tc>
          <w:tcPr>
            <w:tcW w:w="22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of this Global</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of this Global</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such decrease (or</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of Trustee or</w:t>
            </w:r>
          </w:p>
        </w:tc>
      </w:tr>
      <w:tr>
        <w:trPr>
          <w:trHeight w:val="272"/>
        </w:trPr>
        <w:tc>
          <w:tcPr>
            <w:tcW w:w="22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Date of Exchange</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Note</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Note</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increase)</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Custodian</w:t>
            </w:r>
          </w:p>
        </w:tc>
      </w:tr>
      <w:tr>
        <w:trPr>
          <w:trHeight w:val="21"/>
        </w:trPr>
        <w:tc>
          <w:tcPr>
            <w:tcW w:w="2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50"/>
        </w:trPr>
        <w:tc>
          <w:tcPr>
            <w:tcW w:w="2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645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20" w:hanging="212"/>
        <w:spacing w:after="0"/>
        <w:tabs>
          <w:tab w:leader="none" w:pos="220" w:val="left"/>
        </w:tabs>
        <w:numPr>
          <w:ilvl w:val="0"/>
          <w:numId w:val="17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i w:val="1"/>
          <w:iCs w:val="1"/>
          <w:color w:val="auto"/>
        </w:rPr>
        <w:t>This schedule should be included only if the Note is issued in global form.</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8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6"/>
              </w:rPr>
              <w:t>A-8</w:t>
            </w:r>
          </w:p>
        </w:tc>
      </w:tr>
    </w:tbl>
    <w:p>
      <w:pPr>
        <w:sectPr>
          <w:pgSz w:w="11900" w:h="16838" w:orient="portrait"/>
          <w:cols w:equalWidth="0" w:num="1">
            <w:col w:w="11240"/>
          </w:cols>
          <w:pgMar w:left="320" w:top="1413" w:right="339" w:bottom="1440" w:gutter="0" w:footer="0" w:header="0"/>
        </w:sectPr>
      </w:pPr>
    </w:p>
    <w:bookmarkStart w:id="132" w:name="page133"/>
    <w:bookmarkEnd w:id="132"/>
    <w:p>
      <w:pPr>
        <w:ind w:left="10480"/>
        <w:spacing w:after="0"/>
        <w:rPr>
          <w:sz w:val="20"/>
          <w:szCs w:val="20"/>
          <w:color w:val="auto"/>
        </w:rPr>
      </w:pPr>
      <w:r>
        <w:rPr>
          <w:rFonts w:ascii="Times New Roman" w:cs="Times New Roman" w:eastAsia="Times New Roman" w:hAnsi="Times New Roman"/>
          <w:sz w:val="19"/>
          <w:szCs w:val="19"/>
          <w:color w:val="auto"/>
        </w:rPr>
        <w:t>Exhibit B</w:t>
      </w:r>
    </w:p>
    <w:p>
      <w:pPr>
        <w:ind w:left="11080"/>
        <w:spacing w:after="0" w:line="203" w:lineRule="auto"/>
        <w:rPr>
          <w:sz w:val="20"/>
          <w:szCs w:val="20"/>
          <w:color w:val="auto"/>
        </w:rPr>
      </w:pPr>
      <w:r>
        <w:rPr>
          <w:rFonts w:ascii="Times New Roman" w:cs="Times New Roman" w:eastAsia="Times New Roman" w:hAnsi="Times New Roman"/>
          <w:sz w:val="20"/>
          <w:szCs w:val="20"/>
          <w:u w:val="single" w:color="auto"/>
          <w:color w:val="auto"/>
        </w:rPr>
        <w:t>to</w:t>
      </w:r>
    </w:p>
    <w:p>
      <w:pPr>
        <w:ind w:left="10480"/>
        <w:spacing w:after="0" w:line="237" w:lineRule="auto"/>
        <w:rPr>
          <w:sz w:val="20"/>
          <w:szCs w:val="20"/>
          <w:color w:val="auto"/>
        </w:rPr>
      </w:pPr>
      <w:r>
        <w:rPr>
          <w:rFonts w:ascii="Times New Roman" w:cs="Times New Roman" w:eastAsia="Times New Roman" w:hAnsi="Times New Roman"/>
          <w:sz w:val="19"/>
          <w:szCs w:val="19"/>
          <w:u w:val="single" w:color="auto"/>
          <w:color w:val="auto"/>
        </w:rPr>
        <w:t>Indenture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CERTIFICATE OF TRANSFER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EZCORP,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2500 Bee Cave Road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Building 1, Suite 200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Austin, Texas 78746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Truist Bank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2713 Forest Hills Rd, Building #2, 2nd Fl.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Wilson, North Carolina 27893</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7.375% Senior Notes due 2032</w:t>
      </w:r>
    </w:p>
    <w:p>
      <w:pPr>
        <w:spacing w:after="0" w:line="16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Reference is hereby made to the Indenture, dated as of March 28, 2025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among EZCORP, Inc., as issuer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Guarantors party thereto and Truist Bank, as trustee. Capitalized terms used but not defined herein shall have the meanings given to them in the Indenture.</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___________________, (the “</w:t>
      </w:r>
      <w:r>
        <w:rPr>
          <w:rFonts w:ascii="Times New Roman" w:cs="Times New Roman" w:eastAsia="Times New Roman" w:hAnsi="Times New Roman"/>
          <w:sz w:val="19"/>
          <w:szCs w:val="19"/>
          <w:u w:val="single" w:color="auto"/>
          <w:color w:val="auto"/>
        </w:rPr>
        <w:t>Transferor</w:t>
      </w:r>
      <w:r>
        <w:rPr>
          <w:rFonts w:ascii="Times New Roman" w:cs="Times New Roman" w:eastAsia="Times New Roman" w:hAnsi="Times New Roman"/>
          <w:sz w:val="19"/>
          <w:szCs w:val="19"/>
          <w:color w:val="auto"/>
        </w:rPr>
        <w:t>”) owns and proposes to transfer the Note[s] or interest in such Note[s] specified in Annex A</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hereto, in the principal amount of $in such Note[s] or interests (the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to___________________ (the “</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as further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specified in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 In connection with the Transfer, the Transferor hereby certifies that: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[CHECK ALL THAT APPLY]</w:t>
      </w:r>
    </w:p>
    <w:p>
      <w:pPr>
        <w:spacing w:after="0" w:line="144" w:lineRule="exact"/>
        <w:rPr>
          <w:sz w:val="20"/>
          <w:szCs w:val="20"/>
          <w:color w:val="auto"/>
        </w:rPr>
      </w:pPr>
    </w:p>
    <w:p>
      <w:pPr>
        <w:jc w:val="both"/>
        <w:ind w:firstLine="656"/>
        <w:spacing w:after="0" w:line="205" w:lineRule="exact"/>
        <w:tabs>
          <w:tab w:leader="none" w:pos="1296" w:val="left"/>
        </w:tabs>
        <w:numPr>
          <w:ilvl w:val="0"/>
          <w:numId w:val="175"/>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Check if Transferee will take delivery of a beneficial interest in the 144A Global Note or a Restricted Definitive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Note pursuant to Rule 144A</w:t>
      </w:r>
      <w:r>
        <w:rPr>
          <w:rFonts w:ascii="Times New Roman" w:cs="Times New Roman" w:eastAsia="Times New Roman" w:hAnsi="Times New Roman"/>
          <w:sz w:val="20"/>
          <w:szCs w:val="20"/>
          <w:color w:val="auto"/>
        </w:rPr>
        <w:t>. The Transfer is being effected pursuant to and in accordance with Rule 144A under the Securities Act of 1933,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05" w:lineRule="exact"/>
        <w:rPr>
          <w:rFonts w:ascii="Times New Roman" w:cs="Times New Roman" w:eastAsia="Times New Roman" w:hAnsi="Times New Roman"/>
          <w:sz w:val="20"/>
          <w:szCs w:val="20"/>
          <w:color w:val="auto"/>
        </w:rPr>
      </w:pPr>
    </w:p>
    <w:p>
      <w:pPr>
        <w:jc w:val="both"/>
        <w:ind w:firstLine="656"/>
        <w:spacing w:after="0" w:line="203" w:lineRule="exact"/>
        <w:tabs>
          <w:tab w:leader="none" w:pos="1296" w:val="left"/>
        </w:tabs>
        <w:numPr>
          <w:ilvl w:val="0"/>
          <w:numId w:val="175"/>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Check if Transferee will take delivery of a beneficial interest in the Regulation S Global Note or a Restricted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Definitive Note pursuant to Regulation S</w:t>
      </w:r>
      <w:r>
        <w:rPr>
          <w:rFonts w:ascii="Times New Roman" w:cs="Times New Roman" w:eastAsia="Times New Roman" w:hAnsi="Times New Roman"/>
          <w:sz w:val="20"/>
          <w:szCs w:val="20"/>
          <w:color w:val="auto"/>
        </w:rPr>
        <w:t>. The Transfer is being effected pursuant to and in accordance with Rule 903 or Rule 904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6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3"/>
              </w:rPr>
              <w:t>B-1</w:t>
            </w:r>
          </w:p>
        </w:tc>
      </w:tr>
    </w:tbl>
    <w:p>
      <w:pPr>
        <w:sectPr>
          <w:pgSz w:w="11900" w:h="16838" w:orient="portrait"/>
          <w:cols w:equalWidth="0" w:num="1">
            <w:col w:w="11240"/>
          </w:cols>
          <w:pgMar w:left="320" w:top="139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color w:val="auto"/>
        </w:rPr>
        <w:t>restrictions on Transfer enumerated in the Private Placement Legend printed on the Regulation S Global Note and/or the Restricted Definitive Note and in the Indenture and the Securities Act.</w:t>
      </w:r>
    </w:p>
    <w:p>
      <w:pPr>
        <w:spacing w:after="0" w:line="90" w:lineRule="exact"/>
        <w:rPr>
          <w:sz w:val="20"/>
          <w:szCs w:val="20"/>
          <w:color w:val="auto"/>
        </w:rPr>
      </w:pPr>
    </w:p>
    <w:p>
      <w:pPr>
        <w:jc w:val="both"/>
        <w:ind w:firstLine="656"/>
        <w:spacing w:after="0" w:line="211" w:lineRule="exact"/>
        <w:tabs>
          <w:tab w:leader="none" w:pos="1296" w:val="left"/>
        </w:tabs>
        <w:numPr>
          <w:ilvl w:val="0"/>
          <w:numId w:val="176"/>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Check and complete if Transferee will take delivery of a beneficial interest in the IAI Global Note or a Restricted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Definitive Note pursuant to any provision of the Securities Act other than Rule 144A or Regulation S</w:t>
      </w:r>
      <w:r>
        <w:rPr>
          <w:rFonts w:ascii="Times New Roman" w:cs="Times New Roman" w:eastAsia="Times New Roman" w:hAnsi="Times New Roman"/>
          <w:sz w:val="20"/>
          <w:szCs w:val="20"/>
          <w:color w:val="auto"/>
        </w:rPr>
        <w:t>. The Transfer is being effected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10" w:lineRule="exact"/>
        <w:rPr>
          <w:rFonts w:ascii="Times New Roman" w:cs="Times New Roman" w:eastAsia="Times New Roman" w:hAnsi="Times New Roman"/>
          <w:sz w:val="20"/>
          <w:szCs w:val="20"/>
          <w:color w:val="auto"/>
        </w:rPr>
      </w:pPr>
    </w:p>
    <w:p>
      <w:pPr>
        <w:ind w:left="1940" w:hanging="636"/>
        <w:spacing w:after="0" w:line="230" w:lineRule="exact"/>
        <w:tabs>
          <w:tab w:leader="none" w:pos="1940" w:val="left"/>
        </w:tabs>
        <w:numPr>
          <w:ilvl w:val="1"/>
          <w:numId w:val="176"/>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such Transfer is being effected pursuant to and in accordance with Rule 144 under the Securities Act;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or</w:t>
      </w:r>
    </w:p>
    <w:p>
      <w:pPr>
        <w:spacing w:after="0" w:line="162" w:lineRule="exact"/>
        <w:rPr>
          <w:sz w:val="20"/>
          <w:szCs w:val="20"/>
          <w:color w:val="auto"/>
        </w:rPr>
      </w:pPr>
    </w:p>
    <w:p>
      <w:pPr>
        <w:ind w:left="5540" w:right="3480" w:hanging="4236"/>
        <w:spacing w:after="0" w:line="319" w:lineRule="exact"/>
        <w:tabs>
          <w:tab w:leader="none" w:pos="1938" w:val="left"/>
        </w:tabs>
        <w:numPr>
          <w:ilvl w:val="0"/>
          <w:numId w:val="177"/>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such Transfer is being effected to the Company or a subsidiary thereof; or</w:t>
      </w:r>
    </w:p>
    <w:p>
      <w:pPr>
        <w:spacing w:after="0" w:line="119" w:lineRule="exact"/>
        <w:rPr>
          <w:rFonts w:ascii="Times New Roman" w:cs="Times New Roman" w:eastAsia="Times New Roman" w:hAnsi="Times New Roman"/>
          <w:sz w:val="20"/>
          <w:szCs w:val="20"/>
          <w:color w:val="auto"/>
        </w:rPr>
      </w:pPr>
    </w:p>
    <w:p>
      <w:pPr>
        <w:ind w:left="660" w:right="20" w:firstLine="644"/>
        <w:spacing w:after="0" w:line="230" w:lineRule="exact"/>
        <w:tabs>
          <w:tab w:leader="none" w:pos="1946" w:val="left"/>
        </w:tabs>
        <w:numPr>
          <w:ilvl w:val="0"/>
          <w:numId w:val="177"/>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such Transfer is being effected pursuant to an effective registration statement under the Securities Act and in compliance with the prospectus delivery requirements of the Securities Act;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or</w:t>
      </w:r>
    </w:p>
    <w:p>
      <w:pPr>
        <w:spacing w:after="0" w:line="162" w:lineRule="exact"/>
        <w:rPr>
          <w:sz w:val="20"/>
          <w:szCs w:val="20"/>
          <w:color w:val="auto"/>
        </w:rPr>
      </w:pPr>
    </w:p>
    <w:p>
      <w:pPr>
        <w:jc w:val="both"/>
        <w:ind w:left="660" w:firstLine="644"/>
        <w:spacing w:after="0" w:line="204" w:lineRule="exact"/>
        <w:tabs>
          <w:tab w:leader="none" w:pos="1944" w:val="left"/>
        </w:tabs>
        <w:numPr>
          <w:ilvl w:val="1"/>
          <w:numId w:val="178"/>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11" w:lineRule="exact"/>
        <w:rPr>
          <w:rFonts w:ascii="Times New Roman" w:cs="Times New Roman" w:eastAsia="Times New Roman" w:hAnsi="Times New Roman"/>
          <w:sz w:val="20"/>
          <w:szCs w:val="20"/>
          <w:color w:val="auto"/>
        </w:rPr>
      </w:pPr>
    </w:p>
    <w:p>
      <w:pPr>
        <w:ind w:firstLine="656"/>
        <w:spacing w:after="0" w:line="235" w:lineRule="auto"/>
        <w:tabs>
          <w:tab w:leader="none" w:pos="129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Check if Transferee will take delivery of a beneficial interest in an Unrestricted Global Note or of an Unrestricted Definitive Note</w:t>
      </w:r>
      <w:r>
        <w:rPr>
          <w:rFonts w:ascii="Times New Roman" w:cs="Times New Roman" w:eastAsia="Times New Roman" w:hAnsi="Times New Roman"/>
          <w:sz w:val="20"/>
          <w:szCs w:val="20"/>
          <w:color w:val="auto"/>
        </w:rPr>
        <w:t>.</w:t>
      </w:r>
    </w:p>
    <w:p>
      <w:pPr>
        <w:spacing w:after="0" w:line="103" w:lineRule="exact"/>
        <w:rPr>
          <w:rFonts w:ascii="Times New Roman" w:cs="Times New Roman" w:eastAsia="Times New Roman" w:hAnsi="Times New Roman"/>
          <w:sz w:val="20"/>
          <w:szCs w:val="20"/>
          <w:color w:val="auto"/>
        </w:rPr>
      </w:pPr>
    </w:p>
    <w:p>
      <w:pPr>
        <w:jc w:val="both"/>
        <w:ind w:left="660" w:firstLine="644"/>
        <w:spacing w:after="0" w:line="207" w:lineRule="exact"/>
        <w:tabs>
          <w:tab w:leader="none" w:pos="1946" w:val="left"/>
        </w:tabs>
        <w:numPr>
          <w:ilvl w:val="1"/>
          <w:numId w:val="179"/>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b w:val="1"/>
          <w:bCs w:val="1"/>
          <w:color w:val="auto"/>
        </w:rPr>
        <w:t xml:space="preserve"> Check if Transfer is pursuant to Rule 144</w:t>
      </w:r>
      <w:r>
        <w:rPr>
          <w:rFonts w:ascii="Times New Roman" w:cs="Times New Roman" w:eastAsia="Times New Roman" w:hAnsi="Times New Roman"/>
          <w:sz w:val="20"/>
          <w:szCs w:val="20"/>
          <w:color w:val="auto"/>
        </w:rPr>
        <w:t>. (i) The Transfer is being effected pursuant to and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90" w:lineRule="exact"/>
        <w:rPr>
          <w:rFonts w:ascii="Times New Roman" w:cs="Times New Roman" w:eastAsia="Times New Roman" w:hAnsi="Times New Roman"/>
          <w:sz w:val="20"/>
          <w:szCs w:val="20"/>
          <w:color w:val="auto"/>
        </w:rPr>
      </w:pPr>
    </w:p>
    <w:p>
      <w:pPr>
        <w:jc w:val="both"/>
        <w:ind w:left="660" w:firstLine="644"/>
        <w:spacing w:after="0" w:line="210" w:lineRule="exact"/>
        <w:tabs>
          <w:tab w:leader="none" w:pos="1944" w:val="left"/>
        </w:tabs>
        <w:numPr>
          <w:ilvl w:val="1"/>
          <w:numId w:val="179"/>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b w:val="1"/>
          <w:bCs w:val="1"/>
          <w:color w:val="auto"/>
        </w:rPr>
        <w:t xml:space="preserve"> Check if Transfer is Pursuant to Regulation S</w:t>
      </w:r>
      <w:r>
        <w:rPr>
          <w:rFonts w:ascii="Times New Roman" w:cs="Times New Roman" w:eastAsia="Times New Roman" w:hAnsi="Times New Roman"/>
          <w:sz w:val="20"/>
          <w:szCs w:val="20"/>
          <w:color w:val="auto"/>
        </w:rPr>
        <w:t>. (i) The Transfer is being effected pursuant to and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6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3"/>
              </w:rPr>
              <w:t>B-2</w:t>
            </w:r>
          </w:p>
        </w:tc>
      </w:tr>
    </w:tbl>
    <w:p>
      <w:pPr>
        <w:sectPr>
          <w:pgSz w:w="11900" w:h="16838" w:orient="portrait"/>
          <w:cols w:equalWidth="0" w:num="1">
            <w:col w:w="11240"/>
          </w:cols>
          <w:pgMar w:left="320" w:top="1399" w:right="339" w:bottom="1440" w:gutter="0" w:footer="0" w:header="0"/>
        </w:sectPr>
      </w:pPr>
    </w:p>
    <w:bookmarkStart w:id="134" w:name="page135"/>
    <w:bookmarkEnd w:id="134"/>
    <w:p>
      <w:pPr>
        <w:ind w:left="660"/>
        <w:spacing w:after="0"/>
        <w:rPr>
          <w:sz w:val="20"/>
          <w:szCs w:val="20"/>
          <w:color w:val="auto"/>
        </w:rPr>
      </w:pPr>
      <w:r>
        <w:rPr>
          <w:rFonts w:ascii="Times New Roman" w:cs="Times New Roman" w:eastAsia="Times New Roman" w:hAnsi="Times New Roman"/>
          <w:sz w:val="20"/>
          <w:szCs w:val="20"/>
          <w:color w:val="auto"/>
        </w:rPr>
        <w:t>subject to the restrictions on transfer enumerated in the Private Placement Legend printed on the Restricted Global Notes, on Restricted Definitive Notes and in the Indenture.</w:t>
      </w:r>
    </w:p>
    <w:p>
      <w:pPr>
        <w:spacing w:after="0" w:line="90" w:lineRule="exact"/>
        <w:rPr>
          <w:sz w:val="20"/>
          <w:szCs w:val="20"/>
          <w:color w:val="auto"/>
        </w:rPr>
      </w:pPr>
    </w:p>
    <w:p>
      <w:pPr>
        <w:jc w:val="both"/>
        <w:ind w:left="660" w:firstLine="644"/>
        <w:spacing w:after="0" w:line="207" w:lineRule="exact"/>
        <w:tabs>
          <w:tab w:leader="none" w:pos="1946" w:val="left"/>
        </w:tabs>
        <w:numPr>
          <w:ilvl w:val="0"/>
          <w:numId w:val="180"/>
        </w:numPr>
        <w:rPr>
          <w:rFonts w:ascii="Times New Roman" w:cs="Times New Roman" w:eastAsia="Times New Roman" w:hAnsi="Times New Roman"/>
          <w:sz w:val="19"/>
          <w:szCs w:val="19"/>
          <w:color w:val="auto"/>
        </w:rPr>
      </w:pPr>
      <w:r>
        <w:rPr>
          <w:rFonts w:ascii="MS PGothic" w:cs="MS PGothic" w:eastAsia="MS PGothic" w:hAnsi="MS PGothic"/>
          <w:sz w:val="15"/>
          <w:szCs w:val="15"/>
          <w:color w:val="auto"/>
          <w:highlight w:val="black"/>
        </w:rPr>
        <w:t>☐</w:t>
      </w:r>
      <w:r>
        <w:rPr>
          <w:rFonts w:ascii="Times New Roman" w:cs="Times New Roman" w:eastAsia="Times New Roman" w:hAnsi="Times New Roman"/>
          <w:sz w:val="19"/>
          <w:szCs w:val="19"/>
          <w:b w:val="1"/>
          <w:bCs w:val="1"/>
          <w:color w:val="auto"/>
        </w:rPr>
        <w:t xml:space="preserve"> Check if Transfer is Pursuant to Other Exemption</w:t>
      </w:r>
      <w:r>
        <w:rPr>
          <w:rFonts w:ascii="Times New Roman" w:cs="Times New Roman" w:eastAsia="Times New Roman" w:hAnsi="Times New Roman"/>
          <w:sz w:val="19"/>
          <w:szCs w:val="19"/>
          <w:color w:val="auto"/>
        </w:rPr>
        <w:t>. (i) The Transfer is being effected pursuant to and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certificate and the statements contained herein are made for your benefit and the benefit of the Company.</w:t>
      </w:r>
    </w:p>
    <w:p>
      <w:pPr>
        <w:spacing w:after="0" w:line="17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__________________________________</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[Insert Name of Transferor]</w:t>
      </w:r>
    </w:p>
    <w:p>
      <w:pPr>
        <w:spacing w:after="0" w:line="153"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Title: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6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3"/>
              </w:rPr>
              <w:t>B-3</w:t>
            </w:r>
          </w:p>
        </w:tc>
      </w:tr>
    </w:tbl>
    <w:p>
      <w:pPr>
        <w:sectPr>
          <w:pgSz w:w="11900" w:h="16838" w:orient="portrait"/>
          <w:cols w:equalWidth="0" w:num="1">
            <w:col w:w="11240"/>
          </w:cols>
          <w:pgMar w:left="320" w:top="1399" w:right="339" w:bottom="1440" w:gutter="0" w:footer="0" w:header="0"/>
        </w:sectPr>
      </w:pPr>
    </w:p>
    <w:bookmarkStart w:id="135" w:name="page136"/>
    <w:bookmarkEnd w:id="135"/>
    <w:p>
      <w:pPr>
        <w:spacing w:after="0" w:line="27" w:lineRule="exact"/>
        <w:rPr>
          <w:sz w:val="20"/>
          <w:szCs w:val="20"/>
          <w:color w:val="auto"/>
        </w:rPr>
      </w:pPr>
    </w:p>
    <w:p>
      <w:pPr>
        <w:jc w:val="right"/>
        <w:ind w:right="2399"/>
        <w:spacing w:after="0"/>
        <w:tabs>
          <w:tab w:leader="none" w:pos="2880" w:val="left"/>
        </w:tabs>
        <w:rPr>
          <w:sz w:val="20"/>
          <w:szCs w:val="20"/>
          <w:color w:val="auto"/>
        </w:rPr>
      </w:pPr>
      <w:r>
        <w:rPr>
          <w:rFonts w:ascii="Times New Roman" w:cs="Times New Roman" w:eastAsia="Times New Roman" w:hAnsi="Times New Roman"/>
          <w:sz w:val="20"/>
          <w:szCs w:val="20"/>
          <w:color w:val="auto"/>
        </w:rPr>
        <w:t>ANNEX A</w:t>
      </w:r>
      <w:r>
        <w:rPr>
          <w:sz w:val="20"/>
          <w:szCs w:val="20"/>
          <w:color w:val="auto"/>
        </w:rPr>
        <w:tab/>
      </w:r>
      <w:r>
        <w:rPr>
          <w:rFonts w:ascii="Times New Roman" w:cs="Times New Roman" w:eastAsia="Times New Roman" w:hAnsi="Times New Roman"/>
          <w:sz w:val="19"/>
          <w:szCs w:val="19"/>
          <w:color w:val="auto"/>
        </w:rPr>
        <w:t>TO CERTIFICATE OF TRANSFER</w:t>
      </w:r>
    </w:p>
    <w:p>
      <w:pPr>
        <w:spacing w:after="0" w:line="378" w:lineRule="exact"/>
        <w:rPr>
          <w:sz w:val="20"/>
          <w:szCs w:val="20"/>
          <w:color w:val="auto"/>
        </w:rPr>
      </w:pPr>
    </w:p>
    <w:p>
      <w:pPr>
        <w:ind w:left="652" w:hanging="652"/>
        <w:spacing w:after="0"/>
        <w:tabs>
          <w:tab w:leader="none" w:pos="652"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Transferor owns and proposes to transfer the following:</w:t>
      </w:r>
    </w:p>
    <w:p>
      <w:pPr>
        <w:spacing w:after="0" w:line="135" w:lineRule="exact"/>
        <w:rPr>
          <w:sz w:val="20"/>
          <w:szCs w:val="20"/>
          <w:color w:val="auto"/>
        </w:rPr>
      </w:pPr>
    </w:p>
    <w:p>
      <w:pPr>
        <w:ind w:left="4392"/>
        <w:spacing w:after="0"/>
        <w:rPr>
          <w:sz w:val="20"/>
          <w:szCs w:val="20"/>
          <w:color w:val="auto"/>
        </w:rPr>
      </w:pPr>
      <w:r>
        <w:rPr>
          <w:rFonts w:ascii="Times New Roman" w:cs="Times New Roman" w:eastAsia="Times New Roman" w:hAnsi="Times New Roman"/>
          <w:sz w:val="20"/>
          <w:szCs w:val="20"/>
          <w:color w:val="auto"/>
        </w:rPr>
        <w:t xml:space="preserve">[CHECK ONE OF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1292" w:hanging="644"/>
        <w:spacing w:after="0" w:line="230" w:lineRule="exact"/>
        <w:tabs>
          <w:tab w:leader="none" w:pos="1292" w:val="left"/>
        </w:tabs>
        <w:numPr>
          <w:ilvl w:val="1"/>
          <w:numId w:val="182"/>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a beneficial interest in the:</w:t>
      </w:r>
    </w:p>
    <w:p>
      <w:pPr>
        <w:spacing w:after="0" w:line="121" w:lineRule="exact"/>
        <w:rPr>
          <w:rFonts w:ascii="Times New Roman" w:cs="Times New Roman" w:eastAsia="Times New Roman" w:hAnsi="Times New Roman"/>
          <w:sz w:val="20"/>
          <w:szCs w:val="20"/>
          <w:color w:val="auto"/>
        </w:rPr>
      </w:pPr>
    </w:p>
    <w:p>
      <w:pPr>
        <w:ind w:left="1932" w:hanging="636"/>
        <w:spacing w:after="0" w:line="230" w:lineRule="exact"/>
        <w:tabs>
          <w:tab w:leader="none" w:pos="1932" w:val="left"/>
        </w:tabs>
        <w:numPr>
          <w:ilvl w:val="2"/>
          <w:numId w:val="182"/>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144A Global Note (CUSIP 302301 AJ5), or</w:t>
      </w:r>
    </w:p>
    <w:p>
      <w:pPr>
        <w:spacing w:after="0" w:line="134" w:lineRule="exact"/>
        <w:rPr>
          <w:rFonts w:ascii="Times New Roman" w:cs="Times New Roman" w:eastAsia="Times New Roman" w:hAnsi="Times New Roman"/>
          <w:sz w:val="20"/>
          <w:szCs w:val="20"/>
          <w:color w:val="auto"/>
        </w:rPr>
      </w:pPr>
    </w:p>
    <w:p>
      <w:pPr>
        <w:ind w:left="1952" w:hanging="656"/>
        <w:spacing w:after="0" w:line="230" w:lineRule="exact"/>
        <w:tabs>
          <w:tab w:leader="none" w:pos="1952" w:val="left"/>
        </w:tabs>
        <w:numPr>
          <w:ilvl w:val="2"/>
          <w:numId w:val="182"/>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Regulation S Global Note (CUSIP U3027P AA2), or</w:t>
      </w:r>
    </w:p>
    <w:p>
      <w:pPr>
        <w:spacing w:after="0" w:line="134" w:lineRule="exact"/>
        <w:rPr>
          <w:rFonts w:ascii="Times New Roman" w:cs="Times New Roman" w:eastAsia="Times New Roman" w:hAnsi="Times New Roman"/>
          <w:sz w:val="20"/>
          <w:szCs w:val="20"/>
          <w:color w:val="auto"/>
        </w:rPr>
      </w:pPr>
    </w:p>
    <w:p>
      <w:pPr>
        <w:ind w:left="1952" w:hanging="656"/>
        <w:spacing w:after="0" w:line="230" w:lineRule="exact"/>
        <w:tabs>
          <w:tab w:leader="none" w:pos="1952" w:val="left"/>
        </w:tabs>
        <w:numPr>
          <w:ilvl w:val="2"/>
          <w:numId w:val="182"/>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IAI Global Note (CUSIP 302301 AK2); or</w:t>
      </w:r>
    </w:p>
    <w:p>
      <w:pPr>
        <w:spacing w:after="0" w:line="121" w:lineRule="exact"/>
        <w:rPr>
          <w:rFonts w:ascii="Times New Roman" w:cs="Times New Roman" w:eastAsia="Times New Roman" w:hAnsi="Times New Roman"/>
          <w:sz w:val="20"/>
          <w:szCs w:val="20"/>
          <w:color w:val="auto"/>
        </w:rPr>
      </w:pPr>
    </w:p>
    <w:p>
      <w:pPr>
        <w:ind w:left="1292" w:hanging="644"/>
        <w:spacing w:after="0" w:line="230" w:lineRule="exact"/>
        <w:tabs>
          <w:tab w:leader="none" w:pos="1292" w:val="left"/>
        </w:tabs>
        <w:numPr>
          <w:ilvl w:val="1"/>
          <w:numId w:val="182"/>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a Restricted Definitive Note.</w:t>
      </w:r>
    </w:p>
    <w:p>
      <w:pPr>
        <w:spacing w:after="0" w:line="134"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Transfer the Transferee will hold:</w:t>
      </w:r>
    </w:p>
    <w:p>
      <w:pPr>
        <w:spacing w:after="0" w:line="148" w:lineRule="exact"/>
        <w:rPr>
          <w:sz w:val="20"/>
          <w:szCs w:val="20"/>
          <w:color w:val="auto"/>
        </w:rPr>
      </w:pPr>
    </w:p>
    <w:p>
      <w:pPr>
        <w:ind w:left="4992"/>
        <w:spacing w:after="0"/>
        <w:rPr>
          <w:sz w:val="20"/>
          <w:szCs w:val="20"/>
          <w:color w:val="auto"/>
        </w:rPr>
      </w:pPr>
      <w:r>
        <w:rPr>
          <w:rFonts w:ascii="Times New Roman" w:cs="Times New Roman" w:eastAsia="Times New Roman" w:hAnsi="Times New Roman"/>
          <w:sz w:val="20"/>
          <w:szCs w:val="20"/>
          <w:color w:val="auto"/>
        </w:rPr>
        <w:t>[CHECK ONE]</w:t>
      </w:r>
    </w:p>
    <w:p>
      <w:pPr>
        <w:spacing w:after="0" w:line="148" w:lineRule="exact"/>
        <w:rPr>
          <w:sz w:val="20"/>
          <w:szCs w:val="20"/>
          <w:color w:val="auto"/>
        </w:rPr>
      </w:pPr>
    </w:p>
    <w:p>
      <w:pPr>
        <w:ind w:left="1292" w:hanging="644"/>
        <w:spacing w:after="0" w:line="230" w:lineRule="exact"/>
        <w:tabs>
          <w:tab w:leader="none" w:pos="1292" w:val="left"/>
        </w:tabs>
        <w:numPr>
          <w:ilvl w:val="0"/>
          <w:numId w:val="184"/>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a beneficial interest in the:</w:t>
      </w:r>
    </w:p>
    <w:p>
      <w:pPr>
        <w:spacing w:after="0" w:line="135" w:lineRule="exact"/>
        <w:rPr>
          <w:sz w:val="20"/>
          <w:szCs w:val="20"/>
          <w:color w:val="auto"/>
        </w:rPr>
      </w:pPr>
    </w:p>
    <w:p>
      <w:pPr>
        <w:ind w:left="1292"/>
        <w:spacing w:after="0" w:line="230" w:lineRule="exact"/>
        <w:tabs>
          <w:tab w:leader="none" w:pos="1912" w:val="left"/>
          <w:tab w:leader="none" w:pos="5592"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144A Global Note (CUSIP 302301 AJ5),</w:t>
      </w:r>
      <w:r>
        <w:rPr>
          <w:sz w:val="20"/>
          <w:szCs w:val="20"/>
          <w:color w:val="auto"/>
        </w:rPr>
        <w:tab/>
      </w:r>
      <w:r>
        <w:rPr>
          <w:rFonts w:ascii="Times New Roman" w:cs="Times New Roman" w:eastAsia="Times New Roman" w:hAnsi="Times New Roman"/>
          <w:sz w:val="19"/>
          <w:szCs w:val="19"/>
          <w:color w:val="auto"/>
        </w:rPr>
        <w:t>or</w:t>
      </w:r>
    </w:p>
    <w:p>
      <w:pPr>
        <w:spacing w:after="0" w:line="135" w:lineRule="exact"/>
        <w:rPr>
          <w:sz w:val="20"/>
          <w:szCs w:val="20"/>
          <w:color w:val="auto"/>
        </w:rPr>
      </w:pPr>
    </w:p>
    <w:p>
      <w:pPr>
        <w:ind w:left="1952" w:hanging="656"/>
        <w:spacing w:after="0" w:line="230" w:lineRule="exact"/>
        <w:tabs>
          <w:tab w:leader="none" w:pos="1952" w:val="left"/>
        </w:tabs>
        <w:numPr>
          <w:ilvl w:val="1"/>
          <w:numId w:val="185"/>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Regulation S Global Note (CUSIP U3027P AA2), or</w:t>
      </w:r>
    </w:p>
    <w:p>
      <w:pPr>
        <w:spacing w:after="0" w:line="121" w:lineRule="exact"/>
        <w:rPr>
          <w:rFonts w:ascii="Times New Roman" w:cs="Times New Roman" w:eastAsia="Times New Roman" w:hAnsi="Times New Roman"/>
          <w:sz w:val="20"/>
          <w:szCs w:val="20"/>
          <w:color w:val="auto"/>
        </w:rPr>
      </w:pPr>
    </w:p>
    <w:p>
      <w:pPr>
        <w:ind w:left="1952" w:hanging="656"/>
        <w:spacing w:after="0" w:line="230" w:lineRule="exact"/>
        <w:tabs>
          <w:tab w:leader="none" w:pos="1952" w:val="left"/>
        </w:tabs>
        <w:numPr>
          <w:ilvl w:val="1"/>
          <w:numId w:val="185"/>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IAI Global Note (CUSIP 302301 AK2); or</w:t>
      </w:r>
    </w:p>
    <w:p>
      <w:pPr>
        <w:spacing w:after="0" w:line="134" w:lineRule="exact"/>
        <w:rPr>
          <w:rFonts w:ascii="Times New Roman" w:cs="Times New Roman" w:eastAsia="Times New Roman" w:hAnsi="Times New Roman"/>
          <w:sz w:val="20"/>
          <w:szCs w:val="20"/>
          <w:color w:val="auto"/>
        </w:rPr>
      </w:pPr>
    </w:p>
    <w:p>
      <w:pPr>
        <w:ind w:left="1932" w:hanging="636"/>
        <w:spacing w:after="0" w:line="230" w:lineRule="exact"/>
        <w:tabs>
          <w:tab w:leader="none" w:pos="1932" w:val="left"/>
        </w:tabs>
        <w:numPr>
          <w:ilvl w:val="1"/>
          <w:numId w:val="185"/>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Unrestricted Global Note (CUSIP ___________________); or</w:t>
      </w:r>
    </w:p>
    <w:p>
      <w:pPr>
        <w:spacing w:after="0" w:line="134" w:lineRule="exact"/>
        <w:rPr>
          <w:rFonts w:ascii="Times New Roman" w:cs="Times New Roman" w:eastAsia="Times New Roman" w:hAnsi="Times New Roman"/>
          <w:sz w:val="20"/>
          <w:szCs w:val="20"/>
          <w:color w:val="auto"/>
        </w:rPr>
      </w:pPr>
    </w:p>
    <w:p>
      <w:pPr>
        <w:ind w:left="1292" w:hanging="644"/>
        <w:spacing w:after="0" w:line="230" w:lineRule="exact"/>
        <w:tabs>
          <w:tab w:leader="none" w:pos="1292" w:val="left"/>
        </w:tabs>
        <w:numPr>
          <w:ilvl w:val="0"/>
          <w:numId w:val="186"/>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a Restricted Definitive Note; or</w:t>
      </w:r>
    </w:p>
    <w:p>
      <w:pPr>
        <w:spacing w:after="0" w:line="121" w:lineRule="exact"/>
        <w:rPr>
          <w:rFonts w:ascii="Times New Roman" w:cs="Times New Roman" w:eastAsia="Times New Roman" w:hAnsi="Times New Roman"/>
          <w:sz w:val="20"/>
          <w:szCs w:val="20"/>
          <w:color w:val="auto"/>
        </w:rPr>
      </w:pPr>
    </w:p>
    <w:p>
      <w:pPr>
        <w:ind w:left="1292" w:hanging="644"/>
        <w:spacing w:after="0" w:line="230" w:lineRule="exact"/>
        <w:tabs>
          <w:tab w:leader="none" w:pos="1292" w:val="left"/>
        </w:tabs>
        <w:numPr>
          <w:ilvl w:val="0"/>
          <w:numId w:val="186"/>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an Unrestricted Definitive Note,</w:t>
      </w:r>
    </w:p>
    <w:p>
      <w:pPr>
        <w:spacing w:after="0" w:line="14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72"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6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3"/>
              </w:rPr>
              <w:t>B-4</w:t>
            </w:r>
          </w:p>
        </w:tc>
      </w:tr>
    </w:tbl>
    <w:p>
      <w:pPr>
        <w:sectPr>
          <w:pgSz w:w="11900" w:h="16838" w:orient="portrait"/>
          <w:cols w:equalWidth="0" w:num="1">
            <w:col w:w="10131"/>
          </w:cols>
          <w:pgMar w:left="328" w:top="1440" w:right="1440" w:bottom="1440" w:gutter="0" w:footer="0" w:header="0"/>
        </w:sectPr>
      </w:pPr>
    </w:p>
    <w:bookmarkStart w:id="136" w:name="page137"/>
    <w:bookmarkEnd w:id="136"/>
    <w:p>
      <w:pPr>
        <w:ind w:left="10480"/>
        <w:spacing w:after="0"/>
        <w:rPr>
          <w:sz w:val="20"/>
          <w:szCs w:val="20"/>
          <w:color w:val="auto"/>
        </w:rPr>
      </w:pPr>
      <w:r>
        <w:rPr>
          <w:rFonts w:ascii="Times New Roman" w:cs="Times New Roman" w:eastAsia="Times New Roman" w:hAnsi="Times New Roman"/>
          <w:sz w:val="19"/>
          <w:szCs w:val="19"/>
          <w:color w:val="auto"/>
        </w:rPr>
        <w:t>Exhibit C</w:t>
      </w:r>
    </w:p>
    <w:p>
      <w:pPr>
        <w:ind w:left="11080"/>
        <w:spacing w:after="0" w:line="203" w:lineRule="auto"/>
        <w:rPr>
          <w:sz w:val="20"/>
          <w:szCs w:val="20"/>
          <w:color w:val="auto"/>
        </w:rPr>
      </w:pPr>
      <w:r>
        <w:rPr>
          <w:rFonts w:ascii="Times New Roman" w:cs="Times New Roman" w:eastAsia="Times New Roman" w:hAnsi="Times New Roman"/>
          <w:sz w:val="20"/>
          <w:szCs w:val="20"/>
          <w:u w:val="single" w:color="auto"/>
          <w:color w:val="auto"/>
        </w:rPr>
        <w:t>to</w:t>
      </w:r>
    </w:p>
    <w:p>
      <w:pPr>
        <w:ind w:left="10480"/>
        <w:spacing w:after="0" w:line="237" w:lineRule="auto"/>
        <w:rPr>
          <w:sz w:val="20"/>
          <w:szCs w:val="20"/>
          <w:color w:val="auto"/>
        </w:rPr>
      </w:pPr>
      <w:r>
        <w:rPr>
          <w:rFonts w:ascii="Times New Roman" w:cs="Times New Roman" w:eastAsia="Times New Roman" w:hAnsi="Times New Roman"/>
          <w:sz w:val="19"/>
          <w:szCs w:val="19"/>
          <w:u w:val="single" w:color="auto"/>
          <w:color w:val="auto"/>
        </w:rPr>
        <w:t>Indenture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CERTIFICATE OF EXCHANGE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EZCORP,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2500 Bee Cave Road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Building 1, Suite 200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Austin, Texas 78746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Truist Bank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2713 Forest Hills Rd, Building #2, 2nd Fl.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Wilson, North Carolina 27893</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b w:val="1"/>
          <w:bCs w:val="1"/>
          <w:color w:val="auto"/>
        </w:rPr>
        <w:t>7.375% Senior Notes due 2032</w:t>
      </w:r>
    </w:p>
    <w:p>
      <w:pPr>
        <w:spacing w:after="0" w:line="16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(CUSIP ____________)</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Reference is hereby made to the Indenture, dated as of March 28, 2025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among EZCORP, Inc., as issuer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Guarantors party thereto and Truist Bank, as trustee. Capitalized terms used but not defined herein shall have the meanings given to them in the Indenture.</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___________________________, (the “</w:t>
      </w:r>
      <w:r>
        <w:rPr>
          <w:rFonts w:ascii="Times New Roman" w:cs="Times New Roman" w:eastAsia="Times New Roman" w:hAnsi="Times New Roman"/>
          <w:sz w:val="20"/>
          <w:szCs w:val="20"/>
          <w:u w:val="single" w:color="auto"/>
          <w:color w:val="auto"/>
        </w:rPr>
        <w:t>Owner</w:t>
      </w:r>
      <w:r>
        <w:rPr>
          <w:rFonts w:ascii="Times New Roman" w:cs="Times New Roman" w:eastAsia="Times New Roman" w:hAnsi="Times New Roman"/>
          <w:sz w:val="20"/>
          <w:szCs w:val="20"/>
          <w:color w:val="auto"/>
        </w:rPr>
        <w:t>”) owns and proposes to exchange the Note[s] or interest in such Note[s] specified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herein, in the principal amount of $_______________ in such Note[s] or interests (the “</w:t>
      </w:r>
      <w:r>
        <w:rPr>
          <w:rFonts w:ascii="Times New Roman" w:cs="Times New Roman" w:eastAsia="Times New Roman" w:hAnsi="Times New Roman"/>
          <w:sz w:val="20"/>
          <w:szCs w:val="20"/>
          <w:u w:val="single" w:color="auto"/>
          <w:color w:val="auto"/>
        </w:rPr>
        <w:t>Exchange</w:t>
      </w:r>
      <w:r>
        <w:rPr>
          <w:rFonts w:ascii="Times New Roman" w:cs="Times New Roman" w:eastAsia="Times New Roman" w:hAnsi="Times New Roman"/>
          <w:sz w:val="20"/>
          <w:szCs w:val="20"/>
          <w:color w:val="auto"/>
        </w:rPr>
        <w:t>”). In connection with the Exchange,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 hereby certifies that:</w:t>
      </w:r>
    </w:p>
    <w:p>
      <w:pPr>
        <w:spacing w:after="0" w:line="129" w:lineRule="exact"/>
        <w:rPr>
          <w:sz w:val="20"/>
          <w:szCs w:val="20"/>
          <w:color w:val="auto"/>
        </w:rPr>
      </w:pPr>
    </w:p>
    <w:p>
      <w:pPr>
        <w:ind w:firstLine="656"/>
        <w:spacing w:after="0" w:line="245" w:lineRule="auto"/>
        <w:tabs>
          <w:tab w:leader="none" w:pos="1296"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97" w:lineRule="exact"/>
        <w:rPr>
          <w:rFonts w:ascii="Times New Roman" w:cs="Times New Roman" w:eastAsia="Times New Roman" w:hAnsi="Times New Roman"/>
          <w:sz w:val="20"/>
          <w:szCs w:val="20"/>
          <w:color w:val="auto"/>
        </w:rPr>
      </w:pPr>
    </w:p>
    <w:p>
      <w:pPr>
        <w:jc w:val="both"/>
        <w:ind w:left="660" w:firstLine="644"/>
        <w:spacing w:after="0" w:line="205" w:lineRule="exact"/>
        <w:tabs>
          <w:tab w:leader="none" w:pos="1946" w:val="left"/>
        </w:tabs>
        <w:numPr>
          <w:ilvl w:val="1"/>
          <w:numId w:val="187"/>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b w:val="1"/>
          <w:bCs w:val="1"/>
          <w:color w:val="auto"/>
        </w:rPr>
        <w:t xml:space="preserve"> Check if Exchange is from beneficial interest in a Restricted Global Note to beneficial interest in an Unrestricted Global Note</w:t>
      </w:r>
      <w:r>
        <w:rPr>
          <w:rFonts w:ascii="Times New Roman" w:cs="Times New Roman" w:eastAsia="Times New Roman" w:hAnsi="Times New Roman"/>
          <w:sz w:val="20"/>
          <w:szCs w:val="20"/>
          <w:color w:val="auto"/>
        </w:rPr>
        <w:t>. In connection with the Exchange of the Owner’s beneficial interest in a Restricted Global Note for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08" w:lineRule="exact"/>
        <w:rPr>
          <w:rFonts w:ascii="Times New Roman" w:cs="Times New Roman" w:eastAsia="Times New Roman" w:hAnsi="Times New Roman"/>
          <w:sz w:val="20"/>
          <w:szCs w:val="20"/>
          <w:color w:val="auto"/>
        </w:rPr>
      </w:pPr>
    </w:p>
    <w:p>
      <w:pPr>
        <w:jc w:val="both"/>
        <w:ind w:left="660" w:firstLine="644"/>
        <w:spacing w:after="0" w:line="207" w:lineRule="exact"/>
        <w:tabs>
          <w:tab w:leader="none" w:pos="1944" w:val="left"/>
        </w:tabs>
        <w:numPr>
          <w:ilvl w:val="1"/>
          <w:numId w:val="187"/>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b w:val="1"/>
          <w:bCs w:val="1"/>
          <w:color w:val="auto"/>
        </w:rPr>
        <w:t xml:space="preserve"> Check if Exchange is from beneficial interest in a Restricted Global Note to Unrestricted Definitive Note</w:t>
      </w:r>
      <w:r>
        <w:rPr>
          <w:rFonts w:ascii="Times New Roman" w:cs="Times New Roman" w:eastAsia="Times New Roman" w:hAnsi="Times New Roman"/>
          <w:sz w:val="20"/>
          <w:szCs w:val="20"/>
          <w:color w:val="auto"/>
        </w:rPr>
        <w: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03" w:lineRule="exact"/>
        <w:rPr>
          <w:rFonts w:ascii="Times New Roman" w:cs="Times New Roman" w:eastAsia="Times New Roman" w:hAnsi="Times New Roman"/>
          <w:sz w:val="20"/>
          <w:szCs w:val="20"/>
          <w:color w:val="auto"/>
        </w:rPr>
      </w:pPr>
    </w:p>
    <w:p>
      <w:pPr>
        <w:jc w:val="both"/>
        <w:ind w:left="660" w:firstLine="644"/>
        <w:spacing w:after="0" w:line="214" w:lineRule="exact"/>
        <w:tabs>
          <w:tab w:leader="none" w:pos="1946" w:val="left"/>
        </w:tabs>
        <w:numPr>
          <w:ilvl w:val="1"/>
          <w:numId w:val="187"/>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b w:val="1"/>
          <w:bCs w:val="1"/>
          <w:color w:val="auto"/>
        </w:rPr>
        <w:t xml:space="preserve"> Check if Exchange is from Restricted Definitive Note to beneficial interest in an Unrestricted Global Note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6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3"/>
              </w:rPr>
              <w:t>C-1</w:t>
            </w:r>
          </w:p>
        </w:tc>
      </w:tr>
    </w:tbl>
    <w:p>
      <w:pPr>
        <w:sectPr>
          <w:pgSz w:w="11900" w:h="16838" w:orient="portrait"/>
          <w:cols w:equalWidth="0" w:num="1">
            <w:col w:w="11240"/>
          </w:cols>
          <w:pgMar w:left="320" w:top="1399" w:right="339" w:bottom="1440" w:gutter="0" w:footer="0" w:header="0"/>
        </w:sectPr>
      </w:pPr>
    </w:p>
    <w:bookmarkStart w:id="137" w:name="page138"/>
    <w:bookmarkEnd w:id="137"/>
    <w:p>
      <w:pPr>
        <w:ind w:left="580"/>
        <w:spacing w:after="0"/>
        <w:rPr>
          <w:sz w:val="20"/>
          <w:szCs w:val="20"/>
          <w:color w:val="auto"/>
        </w:rPr>
      </w:pPr>
      <w:r>
        <w:rPr>
          <w:rFonts w:ascii="Times New Roman" w:cs="Times New Roman" w:eastAsia="Times New Roman" w:hAnsi="Times New Roman"/>
          <w:sz w:val="20"/>
          <w:szCs w:val="20"/>
          <w:color w:val="auto"/>
        </w:rPr>
        <w:t>Restricted Definitive Notes and pursuant to and in accordance with the Securities Act, (iii) the restrictions on transfer contained in</w:t>
      </w:r>
    </w:p>
    <w:p>
      <w:pPr>
        <w:ind w:left="580"/>
        <w:spacing w:after="0" w:line="221" w:lineRule="auto"/>
        <w:rPr>
          <w:sz w:val="20"/>
          <w:szCs w:val="20"/>
          <w:color w:val="auto"/>
        </w:rPr>
      </w:pPr>
      <w:r>
        <w:rPr>
          <w:rFonts w:ascii="Times New Roman" w:cs="Times New Roman" w:eastAsia="Times New Roman" w:hAnsi="Times New Roman"/>
          <w:sz w:val="20"/>
          <w:szCs w:val="20"/>
          <w:color w:val="auto"/>
        </w:rPr>
        <w:t>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04" w:lineRule="exact"/>
        <w:rPr>
          <w:sz w:val="20"/>
          <w:szCs w:val="20"/>
          <w:color w:val="auto"/>
        </w:rPr>
      </w:pPr>
    </w:p>
    <w:p>
      <w:pPr>
        <w:jc w:val="both"/>
        <w:ind w:left="580" w:firstLine="644"/>
        <w:spacing w:after="0" w:line="207" w:lineRule="exact"/>
        <w:tabs>
          <w:tab w:leader="none" w:pos="1864" w:val="left"/>
        </w:tabs>
        <w:numPr>
          <w:ilvl w:val="1"/>
          <w:numId w:val="188"/>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b w:val="1"/>
          <w:bCs w:val="1"/>
          <w:color w:val="auto"/>
        </w:rPr>
        <w:t xml:space="preserve"> Check if Exchange is from Restricted Definitive Note to Unrestricted Definitive Note</w:t>
      </w:r>
      <w:r>
        <w:rPr>
          <w:rFonts w:ascii="Times New Roman" w:cs="Times New Roman" w:eastAsia="Times New Roman" w:hAnsi="Times New Roman"/>
          <w:sz w:val="20"/>
          <w:szCs w:val="20"/>
          <w:color w:val="auto"/>
        </w:rPr>
        <w:t>. In connection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03" w:lineRule="exact"/>
        <w:rPr>
          <w:rFonts w:ascii="Times New Roman" w:cs="Times New Roman" w:eastAsia="Times New Roman" w:hAnsi="Times New Roman"/>
          <w:sz w:val="20"/>
          <w:szCs w:val="20"/>
          <w:color w:val="auto"/>
        </w:rPr>
      </w:pPr>
    </w:p>
    <w:p>
      <w:pPr>
        <w:ind w:left="-80" w:firstLine="656"/>
        <w:spacing w:after="0" w:line="235" w:lineRule="auto"/>
        <w:tabs>
          <w:tab w:leader="none" w:pos="121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03" w:lineRule="exact"/>
        <w:rPr>
          <w:rFonts w:ascii="Times New Roman" w:cs="Times New Roman" w:eastAsia="Times New Roman" w:hAnsi="Times New Roman"/>
          <w:sz w:val="20"/>
          <w:szCs w:val="20"/>
          <w:color w:val="auto"/>
        </w:rPr>
      </w:pPr>
    </w:p>
    <w:p>
      <w:pPr>
        <w:jc w:val="both"/>
        <w:ind w:left="580" w:firstLine="644"/>
        <w:spacing w:after="0" w:line="208" w:lineRule="exact"/>
        <w:tabs>
          <w:tab w:leader="none" w:pos="1866" w:val="left"/>
        </w:tabs>
        <w:numPr>
          <w:ilvl w:val="1"/>
          <w:numId w:val="189"/>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b w:val="1"/>
          <w:bCs w:val="1"/>
          <w:color w:val="auto"/>
        </w:rPr>
        <w:t xml:space="preserve"> Check if Exchange is from beneficial interest in a Restricted Global Note to Restricted Definitive Note</w:t>
      </w:r>
      <w:r>
        <w:rPr>
          <w:rFonts w:ascii="Times New Roman" w:cs="Times New Roman" w:eastAsia="Times New Roman" w:hAnsi="Times New Roman"/>
          <w:sz w:val="20"/>
          <w:szCs w:val="20"/>
          <w:color w:val="auto"/>
        </w:rPr>
        <w: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02" w:lineRule="exact"/>
        <w:rPr>
          <w:rFonts w:ascii="Times New Roman" w:cs="Times New Roman" w:eastAsia="Times New Roman" w:hAnsi="Times New Roman"/>
          <w:sz w:val="20"/>
          <w:szCs w:val="20"/>
          <w:color w:val="auto"/>
        </w:rPr>
      </w:pPr>
    </w:p>
    <w:p>
      <w:pPr>
        <w:jc w:val="both"/>
        <w:ind w:left="580" w:firstLine="644"/>
        <w:spacing w:after="0" w:line="205" w:lineRule="exact"/>
        <w:tabs>
          <w:tab w:leader="none" w:pos="1864" w:val="left"/>
        </w:tabs>
        <w:numPr>
          <w:ilvl w:val="1"/>
          <w:numId w:val="189"/>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b w:val="1"/>
          <w:bCs w:val="1"/>
          <w:color w:val="auto"/>
        </w:rPr>
        <w:t xml:space="preserve"> Check if Exchange is from Restricted Definitive Note to beneficial interest in a Restricted Global Note</w:t>
      </w:r>
      <w:r>
        <w:rPr>
          <w:rFonts w:ascii="Times New Roman" w:cs="Times New Roman" w:eastAsia="Times New Roman" w:hAnsi="Times New Roman"/>
          <w:sz w:val="20"/>
          <w:szCs w:val="20"/>
          <w:color w:val="auto"/>
        </w:rPr>
        <w: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connection with the Exchange of the Owner’s Restricted Definitive Note for a beneficial interest in the [CHECK ONE] </w:t>
      </w: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144A Global Note, </w:t>
      </w: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Regulation S Global Note, </w:t>
      </w: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6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3"/>
              </w:rPr>
              <w:t>C-2</w:t>
            </w:r>
          </w:p>
        </w:tc>
      </w:tr>
    </w:tbl>
    <w:p>
      <w:pPr>
        <w:sectPr>
          <w:pgSz w:w="11900" w:h="16838" w:orient="portrait"/>
          <w:cols w:equalWidth="0" w:num="1">
            <w:col w:w="11160"/>
          </w:cols>
          <w:pgMar w:left="400" w:top="1394" w:right="339" w:bottom="1440" w:gutter="0" w:footer="0" w:header="0"/>
        </w:sectPr>
      </w:pPr>
    </w:p>
    <w:bookmarkStart w:id="138" w:name="page139"/>
    <w:bookmarkEnd w:id="138"/>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This certificate and the statements contained herein are made for your benefit and the benefit of the Company.</w:t>
      </w:r>
    </w:p>
    <w:p>
      <w:pPr>
        <w:spacing w:after="0" w:line="18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[Insert Name of Transferor]</w:t>
      </w:r>
    </w:p>
    <w:p>
      <w:pPr>
        <w:spacing w:after="0" w:line="153"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Title: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6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3"/>
              </w:rPr>
              <w:t>C-3</w:t>
            </w:r>
          </w:p>
        </w:tc>
      </w:tr>
    </w:tbl>
    <w:p>
      <w:pPr>
        <w:sectPr>
          <w:pgSz w:w="11900" w:h="16838" w:orient="portrait"/>
          <w:cols w:equalWidth="0" w:num="1">
            <w:col w:w="10139"/>
          </w:cols>
          <w:pgMar w:left="320" w:top="1440" w:right="1440" w:bottom="1440" w:gutter="0" w:footer="0" w:header="0"/>
        </w:sectPr>
      </w:pPr>
    </w:p>
    <w:bookmarkStart w:id="139" w:name="page140"/>
    <w:bookmarkEnd w:id="139"/>
    <w:p>
      <w:pPr>
        <w:ind w:left="10460"/>
        <w:spacing w:after="0"/>
        <w:rPr>
          <w:sz w:val="20"/>
          <w:szCs w:val="20"/>
          <w:color w:val="auto"/>
        </w:rPr>
      </w:pPr>
      <w:r>
        <w:rPr>
          <w:rFonts w:ascii="Times New Roman" w:cs="Times New Roman" w:eastAsia="Times New Roman" w:hAnsi="Times New Roman"/>
          <w:sz w:val="19"/>
          <w:szCs w:val="19"/>
          <w:color w:val="auto"/>
        </w:rPr>
        <w:t>Exhibit D</w:t>
      </w:r>
    </w:p>
    <w:p>
      <w:pPr>
        <w:ind w:left="11080"/>
        <w:spacing w:after="0" w:line="203" w:lineRule="auto"/>
        <w:rPr>
          <w:sz w:val="20"/>
          <w:szCs w:val="20"/>
          <w:color w:val="auto"/>
        </w:rPr>
      </w:pPr>
      <w:r>
        <w:rPr>
          <w:rFonts w:ascii="Times New Roman" w:cs="Times New Roman" w:eastAsia="Times New Roman" w:hAnsi="Times New Roman"/>
          <w:sz w:val="20"/>
          <w:szCs w:val="20"/>
          <w:u w:val="single" w:color="auto"/>
          <w:color w:val="auto"/>
        </w:rPr>
        <w:t>to</w:t>
      </w:r>
    </w:p>
    <w:p>
      <w:pPr>
        <w:ind w:left="10480"/>
        <w:spacing w:after="0" w:line="237" w:lineRule="auto"/>
        <w:rPr>
          <w:sz w:val="20"/>
          <w:szCs w:val="20"/>
          <w:color w:val="auto"/>
        </w:rPr>
      </w:pPr>
      <w:r>
        <w:rPr>
          <w:rFonts w:ascii="Times New Roman" w:cs="Times New Roman" w:eastAsia="Times New Roman" w:hAnsi="Times New Roman"/>
          <w:sz w:val="19"/>
          <w:szCs w:val="19"/>
          <w:u w:val="single" w:color="auto"/>
          <w:color w:val="auto"/>
        </w:rPr>
        <w:t>Indenture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CERTIFICATE FROM</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ACQUIRING INSTITUTIONAL ACCREDITED INVESTOR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EZCORP,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2500 Bee Cave Road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Building 1, Suite 200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Austin, Texas 78746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Truist Bank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2713 Forest Hills Rd, Building #2, 2nd Fl.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Wilson, North Carolina 27893</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b w:val="1"/>
          <w:bCs w:val="1"/>
          <w:color w:val="auto"/>
        </w:rPr>
        <w:t>7.375% Senior Notes due 2032</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Reference is hereby made to the Indenture, dated as of March 28, 2025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among EZCORP, Inc., as issuer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Guarantors party thereto and Truist Bank, as trustee. Capitalized terms used but not defined herein shall have the meanings given to them in the Indenture.</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connection with our proposed purchase of $_____________ aggregate principal amount of:</w:t>
      </w:r>
    </w:p>
    <w:p>
      <w:pPr>
        <w:spacing w:after="0" w:line="162" w:lineRule="exact"/>
        <w:rPr>
          <w:sz w:val="20"/>
          <w:szCs w:val="20"/>
          <w:color w:val="auto"/>
        </w:rPr>
      </w:pPr>
    </w:p>
    <w:p>
      <w:pPr>
        <w:ind w:left="1300" w:hanging="644"/>
        <w:spacing w:after="0" w:line="230" w:lineRule="exact"/>
        <w:tabs>
          <w:tab w:leader="none" w:pos="1300" w:val="left"/>
        </w:tabs>
        <w:numPr>
          <w:ilvl w:val="0"/>
          <w:numId w:val="190"/>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a beneficial interest in a Global Note, or</w:t>
      </w:r>
    </w:p>
    <w:p>
      <w:pPr>
        <w:spacing w:after="0" w:line="175" w:lineRule="exact"/>
        <w:rPr>
          <w:rFonts w:ascii="Times New Roman" w:cs="Times New Roman" w:eastAsia="Times New Roman" w:hAnsi="Times New Roman"/>
          <w:sz w:val="20"/>
          <w:szCs w:val="20"/>
          <w:color w:val="auto"/>
        </w:rPr>
      </w:pPr>
    </w:p>
    <w:p>
      <w:pPr>
        <w:ind w:left="1300" w:hanging="644"/>
        <w:spacing w:after="0" w:line="230" w:lineRule="exact"/>
        <w:tabs>
          <w:tab w:leader="none" w:pos="1300" w:val="left"/>
        </w:tabs>
        <w:numPr>
          <w:ilvl w:val="0"/>
          <w:numId w:val="190"/>
        </w:numPr>
        <w:rPr>
          <w:rFonts w:ascii="Times New Roman" w:cs="Times New Roman" w:eastAsia="Times New Roman" w:hAnsi="Times New Roman"/>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20"/>
          <w:szCs w:val="20"/>
          <w:color w:val="auto"/>
        </w:rPr>
        <w:t xml:space="preserve"> a Definitive Note,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confirm that:</w:t>
      </w:r>
    </w:p>
    <w:p>
      <w:pPr>
        <w:spacing w:after="0" w:line="175" w:lineRule="exact"/>
        <w:rPr>
          <w:sz w:val="20"/>
          <w:szCs w:val="20"/>
          <w:color w:val="auto"/>
        </w:rPr>
      </w:pPr>
    </w:p>
    <w:p>
      <w:pPr>
        <w:jc w:val="both"/>
        <w:ind w:firstLine="656"/>
        <w:spacing w:after="0" w:line="258" w:lineRule="auto"/>
        <w:tabs>
          <w:tab w:leader="none" w:pos="1296"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w:t>
      </w:r>
    </w:p>
    <w:p>
      <w:pPr>
        <w:spacing w:after="0" w:line="118" w:lineRule="exact"/>
        <w:rPr>
          <w:rFonts w:ascii="Times New Roman" w:cs="Times New Roman" w:eastAsia="Times New Roman" w:hAnsi="Times New Roman"/>
          <w:sz w:val="20"/>
          <w:szCs w:val="20"/>
          <w:color w:val="auto"/>
        </w:rPr>
      </w:pPr>
    </w:p>
    <w:p>
      <w:pPr>
        <w:jc w:val="both"/>
        <w:ind w:firstLine="656"/>
        <w:spacing w:after="0" w:line="250" w:lineRule="auto"/>
        <w:tabs>
          <w:tab w:leader="none" w:pos="1296"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an Opinion of Counsel in form reasonably acceptable to the Company to the effect that such transfer is in compliance with the Securities Act, (D) 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(2) notice advising such purchaser that resales thereof are restricted as stated herein.</w:t>
      </w:r>
    </w:p>
    <w:p>
      <w:pPr>
        <w:spacing w:after="0" w:line="14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8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6"/>
              </w:rPr>
              <w:t>D-1</w:t>
            </w:r>
          </w:p>
        </w:tc>
      </w:tr>
    </w:tbl>
    <w:p>
      <w:pPr>
        <w:sectPr>
          <w:pgSz w:w="11900" w:h="16838" w:orient="portrait"/>
          <w:cols w:equalWidth="0" w:num="1">
            <w:col w:w="11240"/>
          </w:cols>
          <w:pgMar w:left="320" w:top="1399" w:right="339" w:bottom="1440" w:gutter="0" w:footer="0" w:header="0"/>
        </w:sectPr>
      </w:pPr>
    </w:p>
    <w:bookmarkStart w:id="140" w:name="page141"/>
    <w:bookmarkEnd w:id="140"/>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the foregoing restrictions. We further understand that the Notes purchased by us will bear a legend to the foregoing effect.</w:t>
      </w:r>
    </w:p>
    <w:p>
      <w:pPr>
        <w:spacing w:after="0" w:line="175" w:lineRule="exact"/>
        <w:rPr>
          <w:sz w:val="20"/>
          <w:szCs w:val="20"/>
          <w:color w:val="auto"/>
        </w:rPr>
      </w:pPr>
    </w:p>
    <w:p>
      <w:pPr>
        <w:jc w:val="both"/>
        <w:ind w:firstLine="656"/>
        <w:spacing w:after="0" w:line="254" w:lineRule="auto"/>
        <w:tabs>
          <w:tab w:leader="none" w:pos="1296"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19" w:lineRule="exact"/>
        <w:rPr>
          <w:rFonts w:ascii="Times New Roman" w:cs="Times New Roman" w:eastAsia="Times New Roman" w:hAnsi="Times New Roman"/>
          <w:sz w:val="20"/>
          <w:szCs w:val="20"/>
          <w:color w:val="auto"/>
        </w:rPr>
      </w:pPr>
    </w:p>
    <w:p>
      <w:pPr>
        <w:ind w:firstLine="656"/>
        <w:spacing w:after="0"/>
        <w:tabs>
          <w:tab w:leader="none" w:pos="1296"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07"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9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8"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20"/>
          <w:szCs w:val="20"/>
          <w:color w:val="auto"/>
        </w:rPr>
        <w:t>[Insert Name of Transferor]</w:t>
      </w:r>
    </w:p>
    <w:p>
      <w:pPr>
        <w:spacing w:after="0" w:line="160"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Title: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129756558</w:t>
            </w:r>
          </w:p>
        </w:tc>
        <w:tc>
          <w:tcPr>
            <w:tcW w:w="248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6"/>
              </w:rPr>
              <w:t>D-2</w:t>
            </w:r>
          </w:p>
        </w:tc>
      </w:tr>
    </w:tbl>
    <w:p>
      <w:pPr>
        <w:sectPr>
          <w:pgSz w:w="11900" w:h="16838" w:orient="portrait"/>
          <w:cols w:equalWidth="0" w:num="1">
            <w:col w:w="11240"/>
          </w:cols>
          <w:pgMar w:left="320" w:top="1440" w:right="339" w:bottom="1440" w:gutter="0" w:footer="0" w:header="0"/>
        </w:sectPr>
      </w:pPr>
    </w:p>
    <w:bookmarkStart w:id="141" w:name="page142"/>
    <w:bookmarkEnd w:id="141"/>
    <w:p>
      <w:pPr>
        <w:ind w:left="10480"/>
        <w:spacing w:after="0"/>
        <w:rPr>
          <w:sz w:val="20"/>
          <w:szCs w:val="20"/>
          <w:color w:val="auto"/>
        </w:rPr>
      </w:pPr>
      <w:r>
        <w:rPr>
          <w:rFonts w:ascii="Times New Roman" w:cs="Times New Roman" w:eastAsia="Times New Roman" w:hAnsi="Times New Roman"/>
          <w:sz w:val="19"/>
          <w:szCs w:val="19"/>
          <w:color w:val="auto"/>
        </w:rPr>
        <w:t>Exhibit E</w:t>
      </w:r>
    </w:p>
    <w:p>
      <w:pPr>
        <w:ind w:left="11080"/>
        <w:spacing w:after="0" w:line="203" w:lineRule="auto"/>
        <w:rPr>
          <w:sz w:val="20"/>
          <w:szCs w:val="20"/>
          <w:color w:val="auto"/>
        </w:rPr>
      </w:pPr>
      <w:r>
        <w:rPr>
          <w:rFonts w:ascii="Times New Roman" w:cs="Times New Roman" w:eastAsia="Times New Roman" w:hAnsi="Times New Roman"/>
          <w:sz w:val="20"/>
          <w:szCs w:val="20"/>
          <w:u w:val="single" w:color="auto"/>
          <w:color w:val="auto"/>
        </w:rPr>
        <w:t>to</w:t>
      </w:r>
    </w:p>
    <w:p>
      <w:pPr>
        <w:ind w:left="10480"/>
        <w:spacing w:after="0" w:line="237" w:lineRule="auto"/>
        <w:rPr>
          <w:sz w:val="20"/>
          <w:szCs w:val="20"/>
          <w:color w:val="auto"/>
        </w:rPr>
      </w:pPr>
      <w:r>
        <w:rPr>
          <w:rFonts w:ascii="Times New Roman" w:cs="Times New Roman" w:eastAsia="Times New Roman" w:hAnsi="Times New Roman"/>
          <w:sz w:val="19"/>
          <w:szCs w:val="19"/>
          <w:u w:val="single" w:color="auto"/>
          <w:color w:val="auto"/>
        </w:rPr>
        <w:t>Indenture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SUPPLEMENTAL INDENTURE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BE DELIVERED BY SUBSEQUENT GUARANTORS]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INDENTURE (this “</w:t>
      </w:r>
      <w:r>
        <w:rPr>
          <w:rFonts w:ascii="Times New Roman" w:cs="Times New Roman" w:eastAsia="Times New Roman" w:hAnsi="Times New Roman"/>
          <w:sz w:val="20"/>
          <w:szCs w:val="20"/>
          <w:u w:val="single" w:color="auto"/>
          <w:color w:val="auto"/>
        </w:rPr>
        <w:t>Supplemental Indenture</w:t>
      </w:r>
      <w:r>
        <w:rPr>
          <w:rFonts w:ascii="Times New Roman" w:cs="Times New Roman" w:eastAsia="Times New Roman" w:hAnsi="Times New Roman"/>
          <w:sz w:val="20"/>
          <w:szCs w:val="20"/>
          <w:color w:val="auto"/>
        </w:rPr>
        <w:t>”), dated as of ______________, among _________________ (the</w:t>
      </w:r>
    </w:p>
    <w:p>
      <w:pPr>
        <w:spacing w:after="0" w:line="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Guaranteeing Subsidiary</w:t>
      </w:r>
      <w:r>
        <w:rPr>
          <w:rFonts w:ascii="Times New Roman" w:cs="Times New Roman" w:eastAsia="Times New Roman" w:hAnsi="Times New Roman"/>
          <w:sz w:val="20"/>
          <w:szCs w:val="20"/>
          <w:color w:val="auto"/>
        </w:rPr>
        <w:t>”), a subsidiary of EZCORP, Inc. (or its permitted successor),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Company, the other Guarantors (as defined in the Indenture referred to herein) and Truist Bank, as trustee under the Indenture referred to below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16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Company has heretofore executed and delivered to the Trustee an indenture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dated as of March 28, 2025 providing for the issuance of 7.375% Senior Notes due 2032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Times New Roman" w:cs="Times New Roman" w:eastAsia="Times New Roman" w:hAnsi="Times New Roman"/>
          <w:sz w:val="20"/>
          <w:szCs w:val="20"/>
          <w:u w:val="single" w:color="auto"/>
          <w:color w:val="auto"/>
        </w:rPr>
        <w:t>Note Guarantee</w:t>
      </w:r>
      <w:r>
        <w:rPr>
          <w:rFonts w:ascii="Times New Roman" w:cs="Times New Roman" w:eastAsia="Times New Roman" w:hAnsi="Times New Roman"/>
          <w:sz w:val="20"/>
          <w:szCs w:val="20"/>
          <w:color w:val="auto"/>
        </w:rPr>
        <w:t>”); and</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WHEREAS, pursuant to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xml:space="preserve"> of the Indenture, the Trustee is authorized to execute and deliver this Supplemental Indenture.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14" w:lineRule="exact"/>
        <w:rPr>
          <w:sz w:val="20"/>
          <w:szCs w:val="20"/>
          <w:color w:val="auto"/>
        </w:rPr>
      </w:pPr>
    </w:p>
    <w:p>
      <w:pPr>
        <w:ind w:left="1300" w:hanging="644"/>
        <w:spacing w:after="0"/>
        <w:tabs>
          <w:tab w:leader="none" w:pos="13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TERMS. Capitalized terms used herein without definition shall have the meanings assigned to them in the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Indenture.</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AGREEMENT TO GUARANTEE. The Guaranteeing Subsidiary hereby agrees to provide an unconditional Guarantee on the terms and subject to the conditions set forth in the Note Guarantee and in the Indenture including but not limited to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thereof.</w:t>
      </w:r>
    </w:p>
    <w:p>
      <w:pPr>
        <w:spacing w:after="0" w:line="118"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RECOURSE AGAINST OTHERS. No director, officer, employee, incorporator, stockholder, partner, member or manager (or any equivalent thereof) of the Company or any Guarantor, as such, will have any liability for any obligations of the Company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37"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0" w:lineRule="exact"/>
        <w:rPr>
          <w:sz w:val="20"/>
          <w:szCs w:val="20"/>
          <w:color w:val="auto"/>
        </w:rPr>
      </w:pPr>
    </w:p>
    <w:p>
      <w:pPr>
        <w:spacing w:after="0" w:line="377"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4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89"/>
              </w:rPr>
              <w:t>E-1</w:t>
            </w:r>
          </w:p>
        </w:tc>
      </w:tr>
    </w:tbl>
    <w:p>
      <w:pPr>
        <w:sectPr>
          <w:pgSz w:w="11900" w:h="16838" w:orient="portrait"/>
          <w:cols w:equalWidth="0" w:num="1">
            <w:col w:w="11240"/>
          </w:cols>
          <w:pgMar w:left="320" w:top="1399" w:right="339" w:bottom="1440" w:gutter="0" w:footer="0" w:header="0"/>
        </w:sectPr>
      </w:pPr>
    </w:p>
    <w:bookmarkStart w:id="142" w:name="page143"/>
    <w:bookmarkEnd w:id="142"/>
    <w:p>
      <w:pPr>
        <w:spacing w:after="0" w:line="135" w:lineRule="exact"/>
        <w:rPr>
          <w:sz w:val="20"/>
          <w:szCs w:val="20"/>
          <w:color w:val="auto"/>
        </w:rPr>
      </w:pPr>
    </w:p>
    <w:p>
      <w:pPr>
        <w:jc w:val="both"/>
        <w:ind w:left="-80" w:firstLine="656"/>
        <w:spacing w:after="0" w:line="258" w:lineRule="auto"/>
        <w:tabs>
          <w:tab w:leader="none" w:pos="121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The parties may sign any number of copies of this Supplemental Indenture. Each signed copy shall be an original, but all of them together represent the same agreement. Delivery of an executed counterpart of a signature page to this Supplemental Indenture by facsimile or other electronic transmission (e.g., a “pdf” or “tif”) shall be effective as delivery of a manually executed counterpart thereof.</w:t>
      </w:r>
    </w:p>
    <w:p>
      <w:pPr>
        <w:spacing w:after="0" w:line="118" w:lineRule="exact"/>
        <w:rPr>
          <w:rFonts w:ascii="Times New Roman" w:cs="Times New Roman" w:eastAsia="Times New Roman" w:hAnsi="Times New Roman"/>
          <w:sz w:val="20"/>
          <w:szCs w:val="20"/>
          <w:color w:val="auto"/>
        </w:rPr>
      </w:pPr>
    </w:p>
    <w:p>
      <w:pPr>
        <w:ind w:left="1220" w:hanging="644"/>
        <w:spacing w:after="0"/>
        <w:tabs>
          <w:tab w:leader="none" w:pos="1220"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 OF HEADINGS. The Section headings herein are for convenience only and shall not affect the construction hereof.</w:t>
      </w:r>
    </w:p>
    <w:p>
      <w:pPr>
        <w:spacing w:after="0" w:line="186" w:lineRule="exact"/>
        <w:rPr>
          <w:rFonts w:ascii="Times New Roman" w:cs="Times New Roman" w:eastAsia="Times New Roman" w:hAnsi="Times New Roman"/>
          <w:sz w:val="19"/>
          <w:szCs w:val="19"/>
          <w:color w:val="auto"/>
        </w:rPr>
      </w:pPr>
    </w:p>
    <w:p>
      <w:pPr>
        <w:jc w:val="both"/>
        <w:ind w:left="-80" w:firstLine="656"/>
        <w:spacing w:after="0" w:line="258" w:lineRule="auto"/>
        <w:tabs>
          <w:tab w:leader="none" w:pos="121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No duties, responsibilities or liabilities are assumed, or shall be construed to be assumed, by the Trustee by reason of this Supplemental Indenture.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4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89"/>
              </w:rPr>
              <w:t>E-2</w:t>
            </w:r>
          </w:p>
        </w:tc>
      </w:tr>
    </w:tbl>
    <w:p>
      <w:pPr>
        <w:sectPr>
          <w:pgSz w:w="11900" w:h="16838" w:orient="portrait"/>
          <w:cols w:equalWidth="0" w:num="1">
            <w:col w:w="11160"/>
          </w:cols>
          <w:pgMar w:left="400" w:top="1440" w:right="339" w:bottom="1440" w:gutter="0" w:footer="0" w:header="0"/>
        </w:sectPr>
      </w:pPr>
    </w:p>
    <w:bookmarkStart w:id="143" w:name="page144"/>
    <w:bookmarkEnd w:id="143"/>
    <w:p>
      <w:pPr>
        <w:spacing w:after="0" w:line="135"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Supplemental Indenture to be duly executed and attested, all as of the date first above written.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_______________________,</w:t>
      </w:r>
    </w:p>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[Guaranteeing Subsidiary]</w:t>
      </w:r>
    </w:p>
    <w:p>
      <w:pPr>
        <w:spacing w:after="0" w:line="364"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EZCORP, INC.</w:t>
      </w:r>
    </w:p>
    <w:p>
      <w:pPr>
        <w:spacing w:after="0" w:line="162"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[Existing Guarantors]</w:t>
      </w:r>
    </w:p>
    <w:p>
      <w:pPr>
        <w:spacing w:after="0" w:line="364"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TRUIST BANK</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Trustee</w:t>
      </w:r>
    </w:p>
    <w:p>
      <w:pPr>
        <w:spacing w:after="0" w:line="349"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w:t>
      </w:r>
    </w:p>
    <w:p>
      <w:pPr>
        <w:spacing w:after="0" w:line="2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AMERICAS 129712752</w:t>
            </w:r>
          </w:p>
        </w:tc>
        <w:tc>
          <w:tcPr>
            <w:tcW w:w="244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89"/>
              </w:rPr>
              <w:t>E-3</w:t>
            </w:r>
          </w:p>
        </w:tc>
      </w:tr>
    </w:tbl>
    <w:p>
      <w:pPr>
        <w:sectPr>
          <w:pgSz w:w="11900" w:h="16838" w:orient="portrait"/>
          <w:cols w:equalWidth="0" w:num="1">
            <w:col w:w="11240"/>
          </w:cols>
          <w:pgMar w:left="320" w:top="1440" w:right="339"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911860</wp:posOffset>
            </wp:positionV>
            <wp:extent cx="2005965"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003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EZCORP Announces Closing of Private Offering of $300,000,000 of Senior Notes Due 2032</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Austin, Texas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March 28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2025</w:t>
      </w:r>
      <w:r>
        <w:rPr>
          <w:rFonts w:ascii="Times New Roman" w:cs="Times New Roman" w:eastAsia="Times New Roman" w:hAnsi="Times New Roman"/>
          <w:sz w:val="18"/>
          <w:szCs w:val="18"/>
          <w:color w:val="auto"/>
        </w:rPr>
        <w:t>) - EZCORP, Inc. (NASDAQ: EZPW) (the “Company”), a leading provider of pawn transactions in the United States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Latin America, announced today the closing of its private offering of $300,000,000 aggregate principal amount of its senior notes due 2032 (the “Notes”). The Notes were offered in a private offering to persons reasonably believed to be qualified institutional buyers pursuant to Rule 144A under the Securities Act of 1933 (the “Securities Act”) or outside the United States to certain non-U.S. persons in reliance on Regulation S under the Securities Act. The Notes are senior unsecured obligations of the Company and are fully and unconditionally guaranteed by certain of the Company’s wholly owned domestic subsidiaries (the “Guarantors”) and may be guaranteed in the future by certain other existing and future subsidiaries that guarantee certain indebtedness of the Company or any Guarantor.</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Notes bear interest at a rate of 7.375% per annum, payable semiannually in arrears on April 1 and October 1 of each year, beginning on October 1, 2025. The Notes will mature on April 1, 2032, unless earlier redeemed or repurchased in accordance with their terms prior to such date.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the offering were approximately $292.5 million, after deducting the initial purchasers’ discounts and estimated offering expenses payable by us. The Company expects to use approximately $103.4 million of the net proceeds from the offering of the Notes to repay its outstanding 2.375% Convertible Senior Notes Due 2025 at maturity. The Company intends to use any excess proceeds for general corporate purposes.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were offered in a private placement, solely to persons reasonably believed to be qualified institutional buyers pursuant to Rule 144A under the Securities Act, or outside the United States to certain non-U.S. persons in reliance on Regulation S under the Securities Act. The offer and sale of the Notes and related guarantees have not been registered under the Securities Act, or the securities laws of any state or other jurisdiction, and may not be offered or sold in the United States absent registration or an applicable exemption from the registration requirements of the Securities Act and other applicable securities laws.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securities, nor will there be any sale of these securities in any state or jurisdiction in which such an offer, solicitation or sale would be unlawful prior to the registration or qualification under the securities laws of any such state or jurisdiction.</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announcement contains certain forward-looking statements. Forward-looking statements include, but are not limited to, statements that refer to projections, forecasts, or other characterizations of future events or circumstances, including any underlying assumptions. The words “anticipate,” “believe,” “continue,” “could,” “estimate,” “expect,” “intends,” “may,” “might,” “plan,” “seeks,” “possible,” “potential,” “predict,” “project,” “prospects,” “guidance,” “outlook,” “should,” “would,” “will,” and similar expressions may identify forward-looking statements, but the absence of these words does not mean that a statement is not forward-looking. These statements are based on the Company’s current expectations as to the outcome and timing of future events. All statements, other than statements of historical facts, including all statements regarding the offering of the Notes or intended use of proceeds thereof, that address activities or results that the Company plans, expects, believes, projects, estimates or anticipates will, should or may occur in the future, including future capital expenditures and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and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EZCORP</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Formed in 1989, EZCORP has grown into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(512) 314-2220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88AC1A"/>
    <w:multiLevelType w:val="hybridMultilevel"/>
    <w:lvl w:ilvl="0">
      <w:lvlJc w:val="left"/>
      <w:lvlText w:val="☐"/>
      <w:numFmt w:val="bullet"/>
      <w:start w:val="1"/>
    </w:lvl>
  </w:abstractNum>
  <w:abstractNum w:abstractNumId="1">
    <w:nsid w:val="5FB8011C"/>
    <w:multiLevelType w:val="hybridMultilevel"/>
    <w:lvl w:ilvl="0">
      <w:lvlJc w:val="left"/>
      <w:lvlText w:val="(%1)"/>
      <w:numFmt w:val="lowerLetter"/>
      <w:start w:val="4"/>
    </w:lvl>
  </w:abstractNum>
  <w:abstractNum w:abstractNumId="2">
    <w:nsid w:val="6AA78F7F"/>
    <w:multiLevelType w:val="hybridMultilevel"/>
    <w:lvl w:ilvl="0">
      <w:lvlJc w:val="left"/>
      <w:lvlText w:val="(%1)"/>
      <w:numFmt w:val="decimal"/>
      <w:start w:val="1"/>
    </w:lvl>
  </w:abstractNum>
  <w:abstractNum w:abstractNumId="3">
    <w:nsid w:val="7672BD23"/>
    <w:multiLevelType w:val="hybridMultilevel"/>
    <w:lvl w:ilvl="0">
      <w:lvlJc w:val="left"/>
      <w:lvlText w:val="(%1)"/>
      <w:numFmt w:val="decimal"/>
      <w:start w:val="1"/>
    </w:lvl>
  </w:abstractNum>
  <w:abstractNum w:abstractNumId="4">
    <w:nsid w:val="6FC75AF8"/>
    <w:multiLevelType w:val="hybridMultilevel"/>
    <w:lvl w:ilvl="0">
      <w:lvlJc w:val="left"/>
      <w:lvlText w:val="%1"/>
      <w:numFmt w:val="lowerLetter"/>
      <w:start w:val="1"/>
    </w:lvl>
    <w:lvl w:ilvl="1">
      <w:lvlJc w:val="left"/>
      <w:lvlText w:val="(%2)"/>
      <w:numFmt w:val="decimal"/>
      <w:start w:val="2"/>
    </w:lvl>
  </w:abstractNum>
  <w:abstractNum w:abstractNumId="5">
    <w:nsid w:val="6A5F7029"/>
    <w:multiLevelType w:val="hybridMultilevel"/>
    <w:lvl w:ilvl="0">
      <w:lvlJc w:val="left"/>
      <w:lvlText w:val="(%1)"/>
      <w:numFmt w:val="lowerLetter"/>
      <w:start w:val="1"/>
    </w:lvl>
    <w:lvl w:ilvl="1">
      <w:lvlJc w:val="left"/>
      <w:lvlText w:val="%2"/>
      <w:numFmt w:val="decimal"/>
      <w:start w:val="1"/>
    </w:lvl>
  </w:abstractNum>
  <w:abstractNum w:abstractNumId="6">
    <w:nsid w:val="7D5E18F8"/>
    <w:multiLevelType w:val="hybridMultilevel"/>
    <w:lvl w:ilvl="0">
      <w:lvlJc w:val="left"/>
      <w:lvlText w:val="(%1)"/>
      <w:numFmt w:val="decimal"/>
      <w:start w:val="1"/>
    </w:lvl>
  </w:abstractNum>
  <w:abstractNum w:abstractNumId="7">
    <w:nsid w:val="5F3534A4"/>
    <w:multiLevelType w:val="hybridMultilevel"/>
    <w:lvl w:ilvl="0">
      <w:lvlJc w:val="left"/>
      <w:lvlText w:val="(%1)"/>
      <w:numFmt w:val="lowerLetter"/>
      <w:start w:val="1"/>
    </w:lvl>
  </w:abstractNum>
  <w:abstractNum w:abstractNumId="8">
    <w:nsid w:val="73A1821B"/>
    <w:multiLevelType w:val="hybridMultilevel"/>
    <w:lvl w:ilvl="0">
      <w:lvlJc w:val="left"/>
      <w:lvlText w:val="(%1)"/>
      <w:numFmt w:val="decimal"/>
      <w:start w:val="1"/>
    </w:lvl>
  </w:abstractNum>
  <w:abstractNum w:abstractNumId="9">
    <w:nsid w:val="7DE67713"/>
    <w:multiLevelType w:val="hybridMultilevel"/>
    <w:lvl w:ilvl="0">
      <w:lvlJc w:val="left"/>
      <w:lvlText w:val="(%1)"/>
      <w:numFmt w:val="decimal"/>
      <w:start w:val="4"/>
    </w:lvl>
  </w:abstractNum>
  <w:abstractNum w:abstractNumId="10">
    <w:nsid w:val="555C55B5"/>
    <w:multiLevelType w:val="hybridMultilevel"/>
    <w:lvl w:ilvl="0">
      <w:lvlJc w:val="left"/>
      <w:lvlText w:val="(%1)"/>
      <w:numFmt w:val="decimal"/>
      <w:start w:val="20"/>
    </w:lvl>
  </w:abstractNum>
  <w:abstractNum w:abstractNumId="11">
    <w:nsid w:val="3FA62ACA"/>
    <w:multiLevelType w:val="hybridMultilevel"/>
    <w:lvl w:ilvl="0">
      <w:lvlJc w:val="left"/>
      <w:lvlText w:val="(%1)"/>
      <w:numFmt w:val="decimal"/>
      <w:start w:val="1"/>
    </w:lvl>
  </w:abstractNum>
  <w:abstractNum w:abstractNumId="12">
    <w:nsid w:val="14FCE74E"/>
    <w:multiLevelType w:val="hybridMultilevel"/>
    <w:lvl w:ilvl="0">
      <w:lvlJc w:val="left"/>
      <w:lvlText w:val="(%1)"/>
      <w:numFmt w:val="decimal"/>
      <w:start w:val="1"/>
    </w:lvl>
  </w:abstractNum>
  <w:abstractNum w:abstractNumId="13">
    <w:nsid w:val="6A3DD3E8"/>
    <w:multiLevelType w:val="hybridMultilevel"/>
    <w:lvl w:ilvl="0">
      <w:lvlJc w:val="left"/>
      <w:lvlText w:val="%1"/>
      <w:numFmt w:val="decimal"/>
      <w:start w:val="1"/>
    </w:lvl>
    <w:lvl w:ilvl="1">
      <w:lvlJc w:val="left"/>
      <w:lvlText w:val="(%2)"/>
      <w:numFmt w:val="decimal"/>
      <w:start w:val="1"/>
    </w:lvl>
  </w:abstractNum>
  <w:abstractNum w:abstractNumId="14">
    <w:nsid w:val="71C91298"/>
    <w:multiLevelType w:val="hybridMultilevel"/>
    <w:lvl w:ilvl="0">
      <w:lvlJc w:val="left"/>
      <w:lvlText w:val="(%1)"/>
      <w:numFmt w:val="decimal"/>
      <w:start w:val="3"/>
    </w:lvl>
    <w:lvl w:ilvl="1">
      <w:lvlJc w:val="left"/>
      <w:lvlText w:val="(%2)"/>
      <w:numFmt w:val="decimal"/>
      <w:start w:val="5"/>
    </w:lvl>
  </w:abstractNum>
  <w:abstractNum w:abstractNumId="15">
    <w:nsid w:val="9DAF632"/>
    <w:multiLevelType w:val="hybridMultilevel"/>
    <w:lvl w:ilvl="0">
      <w:lvlJc w:val="left"/>
      <w:lvlText w:val="(%1)"/>
      <w:numFmt w:val="decimal"/>
      <w:start w:val="1"/>
    </w:lvl>
  </w:abstractNum>
  <w:abstractNum w:abstractNumId="16">
    <w:nsid w:val="53299938"/>
    <w:multiLevelType w:val="hybridMultilevel"/>
    <w:lvl w:ilvl="0">
      <w:lvlJc w:val="left"/>
      <w:lvlText w:val="(%1)"/>
      <w:numFmt w:val="decimal"/>
      <w:start w:val="1"/>
    </w:lvl>
  </w:abstractNum>
  <w:abstractNum w:abstractNumId="17">
    <w:nsid w:val="1FBFE8E0"/>
    <w:multiLevelType w:val="hybridMultilevel"/>
    <w:lvl w:ilvl="0">
      <w:lvlJc w:val="left"/>
      <w:lvlText w:val="(%1)"/>
      <w:numFmt w:val="decimal"/>
      <w:start w:val="8"/>
    </w:lvl>
  </w:abstractNum>
  <w:abstractNum w:abstractNumId="18">
    <w:nsid w:val="5092CA79"/>
    <w:multiLevelType w:val="hybridMultilevel"/>
    <w:lvl w:ilvl="0">
      <w:lvlJc w:val="left"/>
      <w:lvlText w:val="(%1)"/>
      <w:numFmt w:val="decimal"/>
      <w:start w:val="16"/>
    </w:lvl>
  </w:abstractNum>
  <w:abstractNum w:abstractNumId="19">
    <w:nsid w:val="1D545C4D"/>
    <w:multiLevelType w:val="hybridMultilevel"/>
    <w:lvl w:ilvl="0">
      <w:lvlJc w:val="left"/>
      <w:lvlText w:val="(%1)"/>
      <w:numFmt w:val="decimal"/>
      <w:start w:val="1"/>
    </w:lvl>
  </w:abstractNum>
  <w:abstractNum w:abstractNumId="20">
    <w:nsid w:val="59ADEA3D"/>
    <w:multiLevelType w:val="hybridMultilevel"/>
    <w:lvl w:ilvl="0">
      <w:lvlJc w:val="left"/>
      <w:lvlText w:val="(%1)"/>
      <w:numFmt w:val="decimal"/>
      <w:start w:val="6"/>
    </w:lvl>
  </w:abstractNum>
  <w:abstractNum w:abstractNumId="21">
    <w:nsid w:val="288F1A34"/>
    <w:multiLevelType w:val="hybridMultilevel"/>
    <w:lvl w:ilvl="0">
      <w:lvlJc w:val="left"/>
      <w:lvlText w:val="(%1)"/>
      <w:numFmt w:val="decimal"/>
      <w:start w:val="15"/>
    </w:lvl>
  </w:abstractNum>
  <w:abstractNum w:abstractNumId="22">
    <w:nsid w:val="2A155DBC"/>
    <w:multiLevelType w:val="hybridMultilevel"/>
    <w:lvl w:ilvl="0">
      <w:lvlJc w:val="left"/>
      <w:lvlText w:val="(%1)"/>
      <w:numFmt w:val="decimal"/>
      <w:start w:val="1"/>
    </w:lvl>
  </w:abstractNum>
  <w:abstractNum w:abstractNumId="23">
    <w:nsid w:val="1D9F6E5F"/>
    <w:multiLevelType w:val="hybridMultilevel"/>
    <w:lvl w:ilvl="0">
      <w:lvlJc w:val="left"/>
      <w:lvlText w:val="(%1)"/>
      <w:numFmt w:val="decimal"/>
      <w:start w:val="4"/>
    </w:lvl>
  </w:abstractNum>
  <w:abstractNum w:abstractNumId="24">
    <w:nsid w:val="97E1B4E"/>
    <w:multiLevelType w:val="hybridMultilevel"/>
    <w:lvl w:ilvl="0">
      <w:lvlJc w:val="left"/>
      <w:lvlText w:val="(%1)"/>
      <w:numFmt w:val="decimal"/>
      <w:start w:val="1"/>
    </w:lvl>
  </w:abstractNum>
  <w:abstractNum w:abstractNumId="25">
    <w:nsid w:val="51088277"/>
    <w:multiLevelType w:val="hybridMultilevel"/>
    <w:lvl w:ilvl="0">
      <w:lvlJc w:val="left"/>
      <w:lvlText w:val="(%1)"/>
      <w:numFmt w:val="decimal"/>
      <w:start w:val="3"/>
    </w:lvl>
  </w:abstractNum>
  <w:abstractNum w:abstractNumId="26">
    <w:nsid w:val="1CA0C5FA"/>
    <w:multiLevelType w:val="hybridMultilevel"/>
    <w:lvl w:ilvl="0">
      <w:lvlJc w:val="left"/>
      <w:lvlText w:val="(%1)"/>
      <w:numFmt w:val="decimal"/>
      <w:start w:val="1"/>
    </w:lvl>
  </w:abstractNum>
  <w:abstractNum w:abstractNumId="27">
    <w:nsid w:val="53584BCB"/>
    <w:multiLevelType w:val="hybridMultilevel"/>
    <w:lvl w:ilvl="0">
      <w:lvlJc w:val="left"/>
      <w:lvlText w:val="(%1)"/>
      <w:numFmt w:val="decimal"/>
      <w:start w:val="1"/>
    </w:lvl>
  </w:abstractNum>
  <w:abstractNum w:abstractNumId="28">
    <w:nsid w:val="415E286C"/>
    <w:multiLevelType w:val="hybridMultilevel"/>
    <w:lvl w:ilvl="0">
      <w:lvlJc w:val="left"/>
      <w:lvlText w:val="(%1)"/>
      <w:numFmt w:val="decimal"/>
      <w:start w:val="1"/>
    </w:lvl>
  </w:abstractNum>
  <w:abstractNum w:abstractNumId="29">
    <w:nsid w:val="7C58FD05"/>
    <w:multiLevelType w:val="hybridMultilevel"/>
    <w:lvl w:ilvl="0">
      <w:lvlJc w:val="left"/>
      <w:lvlText w:val="(%1)"/>
      <w:numFmt w:val="decimal"/>
      <w:start w:val="1"/>
    </w:lvl>
  </w:abstractNum>
  <w:abstractNum w:abstractNumId="30">
    <w:nsid w:val="23D86AAC"/>
    <w:multiLevelType w:val="hybridMultilevel"/>
    <w:lvl w:ilvl="0">
      <w:lvlJc w:val="left"/>
      <w:lvlText w:val="%1"/>
      <w:numFmt w:val="lowerLetter"/>
      <w:start w:val="1"/>
    </w:lvl>
    <w:lvl w:ilvl="1">
      <w:lvlJc w:val="left"/>
      <w:lvlText w:val="(%2)"/>
      <w:numFmt w:val="decimal"/>
      <w:start w:val="1"/>
    </w:lvl>
  </w:abstractNum>
  <w:abstractNum w:abstractNumId="31">
    <w:nsid w:val="45E6D486"/>
    <w:multiLevelType w:val="hybridMultilevel"/>
    <w:lvl w:ilvl="0">
      <w:lvlJc w:val="left"/>
      <w:lvlText w:val="(%1)"/>
      <w:numFmt w:val="lowerLetter"/>
      <w:start w:val="1"/>
    </w:lvl>
    <w:lvl w:ilvl="1">
      <w:lvlJc w:val="left"/>
      <w:lvlText w:val="(%2)"/>
      <w:numFmt w:val="decimal"/>
      <w:start w:val="4"/>
    </w:lvl>
  </w:abstractNum>
  <w:abstractNum w:abstractNumId="32">
    <w:nsid w:val="5C10FE21"/>
    <w:multiLevelType w:val="hybridMultilevel"/>
    <w:lvl w:ilvl="0">
      <w:lvlJc w:val="left"/>
      <w:lvlText w:val="(%1)"/>
      <w:numFmt w:val="decimal"/>
      <w:start w:val="7"/>
    </w:lvl>
  </w:abstractNum>
  <w:abstractNum w:abstractNumId="33">
    <w:nsid w:val="E7FFA2B"/>
    <w:multiLevelType w:val="hybridMultilevel"/>
    <w:lvl w:ilvl="0">
      <w:lvlJc w:val="left"/>
      <w:lvlText w:val="(%1)"/>
      <w:numFmt w:val="decimal"/>
      <w:start w:val="19"/>
    </w:lvl>
  </w:abstractNum>
  <w:abstractNum w:abstractNumId="34">
    <w:nsid w:val="3C5991AA"/>
    <w:multiLevelType w:val="hybridMultilevel"/>
    <w:lvl w:ilvl="0">
      <w:lvlJc w:val="left"/>
      <w:lvlText w:val="(%1)"/>
      <w:numFmt w:val="decimal"/>
      <w:start w:val="1"/>
    </w:lvl>
  </w:abstractNum>
  <w:abstractNum w:abstractNumId="35">
    <w:nsid w:val="4BD8591A"/>
    <w:multiLevelType w:val="hybridMultilevel"/>
    <w:lvl w:ilvl="0">
      <w:lvlJc w:val="left"/>
      <w:lvlText w:val="(%1)"/>
      <w:numFmt w:val="decimal"/>
      <w:start w:val="3"/>
    </w:lvl>
  </w:abstractNum>
  <w:abstractNum w:abstractNumId="36">
    <w:nsid w:val="78DF6A55"/>
    <w:multiLevelType w:val="hybridMultilevel"/>
    <w:lvl w:ilvl="0">
      <w:lvlJc w:val="left"/>
      <w:lvlText w:val="%1"/>
      <w:numFmt w:val="lowerLetter"/>
      <w:start w:val="1"/>
    </w:lvl>
    <w:lvl w:ilvl="1">
      <w:lvlJc w:val="left"/>
      <w:lvlText w:val="(%2)"/>
      <w:numFmt w:val="decimal"/>
      <w:start w:val="12"/>
    </w:lvl>
  </w:abstractNum>
  <w:abstractNum w:abstractNumId="37">
    <w:nsid w:val="39B7AAA2"/>
    <w:multiLevelType w:val="hybridMultilevel"/>
    <w:lvl w:ilvl="0">
      <w:lvlJc w:val="left"/>
      <w:lvlText w:val="(%1)"/>
      <w:numFmt w:val="lowerLetter"/>
      <w:start w:val="1"/>
    </w:lvl>
    <w:lvl w:ilvl="1">
      <w:lvlJc w:val="left"/>
      <w:lvlText w:val="(%2)"/>
      <w:numFmt w:val="decimal"/>
      <w:start w:val="15"/>
    </w:lvl>
  </w:abstractNum>
  <w:abstractNum w:abstractNumId="38">
    <w:nsid w:val="2B0D8DBE"/>
    <w:multiLevelType w:val="hybridMultilevel"/>
    <w:lvl w:ilvl="0">
      <w:lvlJc w:val="left"/>
      <w:lvlText w:val="(%1)"/>
      <w:numFmt w:val="decimal"/>
      <w:start w:val="20"/>
    </w:lvl>
  </w:abstractNum>
  <w:abstractNum w:abstractNumId="39">
    <w:nsid w:val="6C80EC70"/>
    <w:multiLevelType w:val="hybridMultilevel"/>
    <w:lvl w:ilvl="0">
      <w:lvlJc w:val="left"/>
      <w:lvlText w:val="(%1)"/>
      <w:numFmt w:val="decimal"/>
      <w:start w:val="32"/>
    </w:lvl>
  </w:abstractNum>
  <w:abstractNum w:abstractNumId="40">
    <w:nsid w:val="379E21B5"/>
    <w:multiLevelType w:val="hybridMultilevel"/>
    <w:lvl w:ilvl="0">
      <w:lvlJc w:val="left"/>
      <w:lvlText w:val="(%1)"/>
      <w:numFmt w:val="decimal"/>
      <w:start w:val="1"/>
    </w:lvl>
  </w:abstractNum>
  <w:abstractNum w:abstractNumId="41">
    <w:nsid w:val="69E373"/>
    <w:multiLevelType w:val="hybridMultilevel"/>
    <w:lvl w:ilvl="0">
      <w:lvlJc w:val="left"/>
      <w:lvlText w:val="(%1)"/>
      <w:numFmt w:val="decimal"/>
      <w:start w:val="2"/>
    </w:lvl>
  </w:abstractNum>
  <w:abstractNum w:abstractNumId="42">
    <w:nsid w:val="2C27173B"/>
    <w:multiLevelType w:val="hybridMultilevel"/>
    <w:lvl w:ilvl="0">
      <w:lvlJc w:val="left"/>
      <w:lvlText w:val="(%1)"/>
      <w:numFmt w:val="decimal"/>
      <w:start w:val="1"/>
    </w:lvl>
  </w:abstractNum>
  <w:abstractNum w:abstractNumId="43">
    <w:nsid w:val="4C9B0904"/>
    <w:multiLevelType w:val="hybridMultilevel"/>
    <w:lvl w:ilvl="0">
      <w:lvlJc w:val="left"/>
      <w:lvlText w:val="(%1)"/>
      <w:numFmt w:val="decimal"/>
      <w:start w:val="4"/>
    </w:lvl>
  </w:abstractNum>
  <w:abstractNum w:abstractNumId="44">
    <w:nsid w:val="6AA7B75C"/>
    <w:multiLevelType w:val="hybridMultilevel"/>
    <w:lvl w:ilvl="0">
      <w:lvlJc w:val="left"/>
      <w:lvlText w:val="(%1)"/>
      <w:numFmt w:val="decimal"/>
      <w:start w:val="1"/>
    </w:lvl>
  </w:abstractNum>
  <w:abstractNum w:abstractNumId="45">
    <w:nsid w:val="1DF029D3"/>
    <w:multiLevelType w:val="hybridMultilevel"/>
    <w:lvl w:ilvl="0">
      <w:lvlJc w:val="left"/>
      <w:lvlText w:val="(%1)"/>
      <w:numFmt w:val="decimal"/>
      <w:start w:val="1"/>
    </w:lvl>
  </w:abstractNum>
  <w:abstractNum w:abstractNumId="46">
    <w:nsid w:val="5675FF36"/>
    <w:multiLevelType w:val="hybridMultilevel"/>
    <w:lvl w:ilvl="0">
      <w:lvlJc w:val="left"/>
      <w:lvlText w:val="(%1)"/>
      <w:numFmt w:val="decimal"/>
      <w:start w:val="4"/>
    </w:lvl>
  </w:abstractNum>
  <w:abstractNum w:abstractNumId="47">
    <w:nsid w:val="3DD15094"/>
    <w:multiLevelType w:val="hybridMultilevel"/>
    <w:lvl w:ilvl="0">
      <w:lvlJc w:val="left"/>
      <w:lvlText w:val="(%1)"/>
      <w:numFmt w:val="decimal"/>
      <w:start w:val="1"/>
    </w:lvl>
  </w:abstractNum>
  <w:abstractNum w:abstractNumId="48">
    <w:nsid w:val="3DB012B3"/>
    <w:multiLevelType w:val="hybridMultilevel"/>
    <w:lvl w:ilvl="0">
      <w:lvlJc w:val="left"/>
      <w:lvlText w:val="(%1)"/>
      <w:numFmt w:val="decimal"/>
      <w:start w:val="1"/>
    </w:lvl>
  </w:abstractNum>
  <w:abstractNum w:abstractNumId="49">
    <w:nsid w:val="2708C9AF"/>
    <w:multiLevelType w:val="hybridMultilevel"/>
    <w:lvl w:ilvl="0">
      <w:lvlJc w:val="left"/>
      <w:lvlText w:val="(%1)"/>
      <w:numFmt w:val="lowerLetter"/>
      <w:start w:val="1"/>
    </w:lvl>
  </w:abstractNum>
  <w:abstractNum w:abstractNumId="50">
    <w:nsid w:val="5B25ACE2"/>
    <w:multiLevelType w:val="hybridMultilevel"/>
    <w:lvl w:ilvl="0">
      <w:lvlJc w:val="left"/>
      <w:lvlText w:val="(%1)"/>
      <w:numFmt w:val="lowerLetter"/>
      <w:start w:val="1"/>
    </w:lvl>
  </w:abstractNum>
  <w:abstractNum w:abstractNumId="51">
    <w:nsid w:val="175DFCF0"/>
    <w:multiLevelType w:val="hybridMultilevel"/>
    <w:lvl w:ilvl="0">
      <w:lvlJc w:val="left"/>
      <w:lvlText w:val="(%1)"/>
      <w:numFmt w:val="lowerLetter"/>
      <w:start w:val="3"/>
    </w:lvl>
  </w:abstractNum>
  <w:abstractNum w:abstractNumId="52">
    <w:nsid w:val="4F97E3E4"/>
    <w:multiLevelType w:val="hybridMultilevel"/>
    <w:lvl w:ilvl="0">
      <w:lvlJc w:val="left"/>
      <w:lvlText w:val="(%1)"/>
      <w:numFmt w:val="lowerLetter"/>
      <w:start w:val="1"/>
    </w:lvl>
    <w:lvl w:ilvl="1">
      <w:lvlJc w:val="left"/>
      <w:lvlText w:val="(%2)"/>
      <w:numFmt w:val="decimal"/>
      <w:start w:val="1"/>
    </w:lvl>
  </w:abstractNum>
  <w:abstractNum w:abstractNumId="53">
    <w:nsid w:val="53B0A9E"/>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54">
    <w:nsid w:val="34FD6B4F"/>
    <w:multiLevelType w:val="hybridMultilevel"/>
    <w:lvl w:ilvl="0">
      <w:lvlJc w:val="left"/>
      <w:lvlText w:val="(%1)"/>
      <w:numFmt w:val="lowerRoman"/>
      <w:start w:val="2"/>
    </w:lvl>
  </w:abstractNum>
  <w:abstractNum w:abstractNumId="55">
    <w:nsid w:val="5915FF32"/>
    <w:multiLevelType w:val="hybridMultilevel"/>
    <w:lvl w:ilvl="0">
      <w:lvlJc w:val="left"/>
      <w:lvlText w:val="(%1)"/>
      <w:numFmt w:val="decimal"/>
      <w:start w:val="3"/>
    </w:lvl>
    <w:lvl w:ilvl="1">
      <w:lvlJc w:val="left"/>
      <w:lvlText w:val="(%2)"/>
      <w:numFmt w:val="upperLetter"/>
      <w:start w:val="1"/>
    </w:lvl>
  </w:abstractNum>
  <w:abstractNum w:abstractNumId="56">
    <w:nsid w:val="56438D15"/>
    <w:multiLevelType w:val="hybridMultilevel"/>
    <w:lvl w:ilvl="0">
      <w:lvlJc w:val="left"/>
      <w:lvlText w:val="(%1)"/>
      <w:numFmt w:val="decimal"/>
      <w:start w:val="2"/>
    </w:lvl>
    <w:lvl w:ilvl="1">
      <w:lvlJc w:val="left"/>
      <w:lvlText w:val="(%2)"/>
      <w:numFmt w:val="upperLetter"/>
      <w:start w:val="3"/>
    </w:lvl>
  </w:abstractNum>
  <w:abstractNum w:abstractNumId="57">
    <w:nsid w:val="519E3149"/>
    <w:multiLevelType w:val="hybridMultilevel"/>
    <w:lvl w:ilvl="0">
      <w:lvlJc w:val="left"/>
      <w:lvlText w:val="(%1)"/>
      <w:numFmt w:val="decimal"/>
      <w:start w:val="4"/>
    </w:lvl>
    <w:lvl w:ilvl="1">
      <w:lvlJc w:val="left"/>
      <w:lvlText w:val="(%2)"/>
      <w:numFmt w:val="upperLetter"/>
      <w:start w:val="1"/>
    </w:lvl>
  </w:abstractNum>
  <w:abstractNum w:abstractNumId="58">
    <w:nsid w:val="2C6E4AFD"/>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59">
    <w:nsid w:val="17A1B582"/>
    <w:multiLevelType w:val="hybridMultilevel"/>
    <w:lvl w:ilvl="0">
      <w:lvlJc w:val="left"/>
      <w:lvlText w:val="(%1)"/>
      <w:numFmt w:val="decimal"/>
      <w:start w:val="2"/>
    </w:lvl>
    <w:lvl w:ilvl="1">
      <w:lvlJc w:val="left"/>
      <w:lvlText w:val="(%2)"/>
      <w:numFmt w:val="upperLetter"/>
      <w:start w:val="1"/>
    </w:lvl>
  </w:abstractNum>
  <w:abstractNum w:abstractNumId="60">
    <w:nsid w:val="4DF72E4E"/>
    <w:multiLevelType w:val="hybridMultilevel"/>
    <w:lvl w:ilvl="0">
      <w:lvlJc w:val="left"/>
      <w:lvlText w:val="(%1)"/>
      <w:numFmt w:val="decimal"/>
      <w:start w:val="3"/>
    </w:lvl>
  </w:abstractNum>
  <w:abstractNum w:abstractNumId="61">
    <w:nsid w:val="5046B5A9"/>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62">
    <w:nsid w:val="5D888A08"/>
    <w:multiLevelType w:val="hybridMultilevel"/>
    <w:lvl w:ilvl="0">
      <w:lvlJc w:val="left"/>
      <w:lvlText w:val="(%1)"/>
      <w:numFmt w:val="decimal"/>
      <w:start w:val="2"/>
    </w:lvl>
    <w:lvl w:ilvl="1">
      <w:lvlJc w:val="left"/>
      <w:lvlText w:val="(%2)"/>
      <w:numFmt w:val="upperLetter"/>
      <w:start w:val="1"/>
    </w:lvl>
  </w:abstractNum>
  <w:abstractNum w:abstractNumId="63">
    <w:nsid w:val="2A082C70"/>
    <w:multiLevelType w:val="hybridMultilevel"/>
    <w:lvl w:ilvl="0">
      <w:lvlJc w:val="left"/>
      <w:lvlText w:val="(%1)"/>
      <w:numFmt w:val="decimal"/>
      <w:start w:val="3"/>
    </w:lvl>
  </w:abstractNum>
  <w:abstractNum w:abstractNumId="64">
    <w:nsid w:val="5EC6AFD4"/>
    <w:multiLevelType w:val="hybridMultilevel"/>
    <w:lvl w:ilvl="0">
      <w:lvlJc w:val="left"/>
      <w:lvlText w:val="(%1)"/>
      <w:numFmt w:val="decimal"/>
      <w:start w:val="3"/>
    </w:lvl>
    <w:lvl w:ilvl="1">
      <w:lvlJc w:val="left"/>
      <w:lvlText w:val="(%2)"/>
      <w:numFmt w:val="lowerLetter"/>
      <w:start w:val="5"/>
    </w:lvl>
  </w:abstractNum>
  <w:abstractNum w:abstractNumId="65">
    <w:nsid w:val="19E21BB2"/>
    <w:multiLevelType w:val="hybridMultilevel"/>
    <w:lvl w:ilvl="0">
      <w:lvlJc w:val="left"/>
      <w:lvlText w:val="(%1)"/>
      <w:numFmt w:val="decimal"/>
      <w:start w:val="1"/>
    </w:lvl>
    <w:lvl w:ilvl="1">
      <w:lvlJc w:val="left"/>
      <w:lvlText w:val="(%2)"/>
      <w:numFmt w:val="upperLetter"/>
      <w:start w:val="1"/>
    </w:lvl>
  </w:abstractNum>
  <w:abstractNum w:abstractNumId="66">
    <w:nsid w:val="75E0858A"/>
    <w:multiLevelType w:val="hybridMultilevel"/>
    <w:lvl w:ilvl="0">
      <w:lvlJc w:val="left"/>
      <w:lvlText w:val="%1"/>
      <w:numFmt w:val="lowerLetter"/>
      <w:start w:val="1"/>
    </w:lvl>
    <w:lvl w:ilvl="1">
      <w:lvlJc w:val="left"/>
      <w:lvlText w:val="(%2)"/>
      <w:numFmt w:val="decimal"/>
      <w:start w:val="3"/>
    </w:lvl>
  </w:abstractNum>
  <w:abstractNum w:abstractNumId="67">
    <w:nsid w:val="57A61A29"/>
    <w:multiLevelType w:val="hybridMultilevel"/>
    <w:lvl w:ilvl="0">
      <w:lvlJc w:val="left"/>
      <w:lvlText w:val="(%1)"/>
      <w:numFmt w:val="lowerLetter"/>
      <w:start w:val="6"/>
    </w:lvl>
    <w:lvl w:ilvl="1">
      <w:lvlJc w:val="left"/>
      <w:lvlText w:val="(%2)"/>
      <w:numFmt w:val="decimal"/>
      <w:start w:val="1"/>
    </w:lvl>
  </w:abstractNum>
  <w:abstractNum w:abstractNumId="68">
    <w:nsid w:val="5399C654"/>
    <w:multiLevelType w:val="hybridMultilevel"/>
    <w:lvl w:ilvl="0">
      <w:lvlJc w:val="left"/>
      <w:lvlText w:val="(%1)"/>
      <w:numFmt w:val="upperLetter"/>
      <w:start w:val="1"/>
    </w:lvl>
  </w:abstractNum>
  <w:abstractNum w:abstractNumId="69">
    <w:nsid w:val="20EE1348"/>
    <w:multiLevelType w:val="hybridMultilevel"/>
    <w:lvl w:ilvl="0">
      <w:lvlJc w:val="left"/>
      <w:lvlText w:val="(%1)"/>
      <w:numFmt w:val="upperLetter"/>
      <w:start w:val="1"/>
    </w:lvl>
  </w:abstractNum>
  <w:abstractNum w:abstractNumId="70">
    <w:nsid w:val="4427069A"/>
    <w:multiLevelType w:val="hybridMultilevel"/>
    <w:lvl w:ilvl="0">
      <w:lvlJc w:val="left"/>
      <w:lvlText w:val="%1"/>
      <w:numFmt w:val="decimal"/>
      <w:start w:val="1"/>
    </w:lvl>
    <w:lvl w:ilvl="1">
      <w:lvlJc w:val="left"/>
      <w:lvlText w:val="(%2)"/>
      <w:numFmt w:val="upperLetter"/>
      <w:start w:val="2"/>
    </w:lvl>
  </w:abstractNum>
  <w:abstractNum w:abstractNumId="71">
    <w:nsid w:val="B37E80A"/>
    <w:multiLevelType w:val="hybridMultilevel"/>
    <w:lvl w:ilvl="0">
      <w:lvlJc w:val="left"/>
      <w:lvlText w:val="(%1)"/>
      <w:numFmt w:val="decimal"/>
      <w:start w:val="2"/>
    </w:lvl>
    <w:lvl w:ilvl="1">
      <w:lvlJc w:val="left"/>
      <w:lvlText w:val="%2"/>
      <w:numFmt w:val="upperLetter"/>
      <w:start w:val="1"/>
    </w:lvl>
  </w:abstractNum>
  <w:abstractNum w:abstractNumId="72">
    <w:nsid w:val="2157F6BC"/>
    <w:multiLevelType w:val="hybridMultilevel"/>
    <w:lvl w:ilvl="0">
      <w:lvlJc w:val="left"/>
      <w:lvlText w:val="(%1)"/>
      <w:numFmt w:val="decimal"/>
      <w:start w:val="3"/>
    </w:lvl>
  </w:abstractNum>
  <w:abstractNum w:abstractNumId="73">
    <w:nsid w:val="704E1DD5"/>
    <w:multiLevelType w:val="hybridMultilevel"/>
    <w:lvl w:ilvl="0">
      <w:lvlJc w:val="left"/>
      <w:lvlText w:val="(%1)"/>
      <w:numFmt w:val="lowerLetter"/>
      <w:start w:val="8"/>
    </w:lvl>
  </w:abstractNum>
  <w:abstractNum w:abstractNumId="74">
    <w:nsid w:val="57D2F10E"/>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75">
    <w:nsid w:val="BFFAE18"/>
    <w:multiLevelType w:val="hybridMultilevel"/>
    <w:lvl w:ilvl="0">
      <w:lvlJc w:val="left"/>
      <w:lvlText w:val="(%1)"/>
      <w:numFmt w:val="decimal"/>
      <w:start w:val="7"/>
    </w:lvl>
  </w:abstractNum>
  <w:abstractNum w:abstractNumId="76">
    <w:nsid w:val="E3E47A8"/>
    <w:multiLevelType w:val="hybridMultilevel"/>
    <w:lvl w:ilvl="0">
      <w:lvlJc w:val="left"/>
      <w:lvlText w:val="(%1)"/>
      <w:numFmt w:val="decimal"/>
      <w:start w:val="1"/>
    </w:lvl>
  </w:abstractNum>
  <w:abstractNum w:abstractNumId="77">
    <w:nsid w:val="2E48F044"/>
    <w:multiLevelType w:val="hybridMultilevel"/>
    <w:lvl w:ilvl="0">
      <w:lvlJc w:val="left"/>
      <w:lvlText w:val="(%1)"/>
      <w:numFmt w:val="decimal"/>
      <w:start w:val="1"/>
    </w:lvl>
  </w:abstractNum>
  <w:abstractNum w:abstractNumId="78">
    <w:nsid w:val="49D0FEAC"/>
    <w:multiLevelType w:val="hybridMultilevel"/>
    <w:lvl w:ilvl="0">
      <w:lvlJc w:val="left"/>
      <w:lvlText w:val="(%1)"/>
      <w:numFmt w:val="lowerLetter"/>
      <w:start w:val="1"/>
    </w:lvl>
  </w:abstractNum>
  <w:abstractNum w:abstractNumId="79">
    <w:nsid w:val="4BEE5A5B"/>
    <w:multiLevelType w:val="hybridMultilevel"/>
    <w:lvl w:ilvl="0">
      <w:lvlJc w:val="left"/>
      <w:lvlText w:val="(%1)"/>
      <w:numFmt w:val="lowerLetter"/>
      <w:start w:val="2"/>
    </w:lvl>
  </w:abstractNum>
  <w:abstractNum w:abstractNumId="80">
    <w:nsid w:val="5551B9F3"/>
    <w:multiLevelType w:val="hybridMultilevel"/>
    <w:lvl w:ilvl="0">
      <w:lvlJc w:val="left"/>
      <w:lvlText w:val="%1"/>
      <w:numFmt w:val="lowerLetter"/>
      <w:start w:val="1"/>
    </w:lvl>
    <w:lvl w:ilvl="1">
      <w:lvlJc w:val="left"/>
      <w:lvlText w:val="(%2)"/>
      <w:numFmt w:val="decimal"/>
      <w:start w:val="1"/>
    </w:lvl>
  </w:abstractNum>
  <w:abstractNum w:abstractNumId="81">
    <w:nsid w:val="24F6AB8E"/>
    <w:multiLevelType w:val="hybridMultilevel"/>
    <w:lvl w:ilvl="0">
      <w:lvlJc w:val="left"/>
      <w:lvlText w:val="(%1)"/>
      <w:numFmt w:val="lowerLetter"/>
      <w:start w:val="3"/>
    </w:lvl>
    <w:lvl w:ilvl="1">
      <w:lvlJc w:val="left"/>
      <w:lvlText w:val="%2"/>
      <w:numFmt w:val="decimal"/>
      <w:start w:val="1"/>
    </w:lvl>
  </w:abstractNum>
  <w:abstractNum w:abstractNumId="82">
    <w:nsid w:val="634C574C"/>
    <w:multiLevelType w:val="hybridMultilevel"/>
    <w:lvl w:ilvl="0">
      <w:lvlJc w:val="left"/>
      <w:lvlText w:val="(%1)"/>
      <w:numFmt w:val="lowerLetter"/>
      <w:start w:val="5"/>
    </w:lvl>
  </w:abstractNum>
  <w:abstractNum w:abstractNumId="83">
    <w:nsid w:val="24E99DD7"/>
    <w:multiLevelType w:val="hybridMultilevel"/>
    <w:lvl w:ilvl="0">
      <w:lvlJc w:val="left"/>
      <w:lvlText w:val="(%1)"/>
      <w:numFmt w:val="lowerLetter"/>
      <w:start w:val="6"/>
    </w:lvl>
  </w:abstractNum>
  <w:abstractNum w:abstractNumId="84">
    <w:nsid w:val="2A31B62D"/>
    <w:multiLevelType w:val="hybridMultilevel"/>
    <w:lvl w:ilvl="0">
      <w:lvlJc w:val="left"/>
      <w:lvlText w:val="(%1)"/>
      <w:numFmt w:val="decimal"/>
      <w:start w:val="1"/>
    </w:lvl>
  </w:abstractNum>
  <w:abstractNum w:abstractNumId="85">
    <w:nsid w:val="1849C29B"/>
    <w:multiLevelType w:val="hybridMultilevel"/>
    <w:lvl w:ilvl="0">
      <w:lvlJc w:val="left"/>
      <w:lvlText w:val="(%1)"/>
      <w:numFmt w:val="decimal"/>
      <w:start w:val="9"/>
    </w:lvl>
  </w:abstractNum>
  <w:abstractNum w:abstractNumId="86">
    <w:nsid w:val="7DFF9D09"/>
    <w:multiLevelType w:val="hybridMultilevel"/>
    <w:lvl w:ilvl="0">
      <w:lvlJc w:val="left"/>
      <w:lvlText w:val="(%1)"/>
      <w:numFmt w:val="lowerLetter"/>
      <w:start w:val="1"/>
    </w:lvl>
    <w:lvl w:ilvl="1">
      <w:lvlJc w:val="left"/>
      <w:lvlText w:val="(%2)"/>
      <w:numFmt w:val="decimal"/>
      <w:start w:val="1"/>
    </w:lvl>
  </w:abstractNum>
  <w:abstractNum w:abstractNumId="87">
    <w:nsid w:val="754342"/>
    <w:multiLevelType w:val="hybridMultilevel"/>
    <w:lvl w:ilvl="0">
      <w:lvlJc w:val="left"/>
      <w:lvlText w:val="%1"/>
      <w:numFmt w:val="decimal"/>
      <w:start w:val="1"/>
    </w:lvl>
    <w:lvl w:ilvl="1">
      <w:lvlJc w:val="left"/>
      <w:lvlText w:val="(%2)"/>
      <w:numFmt w:val="lowerLetter"/>
      <w:start w:val="2"/>
    </w:lvl>
  </w:abstractNum>
  <w:abstractNum w:abstractNumId="88">
    <w:nsid w:val="69E7F3E5"/>
    <w:multiLevelType w:val="hybridMultilevel"/>
    <w:lvl w:ilvl="0">
      <w:lvlJc w:val="left"/>
      <w:lvlText w:val="(%1)"/>
      <w:numFmt w:val="decimal"/>
      <w:start w:val="1"/>
    </w:lvl>
    <w:lvl w:ilvl="1">
      <w:lvlJc w:val="left"/>
      <w:lvlText w:val="%2"/>
      <w:numFmt w:val="lowerLetter"/>
      <w:start w:val="1"/>
    </w:lvl>
  </w:abstractNum>
  <w:abstractNum w:abstractNumId="89">
    <w:nsid w:val="2A6DE806"/>
    <w:multiLevelType w:val="hybridMultilevel"/>
    <w:lvl w:ilvl="0">
      <w:lvlJc w:val="left"/>
      <w:lvlText w:val="(%1)"/>
      <w:numFmt w:val="lowerLetter"/>
      <w:start w:val="6"/>
    </w:lvl>
  </w:abstractNum>
  <w:abstractNum w:abstractNumId="90">
    <w:nsid w:val="1816F8C4"/>
    <w:multiLevelType w:val="hybridMultilevel"/>
    <w:lvl w:ilvl="0">
      <w:lvlJc w:val="left"/>
      <w:lvlText w:val="(%1)"/>
      <w:numFmt w:val="lowerLetter"/>
      <w:start w:val="1"/>
    </w:lvl>
  </w:abstractNum>
  <w:abstractNum w:abstractNumId="91">
    <w:nsid w:val="37DF2233"/>
    <w:multiLevelType w:val="hybridMultilevel"/>
    <w:lvl w:ilvl="0">
      <w:lvlJc w:val="left"/>
      <w:lvlText w:val="(%1)"/>
      <w:numFmt w:val="lowerLetter"/>
      <w:start w:val="1"/>
    </w:lvl>
    <w:lvl w:ilvl="1">
      <w:lvlJc w:val="left"/>
      <w:lvlText w:val="(%2)"/>
      <w:numFmt w:val="decimal"/>
      <w:start w:val="1"/>
    </w:lvl>
  </w:abstractNum>
  <w:abstractNum w:abstractNumId="92">
    <w:nsid w:val="7AB49DAF"/>
    <w:multiLevelType w:val="hybridMultilevel"/>
    <w:lvl w:ilvl="0">
      <w:lvlJc w:val="left"/>
      <w:lvlText w:val="(%1)"/>
      <w:numFmt w:val="lowerRoman"/>
      <w:start w:val="1"/>
    </w:lvl>
    <w:lvl w:ilvl="1">
      <w:lvlJc w:val="left"/>
      <w:lvlText w:val="(%2)"/>
      <w:numFmt w:val="upperLetter"/>
      <w:start w:val="1"/>
    </w:lvl>
  </w:abstractNum>
  <w:abstractNum w:abstractNumId="93">
    <w:nsid w:val="759F82C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94">
    <w:nsid w:val="61E74EA3"/>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95">
    <w:nsid w:val="597B4D84"/>
    <w:multiLevelType w:val="hybridMultilevel"/>
    <w:lvl w:ilvl="0">
      <w:lvlJc w:val="left"/>
      <w:lvlText w:val="(%1)"/>
      <w:numFmt w:val="decimal"/>
      <w:start w:val="3"/>
    </w:lvl>
  </w:abstractNum>
  <w:abstractNum w:abstractNumId="96">
    <w:nsid w:val="F819E7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9"/>
    </w:lvl>
  </w:abstractNum>
  <w:abstractNum w:abstractNumId="97">
    <w:nsid w:val="57C7D42D"/>
    <w:multiLevelType w:val="hybridMultilevel"/>
    <w:lvl w:ilvl="0">
      <w:lvlJc w:val="left"/>
      <w:lvlText w:val="(%1)"/>
      <w:numFmt w:val="lowerLetter"/>
      <w:start w:val="35"/>
    </w:lvl>
    <w:lvl w:ilvl="1">
      <w:lvlJc w:val="left"/>
      <w:lvlText w:val="(%2)"/>
      <w:numFmt w:val="lowerLetter"/>
      <w:start w:val="3"/>
    </w:lvl>
    <w:lvl w:ilvl="2">
      <w:lvlJc w:val="left"/>
      <w:lvlText w:val="%3"/>
      <w:numFmt w:val="decimal"/>
      <w:start w:val="1"/>
    </w:lvl>
  </w:abstractNum>
  <w:abstractNum w:abstractNumId="98">
    <w:nsid w:val="312167AD"/>
    <w:multiLevelType w:val="hybridMultilevel"/>
    <w:lvl w:ilvl="0">
      <w:lvlJc w:val="left"/>
      <w:lvlText w:val="(%1)"/>
      <w:numFmt w:val="lowerLetter"/>
      <w:start w:val="1"/>
    </w:lvl>
    <w:lvl w:ilvl="1">
      <w:lvlJc w:val="left"/>
      <w:lvlText w:val="(%2)"/>
      <w:numFmt w:val="decimal"/>
      <w:start w:val="1"/>
    </w:lvl>
  </w:abstractNum>
  <w:abstractNum w:abstractNumId="99">
    <w:nsid w:val="631B64D4"/>
    <w:multiLevelType w:val="hybridMultilevel"/>
    <w:lvl w:ilvl="0">
      <w:lvlJc w:val="left"/>
      <w:lvlText w:val="%1"/>
      <w:numFmt w:val="decimal"/>
      <w:start w:val="1"/>
    </w:lvl>
    <w:lvl w:ilvl="1">
      <w:lvlJc w:val="left"/>
      <w:lvlText w:val="(%2)"/>
      <w:numFmt w:val="decimal"/>
      <w:start w:val="5"/>
    </w:lvl>
  </w:abstractNum>
  <w:abstractNum w:abstractNumId="100">
    <w:nsid w:val="78B5E776"/>
    <w:multiLevelType w:val="hybridMultilevel"/>
    <w:lvl w:ilvl="0">
      <w:lvlJc w:val="left"/>
      <w:lvlText w:val="(%1)"/>
      <w:numFmt w:val="decimal"/>
      <w:start w:val="3"/>
    </w:lvl>
    <w:lvl w:ilvl="1">
      <w:lvlJc w:val="left"/>
      <w:lvlText w:val="(%2)"/>
      <w:numFmt w:val="decimal"/>
      <w:start w:val="8"/>
    </w:lvl>
  </w:abstractNum>
  <w:abstractNum w:abstractNumId="101">
    <w:nsid w:val="75486E47"/>
    <w:multiLevelType w:val="hybridMultilevel"/>
    <w:lvl w:ilvl="0">
      <w:lvlJc w:val="left"/>
      <w:lvlText w:val="(%1)"/>
      <w:numFmt w:val="decimal"/>
      <w:start w:val="13"/>
    </w:lvl>
  </w:abstractNum>
  <w:abstractNum w:abstractNumId="102">
    <w:nsid w:val="6E534CDE"/>
    <w:multiLevelType w:val="hybridMultilevel"/>
    <w:lvl w:ilvl="0">
      <w:lvlJc w:val="left"/>
      <w:lvlText w:val="(%1)"/>
      <w:numFmt w:val="decimal"/>
      <w:start w:val="1"/>
    </w:lvl>
  </w:abstractNum>
  <w:abstractNum w:abstractNumId="103">
    <w:nsid w:val="1A0DDE32"/>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abstractNum>
  <w:abstractNum w:abstractNumId="104">
    <w:nsid w:val="65968C1C"/>
    <w:multiLevelType w:val="hybridMultilevel"/>
    <w:lvl w:ilvl="0">
      <w:lvlJc w:val="left"/>
      <w:lvlText w:val="(%1)"/>
      <w:numFmt w:val="upperLetter"/>
      <w:start w:val="2"/>
    </w:lvl>
    <w:lvl w:ilvl="1">
      <w:lvlJc w:val="left"/>
      <w:lvlText w:val="(%2)"/>
      <w:numFmt w:val="decimal"/>
      <w:start w:val="2"/>
    </w:lvl>
  </w:abstractNum>
  <w:abstractNum w:abstractNumId="105">
    <w:nsid w:val="46263DEC"/>
    <w:multiLevelType w:val="hybridMultilevel"/>
    <w:lvl w:ilvl="0">
      <w:lvlJc w:val="left"/>
      <w:lvlText w:val="(%1)"/>
      <w:numFmt w:val="decimal"/>
      <w:start w:val="7"/>
    </w:lvl>
    <w:lvl w:ilvl="1">
      <w:lvlJc w:val="left"/>
      <w:lvlText w:val="(%2)"/>
      <w:numFmt w:val="upperLetter"/>
      <w:start w:val="1"/>
    </w:lvl>
  </w:abstractNum>
  <w:abstractNum w:abstractNumId="106">
    <w:nsid w:val="260D8C4A"/>
    <w:multiLevelType w:val="hybridMultilevel"/>
    <w:lvl w:ilvl="0">
      <w:lvlJc w:val="left"/>
      <w:lvlText w:val="(%1)"/>
      <w:numFmt w:val="upperLetter"/>
      <w:start w:val="2"/>
    </w:lvl>
  </w:abstractNum>
  <w:abstractNum w:abstractNumId="107">
    <w:nsid w:val="73D4D3C4"/>
    <w:multiLevelType w:val="hybridMultilevel"/>
    <w:lvl w:ilvl="0">
      <w:lvlJc w:val="left"/>
      <w:lvlText w:val="(%1)"/>
      <w:numFmt w:val="decimal"/>
      <w:start w:val="8"/>
    </w:lvl>
    <w:lvl w:ilvl="1">
      <w:lvlJc w:val="left"/>
      <w:lvlText w:val="(%2)"/>
      <w:numFmt w:val="upperLetter"/>
      <w:start w:val="1"/>
    </w:lvl>
  </w:abstractNum>
  <w:abstractNum w:abstractNumId="108">
    <w:nsid w:val="746F2E30"/>
    <w:multiLevelType w:val="hybridMultilevel"/>
    <w:lvl w:ilvl="0">
      <w:lvlJc w:val="left"/>
      <w:lvlText w:val="%1"/>
      <w:numFmt w:val="decimal"/>
      <w:start w:val="1"/>
    </w:lvl>
    <w:lvl w:ilvl="1">
      <w:lvlJc w:val="left"/>
      <w:lvlText w:val="(%2)"/>
      <w:numFmt w:val="upperLetter"/>
      <w:start w:val="2"/>
    </w:lvl>
  </w:abstractNum>
  <w:abstractNum w:abstractNumId="109">
    <w:nsid w:val="6FDE8AF6"/>
    <w:multiLevelType w:val="hybridMultilevel"/>
    <w:lvl w:ilvl="0">
      <w:lvlJc w:val="left"/>
      <w:lvlText w:val="(%1)"/>
      <w:numFmt w:val="decimal"/>
      <w:start w:val="16"/>
    </w:lvl>
    <w:lvl w:ilvl="1">
      <w:lvlJc w:val="left"/>
      <w:lvlText w:val="%2"/>
      <w:numFmt w:val="upperLetter"/>
      <w:start w:val="1"/>
    </w:lvl>
  </w:abstractNum>
  <w:abstractNum w:abstractNumId="110">
    <w:nsid w:val="3FC32E20"/>
    <w:multiLevelType w:val="hybridMultilevel"/>
    <w:lvl w:ilvl="0">
      <w:lvlJc w:val="left"/>
      <w:lvlText w:val="(%1)"/>
      <w:numFmt w:val="decimal"/>
      <w:start w:val="22"/>
    </w:lvl>
  </w:abstractNum>
  <w:abstractNum w:abstractNumId="111">
    <w:nsid w:val="49C0E823"/>
    <w:multiLevelType w:val="hybridMultilevel"/>
    <w:lvl w:ilvl="0">
      <w:lvlJc w:val="left"/>
      <w:lvlText w:val="(%1)"/>
      <w:numFmt w:val="decimal"/>
      <w:start w:val="1"/>
    </w:lvl>
  </w:abstractNum>
  <w:abstractNum w:abstractNumId="112">
    <w:nsid w:val="14D53685"/>
    <w:multiLevelType w:val="hybridMultilevel"/>
    <w:lvl w:ilvl="0">
      <w:lvlJc w:val="left"/>
      <w:lvlText w:val="(%1)"/>
      <w:numFmt w:val="decimal"/>
      <w:start w:val="2"/>
    </w:lvl>
    <w:lvl w:ilvl="1">
      <w:lvlJc w:val="left"/>
      <w:lvlText w:val="(%2)"/>
      <w:numFmt w:val="upperLetter"/>
      <w:start w:val="1"/>
    </w:lvl>
  </w:abstractNum>
  <w:abstractNum w:abstractNumId="113">
    <w:nsid w:val="230F856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4">
    <w:nsid w:val="6EAA85FB"/>
    <w:multiLevelType w:val="hybridMultilevel"/>
    <w:lvl w:ilvl="0">
      <w:lvlJc w:val="left"/>
      <w:lvlText w:val="(%1)"/>
      <w:numFmt w:val="lowerLetter"/>
      <w:start w:val="2"/>
    </w:lvl>
    <w:lvl w:ilvl="1">
      <w:lvlJc w:val="left"/>
      <w:lvlText w:val="(%2)"/>
      <w:numFmt w:val="decimal"/>
      <w:start w:val="1"/>
    </w:lvl>
  </w:abstractNum>
  <w:abstractNum w:abstractNumId="115">
    <w:nsid w:val="3F06ECB2"/>
    <w:multiLevelType w:val="hybridMultilevel"/>
    <w:lvl w:ilvl="0">
      <w:lvlJc w:val="left"/>
      <w:lvlText w:val="(%1)"/>
      <w:numFmt w:val="lowerLetter"/>
      <w:start w:val="3"/>
    </w:lvl>
  </w:abstractNum>
  <w:abstractNum w:abstractNumId="116">
    <w:nsid w:val="3B594807"/>
    <w:multiLevelType w:val="hybridMultilevel"/>
    <w:lvl w:ilvl="0">
      <w:lvlJc w:val="left"/>
      <w:lvlText w:val="(%1)"/>
      <w:numFmt w:val="lowerLetter"/>
      <w:start w:val="1"/>
    </w:lvl>
    <w:lvl w:ilvl="1">
      <w:lvlJc w:val="left"/>
      <w:lvlText w:val="(%2)"/>
      <w:numFmt w:val="decimal"/>
      <w:start w:val="1"/>
    </w:lvl>
  </w:abstractNum>
  <w:abstractNum w:abstractNumId="117">
    <w:nsid w:val="6CAA2304"/>
    <w:multiLevelType w:val="hybridMultilevel"/>
    <w:lvl w:ilvl="0">
      <w:lvlJc w:val="left"/>
      <w:lvlText w:val="%1"/>
      <w:numFmt w:val="lowerLetter"/>
      <w:start w:val="1"/>
    </w:lvl>
    <w:lvl w:ilvl="1">
      <w:lvlJc w:val="left"/>
      <w:lvlText w:val="(%2)"/>
      <w:numFmt w:val="decimal"/>
      <w:start w:val="2"/>
    </w:lvl>
  </w:abstractNum>
  <w:abstractNum w:abstractNumId="118">
    <w:nsid w:val="3F7C2FF4"/>
    <w:multiLevelType w:val="hybridMultilevel"/>
    <w:lvl w:ilvl="0">
      <w:lvlJc w:val="left"/>
      <w:lvlText w:val="(%1)"/>
      <w:numFmt w:val="lowerLetter"/>
      <w:start w:val="2"/>
    </w:lvl>
    <w:lvl w:ilvl="1">
      <w:lvlJc w:val="left"/>
      <w:lvlText w:val="(%2)"/>
      <w:numFmt w:val="decimal"/>
      <w:start w:val="1"/>
    </w:lvl>
  </w:abstractNum>
  <w:abstractNum w:abstractNumId="119">
    <w:nsid w:val="25413BEC"/>
    <w:multiLevelType w:val="hybridMultilevel"/>
    <w:lvl w:ilvl="0">
      <w:lvlJc w:val="left"/>
      <w:lvlText w:val="(%1)"/>
      <w:numFmt w:val="decimal"/>
      <w:start w:val="9"/>
    </w:lvl>
  </w:abstractNum>
  <w:abstractNum w:abstractNumId="120">
    <w:nsid w:val="17180B0B"/>
    <w:multiLevelType w:val="hybridMultilevel"/>
    <w:lvl w:ilvl="0">
      <w:lvlJc w:val="left"/>
      <w:lvlText w:val="(%1)"/>
      <w:numFmt w:val="decimal"/>
      <w:start w:val="17"/>
    </w:lvl>
  </w:abstractNum>
  <w:abstractNum w:abstractNumId="121">
    <w:nsid w:val="579328B9"/>
    <w:multiLevelType w:val="hybridMultilevel"/>
    <w:lvl w:ilvl="0">
      <w:lvlJc w:val="left"/>
      <w:lvlText w:val="(%1)"/>
      <w:numFmt w:val="decimal"/>
      <w:start w:val="1"/>
    </w:lvl>
  </w:abstractNum>
  <w:abstractNum w:abstractNumId="122">
    <w:nsid w:val="5D205E20"/>
    <w:multiLevelType w:val="hybridMultilevel"/>
    <w:lvl w:ilvl="0">
      <w:lvlJc w:val="left"/>
      <w:lvlText w:val="(%1)"/>
      <w:numFmt w:val="lowerLetter"/>
      <w:start w:val="1"/>
    </w:lvl>
    <w:lvl w:ilvl="1">
      <w:lvlJc w:val="left"/>
      <w:lvlText w:val="(%2)"/>
      <w:numFmt w:val="decimal"/>
      <w:start w:val="1"/>
    </w:lvl>
  </w:abstractNum>
  <w:abstractNum w:abstractNumId="123">
    <w:nsid w:val="11CCA8BA"/>
    <w:multiLevelType w:val="hybridMultilevel"/>
    <w:lvl w:ilvl="0">
      <w:lvlJc w:val="left"/>
      <w:lvlText w:val="(%1)"/>
      <w:numFmt w:val="decimal"/>
      <w:start w:val="3"/>
    </w:lvl>
  </w:abstractNum>
  <w:abstractNum w:abstractNumId="124">
    <w:nsid w:val="4D32AB86"/>
    <w:multiLevelType w:val="hybridMultilevel"/>
    <w:lvl w:ilvl="0">
      <w:lvlJc w:val="left"/>
      <w:lvlText w:val="(%1)"/>
      <w:numFmt w:val="lowerLetter"/>
      <w:start w:val="2"/>
    </w:lvl>
    <w:lvl w:ilvl="1">
      <w:lvlJc w:val="left"/>
      <w:lvlText w:val="(%2)"/>
      <w:numFmt w:val="decimal"/>
      <w:start w:val="1"/>
    </w:lvl>
  </w:abstractNum>
  <w:abstractNum w:abstractNumId="125">
    <w:nsid w:val="3F07ACC3"/>
    <w:multiLevelType w:val="hybridMultilevel"/>
    <w:lvl w:ilvl="0">
      <w:lvlJc w:val="left"/>
      <w:lvlText w:val="(%1)"/>
      <w:numFmt w:val="lowerLetter"/>
      <w:start w:val="5"/>
    </w:lvl>
  </w:abstractNum>
  <w:abstractNum w:abstractNumId="126">
    <w:nsid w:val="6B47F63E"/>
    <w:multiLevelType w:val="hybridMultilevel"/>
    <w:lvl w:ilvl="0">
      <w:lvlJc w:val="left"/>
      <w:lvlText w:val="(%1)"/>
      <w:numFmt w:val="lowerLetter"/>
      <w:start w:val="1"/>
    </w:lvl>
  </w:abstractNum>
  <w:abstractNum w:abstractNumId="127">
    <w:nsid w:val="5CB44A05"/>
    <w:multiLevelType w:val="hybridMultilevel"/>
    <w:lvl w:ilvl="0">
      <w:lvlJc w:val="left"/>
      <w:lvlText w:val="(%1)"/>
      <w:numFmt w:val="lowerLetter"/>
      <w:start w:val="6"/>
    </w:lvl>
  </w:abstractNum>
  <w:abstractNum w:abstractNumId="128">
    <w:nsid w:val="16CF80F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9">
    <w:nsid w:val="1C695DEC"/>
    <w:multiLevelType w:val="hybridMultilevel"/>
    <w:lvl w:ilvl="0">
      <w:lvlJc w:val="left"/>
      <w:lvlText w:val="(%1)"/>
      <w:numFmt w:val="lowerLetter"/>
      <w:start w:val="2"/>
    </w:lvl>
  </w:abstractNum>
  <w:abstractNum w:abstractNumId="130">
    <w:nsid w:val="3FCFAED9"/>
    <w:multiLevelType w:val="hybridMultilevel"/>
    <w:lvl w:ilvl="0">
      <w:lvlJc w:val="left"/>
      <w:lvlText w:val="(%1)"/>
      <w:numFmt w:val="lowerLetter"/>
      <w:start w:val="1"/>
    </w:lvl>
    <w:lvl w:ilvl="1">
      <w:lvlJc w:val="left"/>
      <w:lvlText w:val="(%2)"/>
      <w:numFmt w:val="decimal"/>
      <w:start w:val="1"/>
    </w:lvl>
  </w:abstractNum>
  <w:abstractNum w:abstractNumId="131">
    <w:nsid w:val="F856867"/>
    <w:multiLevelType w:val="hybridMultilevel"/>
    <w:lvl w:ilvl="0">
      <w:lvlJc w:val="left"/>
      <w:lvlText w:val="(%1)"/>
      <w:numFmt w:val="upperLetter"/>
      <w:start w:val="1"/>
    </w:lvl>
  </w:abstractNum>
  <w:abstractNum w:abstractNumId="132">
    <w:nsid w:val="11B1CC33"/>
    <w:multiLevelType w:val="hybridMultilevel"/>
    <w:lvl w:ilvl="0">
      <w:lvlJc w:val="left"/>
      <w:lvlText w:val="(%1)"/>
      <w:numFmt w:val="decimal"/>
      <w:start w:val="6"/>
    </w:lvl>
    <w:lvl w:ilvl="1">
      <w:lvlJc w:val="left"/>
      <w:lvlText w:val="(%2)"/>
      <w:numFmt w:val="upperLetter"/>
      <w:start w:val="1"/>
    </w:lvl>
  </w:abstractNum>
  <w:abstractNum w:abstractNumId="133">
    <w:nsid w:val="2E22FBB7"/>
    <w:multiLevelType w:val="hybridMultilevel"/>
    <w:lvl w:ilvl="0">
      <w:lvlJc w:val="left"/>
      <w:lvlText w:val="%1"/>
      <w:numFmt w:val="decimal"/>
      <w:start w:val="1"/>
    </w:lvl>
    <w:lvl w:ilvl="1">
      <w:lvlJc w:val="left"/>
      <w:lvlText w:val="(%2)"/>
      <w:numFmt w:val="upperLetter"/>
      <w:start w:val="5"/>
    </w:lvl>
  </w:abstractNum>
  <w:abstractNum w:abstractNumId="134">
    <w:nsid w:val="29934699"/>
    <w:multiLevelType w:val="hybridMultilevel"/>
    <w:lvl w:ilvl="0">
      <w:lvlJc w:val="left"/>
      <w:lvlText w:val="(%1)"/>
      <w:numFmt w:val="decimal"/>
      <w:start w:val="9"/>
    </w:lvl>
    <w:lvl w:ilvl="1">
      <w:lvlJc w:val="left"/>
      <w:lvlText w:val="(%2)"/>
      <w:numFmt w:val="upperLetter"/>
      <w:start w:val="1"/>
    </w:lvl>
  </w:abstractNum>
  <w:abstractNum w:abstractNumId="135">
    <w:nsid w:val="77485850"/>
    <w:multiLevelType w:val="hybridMultilevel"/>
    <w:lvl w:ilvl="0">
      <w:lvlJc w:val="left"/>
      <w:lvlText w:val="(%1)"/>
      <w:numFmt w:val="lowerLetter"/>
      <w:start w:val="2"/>
    </w:lvl>
    <w:lvl w:ilvl="1">
      <w:lvlJc w:val="left"/>
      <w:lvlText w:val="(%2)"/>
      <w:numFmt w:val="decimal"/>
      <w:start w:val="1"/>
    </w:lvl>
  </w:abstractNum>
  <w:abstractNum w:abstractNumId="136">
    <w:nsid w:val="744939A3"/>
    <w:multiLevelType w:val="hybridMultilevel"/>
    <w:lvl w:ilvl="0">
      <w:lvlJc w:val="left"/>
      <w:lvlText w:val="(%1)"/>
      <w:numFmt w:val="decimal"/>
      <w:start w:val="1"/>
    </w:lvl>
  </w:abstractNum>
  <w:abstractNum w:abstractNumId="137">
    <w:nsid w:val="4FA0D2E3"/>
    <w:multiLevelType w:val="hybridMultilevel"/>
    <w:lvl w:ilvl="0">
      <w:lvlJc w:val="left"/>
      <w:lvlText w:val="(%1)"/>
      <w:numFmt w:val="lowerLetter"/>
      <w:start w:val="1"/>
    </w:lvl>
  </w:abstractNum>
  <w:abstractNum w:abstractNumId="138">
    <w:nsid w:val="6B1D2C14"/>
    <w:multiLevelType w:val="hybridMultilevel"/>
    <w:lvl w:ilvl="0">
      <w:lvlJc w:val="left"/>
      <w:lvlText w:val="%1"/>
      <w:numFmt w:val="lowerLetter"/>
      <w:start w:val="1"/>
    </w:lvl>
    <w:lvl w:ilvl="1">
      <w:lvlJc w:val="left"/>
      <w:lvlText w:val="(%2)"/>
      <w:numFmt w:val="decimal"/>
      <w:start w:val="1"/>
    </w:lvl>
  </w:abstractNum>
  <w:abstractNum w:abstractNumId="139">
    <w:nsid w:val="68B867D3"/>
    <w:multiLevelType w:val="hybridMultilevel"/>
    <w:lvl w:ilvl="0">
      <w:lvlJc w:val="left"/>
      <w:lvlText w:val="(%1)"/>
      <w:numFmt w:val="lowerLetter"/>
      <w:start w:val="3"/>
    </w:lvl>
    <w:lvl w:ilvl="1">
      <w:lvlJc w:val="left"/>
      <w:lvlText w:val="(%2)"/>
      <w:numFmt w:val="decimal"/>
      <w:start w:val="1"/>
    </w:lvl>
  </w:abstractNum>
  <w:abstractNum w:abstractNumId="140">
    <w:nsid w:val="3F7F5DD9"/>
    <w:multiLevelType w:val="hybridMultilevel"/>
    <w:lvl w:ilvl="0">
      <w:lvlJc w:val="left"/>
      <w:lvlText w:val="(%1)"/>
      <w:numFmt w:val="lowerLetter"/>
      <w:start w:val="1"/>
    </w:lvl>
  </w:abstractNum>
  <w:abstractNum w:abstractNumId="141">
    <w:nsid w:val="2AE05A34"/>
    <w:multiLevelType w:val="hybridMultilevel"/>
    <w:lvl w:ilvl="0">
      <w:lvlJc w:val="left"/>
      <w:lvlText w:val="(%1)"/>
      <w:numFmt w:val="lowerLetter"/>
      <w:start w:val="3"/>
    </w:lvl>
  </w:abstractNum>
  <w:abstractNum w:abstractNumId="142">
    <w:nsid w:val="32794FF7"/>
    <w:multiLevelType w:val="hybridMultilevel"/>
    <w:lvl w:ilvl="0">
      <w:lvlJc w:val="left"/>
      <w:lvlText w:val="(%1)"/>
      <w:numFmt w:val="lowerRoman"/>
      <w:start w:val="6"/>
    </w:lvl>
    <w:lvl w:ilvl="1">
      <w:lvlJc w:val="left"/>
      <w:lvlText w:val="(%2)"/>
      <w:numFmt w:val="lowerLetter"/>
      <w:start w:val="10"/>
    </w:lvl>
  </w:abstractNum>
  <w:abstractNum w:abstractNumId="143">
    <w:nsid w:val="5454945E"/>
    <w:multiLevelType w:val="hybridMultilevel"/>
    <w:lvl w:ilvl="0">
      <w:lvlJc w:val="left"/>
      <w:lvlText w:val="(%1)"/>
      <w:numFmt w:val="lowerLetter"/>
      <w:start w:val="12"/>
    </w:lvl>
  </w:abstractNum>
  <w:abstractNum w:abstractNumId="144">
    <w:nsid w:val="4DEFDFA0"/>
    <w:multiLevelType w:val="hybridMultilevel"/>
    <w:lvl w:ilvl="0">
      <w:lvlJc w:val="left"/>
      <w:lvlText w:val="(%1)"/>
      <w:numFmt w:val="lowerLetter"/>
      <w:start w:val="1"/>
    </w:lvl>
  </w:abstractNum>
  <w:abstractNum w:abstractNumId="145">
    <w:nsid w:val="2123D5F2"/>
    <w:multiLevelType w:val="hybridMultilevel"/>
    <w:lvl w:ilvl="0">
      <w:lvlJc w:val="left"/>
      <w:lvlText w:val="(%1)"/>
      <w:numFmt w:val="lowerLetter"/>
      <w:start w:val="3"/>
    </w:lvl>
  </w:abstractNum>
  <w:abstractNum w:abstractNumId="146">
    <w:nsid w:val="135B8110"/>
    <w:multiLevelType w:val="hybridMultilevel"/>
    <w:lvl w:ilvl="0">
      <w:lvlJc w:val="left"/>
      <w:lvlText w:val="(%1)"/>
      <w:numFmt w:val="lowerLetter"/>
      <w:start w:val="1"/>
    </w:lvl>
    <w:lvl w:ilvl="1">
      <w:lvlJc w:val="left"/>
      <w:lvlText w:val="(%2)"/>
      <w:numFmt w:val="decimal"/>
      <w:start w:val="1"/>
    </w:lvl>
  </w:abstractNum>
  <w:abstractNum w:abstractNumId="147">
    <w:nsid w:val="94927A8"/>
    <w:multiLevelType w:val="hybridMultilevel"/>
    <w:lvl w:ilvl="0">
      <w:lvlJc w:val="left"/>
      <w:lvlText w:val="(%1)"/>
      <w:numFmt w:val="lowerLetter"/>
      <w:start w:val="4"/>
    </w:lvl>
  </w:abstractNum>
  <w:abstractNum w:abstractNumId="148">
    <w:nsid w:val="DCDF8F6"/>
    <w:multiLevelType w:val="hybridMultilevel"/>
    <w:lvl w:ilvl="0">
      <w:lvlJc w:val="left"/>
      <w:lvlText w:val="(%1)"/>
      <w:numFmt w:val="decimal"/>
      <w:start w:val="1"/>
    </w:lvl>
  </w:abstractNum>
  <w:abstractNum w:abstractNumId="149">
    <w:nsid w:val="52D7B105"/>
    <w:multiLevelType w:val="hybridMultilevel"/>
    <w:lvl w:ilvl="0">
      <w:lvlJc w:val="left"/>
      <w:lvlText w:val="(%1)"/>
      <w:numFmt w:val="decimal"/>
      <w:start w:val="1"/>
    </w:lvl>
  </w:abstractNum>
  <w:abstractNum w:abstractNumId="150">
    <w:nsid w:val="2E8A6394"/>
    <w:multiLevelType w:val="hybridMultilevel"/>
    <w:lvl w:ilvl="0">
      <w:lvlJc w:val="left"/>
      <w:lvlText w:val="(%1)"/>
      <w:numFmt w:val="decimal"/>
      <w:start w:val="2"/>
    </w:lvl>
    <w:lvl w:ilvl="1">
      <w:lvlJc w:val="left"/>
      <w:lvlText w:val="(%2)"/>
      <w:numFmt w:val="upperLetter"/>
      <w:start w:val="1"/>
    </w:lvl>
  </w:abstractNum>
  <w:abstractNum w:abstractNumId="151">
    <w:nsid w:val="24E60401"/>
    <w:multiLevelType w:val="hybridMultilevel"/>
    <w:lvl w:ilvl="0">
      <w:lvlJc w:val="left"/>
      <w:lvlText w:val="(%1)"/>
      <w:numFmt w:val="decimal"/>
      <w:start w:val="3"/>
    </w:lvl>
  </w:abstractNum>
  <w:abstractNum w:abstractNumId="152">
    <w:nsid w:val="2A6AD9BE"/>
    <w:multiLevelType w:val="hybridMultilevel"/>
    <w:lvl w:ilvl="0">
      <w:lvlJc w:val="left"/>
      <w:lvlText w:val="(%1)"/>
      <w:numFmt w:val="decimal"/>
      <w:start w:val="1"/>
    </w:lvl>
  </w:abstractNum>
  <w:abstractNum w:abstractNumId="153">
    <w:nsid w:val="BAAC1B4"/>
    <w:multiLevelType w:val="hybridMultilevel"/>
    <w:lvl w:ilvl="0">
      <w:lvlJc w:val="left"/>
      <w:lvlText w:val="(%1)"/>
      <w:numFmt w:val="decimal"/>
      <w:start w:val="4"/>
    </w:lvl>
    <w:lvl w:ilvl="1">
      <w:lvlJc w:val="left"/>
      <w:lvlText w:val="(%2)"/>
      <w:numFmt w:val="upperLetter"/>
      <w:start w:val="1"/>
    </w:lvl>
  </w:abstractNum>
  <w:abstractNum w:abstractNumId="154">
    <w:nsid w:val="36B2ACBC"/>
    <w:multiLevelType w:val="hybridMultilevel"/>
    <w:lvl w:ilvl="0">
      <w:lvlJc w:val="left"/>
      <w:lvlText w:val="(%1)"/>
      <w:numFmt w:val="decimal"/>
      <w:start w:val="1"/>
    </w:lvl>
  </w:abstractNum>
  <w:abstractNum w:abstractNumId="155">
    <w:nsid w:val="779D8544"/>
    <w:multiLevelType w:val="hybridMultilevel"/>
    <w:lvl w:ilvl="0">
      <w:lvlJc w:val="left"/>
      <w:lvlText w:val="(%1)"/>
      <w:numFmt w:val="decimal"/>
      <w:start w:val="6"/>
    </w:lvl>
  </w:abstractNum>
  <w:abstractNum w:abstractNumId="156">
    <w:nsid w:val="4AB26E78"/>
    <w:multiLevelType w:val="hybridMultilevel"/>
    <w:lvl w:ilvl="0">
      <w:lvlJc w:val="left"/>
      <w:lvlText w:val="(%1)"/>
      <w:numFmt w:val="lowerLetter"/>
      <w:start w:val="1"/>
    </w:lvl>
    <w:lvl w:ilvl="1">
      <w:lvlJc w:val="left"/>
      <w:lvlText w:val="(%2)"/>
      <w:numFmt w:val="decimal"/>
      <w:start w:val="1"/>
    </w:lvl>
  </w:abstractNum>
  <w:abstractNum w:abstractNumId="157">
    <w:nsid w:val="21FAA2FA"/>
    <w:multiLevelType w:val="hybridMultilevel"/>
    <w:lvl w:ilvl="0">
      <w:lvlJc w:val="left"/>
      <w:lvlText w:val="(%1)"/>
      <w:numFmt w:val="lowerLetter"/>
      <w:start w:val="2"/>
    </w:lvl>
  </w:abstractNum>
  <w:abstractNum w:abstractNumId="158">
    <w:nsid w:val="5451CF49"/>
    <w:multiLevelType w:val="hybridMultilevel"/>
    <w:lvl w:ilvl="0">
      <w:lvlJc w:val="left"/>
      <w:lvlText w:val="(%1)"/>
      <w:numFmt w:val="lowerLetter"/>
      <w:start w:val="1"/>
    </w:lvl>
  </w:abstractNum>
  <w:abstractNum w:abstractNumId="159">
    <w:nsid w:val="6181EF6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60">
    <w:nsid w:val="3E6400E6"/>
    <w:multiLevelType w:val="hybridMultilevel"/>
    <w:lvl w:ilvl="0">
      <w:lvlJc w:val="left"/>
      <w:lvlText w:val="(%1)"/>
      <w:numFmt w:val="lowerLetter"/>
      <w:start w:val="1"/>
    </w:lvl>
    <w:lvl w:ilvl="1">
      <w:lvlJc w:val="left"/>
      <w:lvlText w:val="(%2)"/>
      <w:numFmt w:val="decimal"/>
      <w:start w:val="1"/>
    </w:lvl>
  </w:abstractNum>
  <w:abstractNum w:abstractNumId="161">
    <w:nsid w:val="14217E23"/>
    <w:multiLevelType w:val="hybridMultilevel"/>
    <w:lvl w:ilvl="0">
      <w:lvlJc w:val="left"/>
      <w:lvlText w:val="%1"/>
      <w:numFmt w:val="lowerLetter"/>
      <w:start w:val="1"/>
    </w:lvl>
    <w:lvl w:ilvl="1">
      <w:lvlJc w:val="left"/>
      <w:lvlText w:val="(%2)"/>
      <w:numFmt w:val="decimal"/>
      <w:start w:val="3"/>
    </w:lvl>
  </w:abstractNum>
  <w:abstractNum w:abstractNumId="162">
    <w:nsid w:val="710757D0"/>
    <w:multiLevelType w:val="hybridMultilevel"/>
    <w:lvl w:ilvl="0">
      <w:lvlJc w:val="left"/>
      <w:lvlText w:val="(%1)"/>
      <w:numFmt w:val="lowerLetter"/>
      <w:start w:val="2"/>
    </w:lvl>
    <w:lvl w:ilvl="1">
      <w:lvlJc w:val="left"/>
      <w:lvlText w:val="%2"/>
      <w:numFmt w:val="decimal"/>
      <w:start w:val="1"/>
    </w:lvl>
  </w:abstractNum>
  <w:abstractNum w:abstractNumId="163">
    <w:nsid w:val="5015CD1A"/>
    <w:multiLevelType w:val="hybridMultilevel"/>
    <w:lvl w:ilvl="0">
      <w:lvlJc w:val="left"/>
      <w:lvlText w:val="(%1)"/>
      <w:numFmt w:val="decimal"/>
      <w:start w:val="1"/>
    </w:lvl>
    <w:lvl w:ilvl="1">
      <w:lvlJc w:val="left"/>
      <w:lvlText w:val="(%2)"/>
      <w:numFmt w:val="lowerLetter"/>
      <w:start w:val="1"/>
    </w:lvl>
  </w:abstractNum>
  <w:abstractNum w:abstractNumId="164">
    <w:nsid w:val="424479DA"/>
    <w:multiLevelType w:val="hybridMultilevel"/>
    <w:lvl w:ilvl="0">
      <w:lvlJc w:val="left"/>
      <w:lvlText w:val="(%1)"/>
      <w:numFmt w:val="decimal"/>
      <w:start w:val="2"/>
    </w:lvl>
  </w:abstractNum>
  <w:abstractNum w:abstractNumId="165">
    <w:nsid w:val="1A9A9E69"/>
    <w:multiLevelType w:val="hybridMultilevel"/>
    <w:lvl w:ilvl="0">
      <w:lvlJc w:val="left"/>
      <w:lvlText w:val="(%1)"/>
      <w:numFmt w:val="lowerLetter"/>
      <w:start w:val="2"/>
    </w:lvl>
  </w:abstractNum>
  <w:abstractNum w:abstractNumId="166">
    <w:nsid w:val="475E256A"/>
    <w:multiLevelType w:val="hybridMultilevel"/>
    <w:lvl w:ilvl="0">
      <w:lvlJc w:val="left"/>
      <w:lvlText w:val="(%1)"/>
      <w:numFmt w:val="decimal"/>
      <w:start w:val="1"/>
    </w:lvl>
  </w:abstractNum>
  <w:abstractNum w:abstractNumId="167">
    <w:nsid w:val="368DB37E"/>
    <w:multiLevelType w:val="hybridMultilevel"/>
    <w:lvl w:ilvl="0">
      <w:lvlJc w:val="left"/>
      <w:lvlText w:val="(%1)"/>
      <w:numFmt w:val="decimal"/>
      <w:start w:val="1"/>
    </w:lvl>
  </w:abstractNum>
  <w:abstractNum w:abstractNumId="168">
    <w:nsid w:val="6A3B714C"/>
    <w:multiLevelType w:val="hybridMultilevel"/>
    <w:lvl w:ilvl="0">
      <w:lvlJc w:val="left"/>
      <w:lvlText w:val="%1."/>
      <w:numFmt w:val="decimal"/>
      <w:start w:val="1"/>
    </w:lvl>
  </w:abstractNum>
  <w:abstractNum w:abstractNumId="169">
    <w:nsid w:val="327B517E"/>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70">
    <w:nsid w:val="1F461B51"/>
    <w:multiLevelType w:val="hybridMultilevel"/>
    <w:lvl w:ilvl="0">
      <w:lvlJc w:val="left"/>
      <w:lvlText w:val="%1."/>
      <w:numFmt w:val="decimal"/>
      <w:start w:val="6"/>
    </w:lvl>
  </w:abstractNum>
  <w:abstractNum w:abstractNumId="171">
    <w:nsid w:val="29BACF25"/>
    <w:multiLevelType w:val="hybridMultilevel"/>
    <w:lvl w:ilvl="0">
      <w:lvlJc w:val="left"/>
      <w:lvlText w:val="%1."/>
      <w:numFmt w:val="decimal"/>
      <w:start w:val="8"/>
    </w:lvl>
  </w:abstractNum>
  <w:abstractNum w:abstractNumId="172">
    <w:nsid w:val="5D5BABB3"/>
    <w:multiLevelType w:val="hybridMultilevel"/>
    <w:lvl w:ilvl="0">
      <w:lvlJc w:val="left"/>
      <w:lvlText w:val="%1."/>
      <w:numFmt w:val="decimal"/>
      <w:start w:val="18"/>
    </w:lvl>
  </w:abstractNum>
  <w:abstractNum w:abstractNumId="173">
    <w:nsid w:val="51BF6B48"/>
    <w:multiLevelType w:val="hybridMultilevel"/>
    <w:lvl w:ilvl="0">
      <w:lvlJc w:val="left"/>
      <w:lvlText w:val="1"/>
      <w:numFmt w:val="bullet"/>
      <w:start w:val="1"/>
    </w:lvl>
  </w:abstractNum>
  <w:abstractNum w:abstractNumId="174">
    <w:nsid w:val="7E0F6384"/>
    <w:multiLevelType w:val="hybridMultilevel"/>
    <w:lvl w:ilvl="0">
      <w:lvlJc w:val="left"/>
      <w:lvlText w:val="%1."/>
      <w:numFmt w:val="decimal"/>
      <w:start w:val="1"/>
    </w:lvl>
  </w:abstractNum>
  <w:abstractNum w:abstractNumId="175">
    <w:nsid w:val="2B4B8B53"/>
    <w:multiLevelType w:val="hybridMultilevel"/>
    <w:lvl w:ilvl="0">
      <w:lvlJc w:val="left"/>
      <w:lvlText w:val="%1."/>
      <w:numFmt w:val="decimal"/>
      <w:start w:val="3"/>
    </w:lvl>
    <w:lvl w:ilvl="1">
      <w:lvlJc w:val="left"/>
      <w:lvlText w:val="(%2)"/>
      <w:numFmt w:val="lowerLetter"/>
      <w:start w:val="1"/>
    </w:lvl>
  </w:abstractNum>
  <w:abstractNum w:abstractNumId="176">
    <w:nsid w:val="72E3413A"/>
    <w:multiLevelType w:val="hybridMultilevel"/>
    <w:lvl w:ilvl="0">
      <w:lvlJc w:val="left"/>
      <w:lvlText w:val="(%1)"/>
      <w:numFmt w:val="lowerLetter"/>
      <w:start w:val="2"/>
    </w:lvl>
  </w:abstractNum>
  <w:abstractNum w:abstractNumId="177">
    <w:nsid w:val="116AE494"/>
    <w:multiLevelType w:val="hybridMultilevel"/>
    <w:lvl w:ilvl="0">
      <w:lvlJc w:val="left"/>
      <w:lvlText w:val="%1"/>
      <w:numFmt w:val="decimal"/>
      <w:start w:val="1"/>
    </w:lvl>
    <w:lvl w:ilvl="1">
      <w:lvlJc w:val="left"/>
      <w:lvlText w:val="(%2)"/>
      <w:numFmt w:val="lowerLetter"/>
      <w:start w:val="4"/>
    </w:lvl>
  </w:abstractNum>
  <w:abstractNum w:abstractNumId="178">
    <w:nsid w:val="3494B2FB"/>
    <w:multiLevelType w:val="hybridMultilevel"/>
    <w:lvl w:ilvl="0">
      <w:lvlJc w:val="left"/>
      <w:lvlText w:val="%1."/>
      <w:numFmt w:val="decimal"/>
      <w:start w:val="4"/>
    </w:lvl>
    <w:lvl w:ilvl="1">
      <w:lvlJc w:val="left"/>
      <w:lvlText w:val="(%2)"/>
      <w:numFmt w:val="lowerLetter"/>
      <w:start w:val="1"/>
    </w:lvl>
  </w:abstractNum>
  <w:abstractNum w:abstractNumId="179">
    <w:nsid w:val="B13A31"/>
    <w:multiLevelType w:val="hybridMultilevel"/>
    <w:lvl w:ilvl="0">
      <w:lvlJc w:val="left"/>
      <w:lvlText w:val="(%1)"/>
      <w:numFmt w:val="lowerLetter"/>
      <w:start w:val="3"/>
    </w:lvl>
  </w:abstractNum>
  <w:abstractNum w:abstractNumId="180">
    <w:nsid w:val="64429599"/>
    <w:multiLevelType w:val="hybridMultilevel"/>
    <w:lvl w:ilvl="0">
      <w:lvlJc w:val="left"/>
      <w:lvlText w:val="%1."/>
      <w:numFmt w:val="decimal"/>
      <w:start w:val="1"/>
    </w:lvl>
  </w:abstractNum>
  <w:abstractNum w:abstractNumId="181">
    <w:nsid w:val="631F169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2">
    <w:nsid w:val="25973E3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3">
    <w:nsid w:val="EAD6F57"/>
    <w:multiLevelType w:val="hybridMultilevel"/>
    <w:lvl w:ilvl="0">
      <w:lvlJc w:val="left"/>
      <w:lvlText w:val="(%1)"/>
      <w:numFmt w:val="lowerLetter"/>
      <w:start w:val="1"/>
    </w:lvl>
  </w:abstractNum>
  <w:abstractNum w:abstractNumId="184">
    <w:nsid w:val="6EC9D844"/>
    <w:multiLevelType w:val="hybridMultilevel"/>
    <w:lvl w:ilvl="0">
      <w:lvlJc w:val="left"/>
      <w:lvlText w:val="%1"/>
      <w:numFmt w:val="lowerLetter"/>
      <w:start w:val="1"/>
    </w:lvl>
    <w:lvl w:ilvl="1">
      <w:lvlJc w:val="left"/>
      <w:lvlText w:val="(%2)"/>
      <w:numFmt w:val="lowerRoman"/>
      <w:start w:val="2"/>
    </w:lvl>
  </w:abstractNum>
  <w:abstractNum w:abstractNumId="185">
    <w:nsid w:val="5C49EAEE"/>
    <w:multiLevelType w:val="hybridMultilevel"/>
    <w:lvl w:ilvl="0">
      <w:lvlJc w:val="left"/>
      <w:lvlText w:val="(%1)"/>
      <w:numFmt w:val="lowerLetter"/>
      <w:start w:val="2"/>
    </w:lvl>
    <w:lvl w:ilvl="1">
      <w:lvlJc w:val="left"/>
      <w:lvlText w:val="%2"/>
      <w:numFmt w:val="lowerRoman"/>
      <w:start w:val="1"/>
    </w:lvl>
  </w:abstractNum>
  <w:abstractNum w:abstractNumId="186">
    <w:nsid w:val="64AF49B"/>
    <w:multiLevelType w:val="hybridMultilevel"/>
    <w:lvl w:ilvl="0">
      <w:lvlJc w:val="left"/>
      <w:lvlText w:val="%1."/>
      <w:numFmt w:val="decimal"/>
      <w:start w:val="1"/>
    </w:lvl>
    <w:lvl w:ilvl="1">
      <w:lvlJc w:val="left"/>
      <w:lvlText w:val="(%2)"/>
      <w:numFmt w:val="lowerLetter"/>
      <w:start w:val="1"/>
    </w:lvl>
  </w:abstractNum>
  <w:abstractNum w:abstractNumId="187">
    <w:nsid w:val="397C46BC"/>
    <w:multiLevelType w:val="hybridMultilevel"/>
    <w:lvl w:ilvl="0">
      <w:lvlJc w:val="left"/>
      <w:lvlText w:val="%1"/>
      <w:numFmt w:val="decimal"/>
      <w:start w:val="1"/>
    </w:lvl>
    <w:lvl w:ilvl="1">
      <w:lvlJc w:val="left"/>
      <w:lvlText w:val="(%2)"/>
      <w:numFmt w:val="lowerLetter"/>
      <w:start w:val="4"/>
    </w:lvl>
  </w:abstractNum>
  <w:abstractNum w:abstractNumId="188">
    <w:nsid w:val="7E448DE9"/>
    <w:multiLevelType w:val="hybridMultilevel"/>
    <w:lvl w:ilvl="0">
      <w:lvlJc w:val="left"/>
      <w:lvlText w:val="%1."/>
      <w:numFmt w:val="decimal"/>
      <w:start w:val="2"/>
    </w:lvl>
    <w:lvl w:ilvl="1">
      <w:lvlJc w:val="left"/>
      <w:lvlText w:val="(%2)"/>
      <w:numFmt w:val="lowerLetter"/>
      <w:start w:val="1"/>
    </w:lvl>
  </w:abstractNum>
  <w:abstractNum w:abstractNumId="189">
    <w:nsid w:val="5A9CC3E5"/>
    <w:multiLevelType w:val="hybridMultilevel"/>
    <w:lvl w:ilvl="0">
      <w:lvlJc w:val="left"/>
      <w:lvlText w:val="(%1)"/>
      <w:numFmt w:val="lowerLetter"/>
      <w:start w:val="1"/>
    </w:lvl>
  </w:abstractNum>
  <w:abstractNum w:abstractNumId="190">
    <w:nsid w:val="1AFE3625"/>
    <w:multiLevelType w:val="hybridMultilevel"/>
    <w:lvl w:ilvl="0">
      <w:lvlJc w:val="left"/>
      <w:lvlText w:val="%1."/>
      <w:numFmt w:val="decimal"/>
      <w:start w:val="1"/>
    </w:lvl>
  </w:abstractNum>
  <w:abstractNum w:abstractNumId="191">
    <w:nsid w:val="3CA88ECF"/>
    <w:multiLevelType w:val="hybridMultilevel"/>
    <w:lvl w:ilvl="0">
      <w:lvlJc w:val="left"/>
      <w:lvlText w:val="%1."/>
      <w:numFmt w:val="decimal"/>
      <w:start w:val="4"/>
    </w:lvl>
  </w:abstractNum>
  <w:abstractNum w:abstractNumId="192">
    <w:nsid w:val="6EBE4208"/>
    <w:multiLevelType w:val="hybridMultilevel"/>
    <w:lvl w:ilvl="0">
      <w:lvlJc w:val="left"/>
      <w:lvlText w:val="%1."/>
      <w:numFmt w:val="decimal"/>
      <w:start w:val="1"/>
    </w:lvl>
  </w:abstractNum>
  <w:abstractNum w:abstractNumId="193">
    <w:nsid w:val="C058DF5"/>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2025-03-28T15:48:50Z</dcterms:created>
  <dcterms:modified xsi:type="dcterms:W3CDTF">2025-03-28T15:48:50Z</dcterms:modified>
</cp:coreProperties>
</file>