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3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3938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Robertson Keith John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2500 BEE CAVE RD., BLD 1 STE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EZCORP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11/17/2021</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7"/>
          <w:szCs w:val="17"/>
          <w:color w:val="0000FF"/>
        </w:rPr>
        <w:t>Chief Information Officer</w:t>
      </w:r>
    </w:p>
    <w:p>
      <w:pPr>
        <w:spacing w:after="0" w:line="308"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600" w:type="dxa"/>
            <w:vAlign w:val="bottom"/>
          </w:tcPr>
          <w:p>
            <w:pPr>
              <w:jc w:val="right"/>
              <w:ind w:right="646"/>
              <w:spacing w:after="0"/>
              <w:rPr>
                <w:sz w:val="20"/>
                <w:szCs w:val="20"/>
                <w:color w:val="auto"/>
              </w:rPr>
            </w:pPr>
            <w:r>
              <w:rPr>
                <w:rFonts w:ascii="Times New Roman" w:cs="Times New Roman" w:eastAsia="Times New Roman" w:hAnsi="Times New Roman"/>
                <w:sz w:val="17"/>
                <w:szCs w:val="17"/>
                <w:color w:val="0000FF"/>
              </w:rPr>
              <w:t>78746</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8,880</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5.03</w:t>
            </w:r>
            <w:r>
              <w:rPr>
                <w:rFonts w:ascii="Times New Roman" w:cs="Times New Roman" w:eastAsia="Times New Roman" w:hAnsi="Times New Roman"/>
                <w:sz w:val="21"/>
                <w:szCs w:val="21"/>
                <w:color w:val="008000"/>
                <w:vertAlign w:val="superscript"/>
              </w:rPr>
              <w:t>(3)</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11/17/2021</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8,880</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139,048</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37,872</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7.71</w:t>
            </w:r>
            <w:r>
              <w:rPr>
                <w:rFonts w:ascii="Times New Roman" w:cs="Times New Roman" w:eastAsia="Times New Roman" w:hAnsi="Times New Roman"/>
                <w:sz w:val="21"/>
                <w:szCs w:val="21"/>
                <w:color w:val="008000"/>
                <w:vertAlign w:val="superscript"/>
              </w:rPr>
              <w:t>(5)</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10/11/2022</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right"/>
              <w:ind w:right="1"/>
              <w:spacing w:after="0" w:line="142" w:lineRule="exact"/>
              <w:rPr>
                <w:sz w:val="20"/>
                <w:szCs w:val="20"/>
                <w:color w:val="auto"/>
              </w:rPr>
            </w:pPr>
            <w:r>
              <w:rPr>
                <w:rFonts w:ascii="Times New Roman" w:cs="Times New Roman" w:eastAsia="Times New Roman" w:hAnsi="Times New Roman"/>
                <w:sz w:val="13"/>
                <w:szCs w:val="13"/>
                <w:color w:val="0000FF"/>
              </w:rPr>
              <w:t>37,872</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176,920</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920"/>
        <w:spacing w:after="0"/>
        <w:rPr>
          <w:sz w:val="20"/>
          <w:szCs w:val="20"/>
          <w:color w:val="auto"/>
        </w:rPr>
      </w:pPr>
      <w:r>
        <w:rPr>
          <w:rFonts w:ascii="Times New Roman" w:cs="Times New Roman" w:eastAsia="Times New Roman" w:hAnsi="Times New Roman"/>
          <w:sz w:val="13"/>
          <w:szCs w:val="13"/>
          <w:color w:val="0000FF"/>
        </w:rPr>
        <w:t>Stock</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4"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2021 Restricted Stock Unit award. These units were earned with achievement of the specified performance goal for fiscal 2021 and vest on September 30, 2023, subject to continued employment.</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2020. However, no consideration was paid for the award other than services rendered and to be rendered by the Reporting Person.</w:t>
      </w:r>
    </w:p>
    <w:p>
      <w:pPr>
        <w:spacing w:after="0" w:line="44" w:lineRule="exact"/>
        <w:rPr>
          <w:rFonts w:ascii="Times New Roman" w:cs="Times New Roman" w:eastAsia="Times New Roman" w:hAnsi="Times New Roman"/>
          <w:sz w:val="13"/>
          <w:szCs w:val="13"/>
          <w:color w:val="008000"/>
        </w:rPr>
      </w:pPr>
    </w:p>
    <w:p>
      <w:pPr>
        <w:ind w:left="40" w:right="4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will vest in whole or in part on September 30, 2025, with 80% being subject to the attainment of specified performance goals in addition to continued employment, and the remaining 20% being subject to continued employment only.</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2022. However, no consideration was paid for the award other than services rendered and to be rendered by the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Carrie Putnam, Attorney-in- </w:t>
      </w:r>
      <w:r>
        <w:rPr>
          <w:rFonts w:ascii="Times New Roman" w:cs="Times New Roman" w:eastAsia="Times New Roman" w:hAnsi="Times New Roman"/>
          <w:sz w:val="33"/>
          <w:szCs w:val="33"/>
          <w:color w:val="0000FF"/>
          <w:vertAlign w:val="subscript"/>
        </w:rPr>
        <w:t>10/13/2022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15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5477"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2022-10-13T10:37:46Z</dcterms:created>
  <dcterms:modified xsi:type="dcterms:W3CDTF">2022-10-13T10:37:46Z</dcterms:modified>
</cp:coreProperties>
</file>