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Brown Stephen Morrison</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200" w:type="dxa"/>
            <w:vAlign w:val="bottom"/>
            <w:tcBorders>
              <w:top w:val="single" w:sz="8" w:color="0000EE"/>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04/14/2014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6"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EZCORP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EZPW</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60" w:lineRule="exact"/>
        <w:rPr>
          <w:sz w:val="24"/>
          <w:szCs w:val="24"/>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(Last)</w:t>
            </w:r>
          </w:p>
        </w:tc>
        <w:tc>
          <w:tcPr>
            <w:tcW w:w="1220" w:type="dxa"/>
            <w:vAlign w:val="bottom"/>
          </w:tcPr>
          <w:p>
            <w:pPr>
              <w:ind w:left="220"/>
              <w:spacing w:after="0"/>
              <w:rPr>
                <w:sz w:val="20"/>
                <w:szCs w:val="20"/>
                <w:color w:val="auto"/>
              </w:rPr>
            </w:pPr>
            <w:r>
              <w:rPr>
                <w:rFonts w:ascii="Arial" w:cs="Arial" w:eastAsia="Arial" w:hAnsi="Arial"/>
                <w:sz w:val="14"/>
                <w:szCs w:val="14"/>
                <w:color w:val="auto"/>
              </w:rPr>
              <w:t>(First)</w:t>
            </w:r>
          </w:p>
        </w:tc>
        <w:tc>
          <w:tcPr>
            <w:tcW w:w="1120" w:type="dxa"/>
            <w:vAlign w:val="bottom"/>
          </w:tcPr>
          <w:p>
            <w:pPr>
              <w:ind w:left="80"/>
              <w:spacing w:after="0"/>
              <w:rPr>
                <w:sz w:val="20"/>
                <w:szCs w:val="20"/>
                <w:color w:val="auto"/>
              </w:rPr>
            </w:pPr>
            <w:r>
              <w:rPr>
                <w:rFonts w:ascii="Arial" w:cs="Arial" w:eastAsia="Arial" w:hAnsi="Arial"/>
                <w:sz w:val="14"/>
                <w:szCs w:val="14"/>
                <w:color w:val="auto"/>
              </w:rPr>
              <w:t>(Middle)</w:t>
            </w:r>
          </w:p>
        </w:tc>
      </w:tr>
      <w:tr>
        <w:trPr>
          <w:trHeight w:val="280"/>
        </w:trPr>
        <w:tc>
          <w:tcPr>
            <w:tcW w:w="20" w:type="dxa"/>
            <w:vAlign w:val="bottom"/>
          </w:tcPr>
          <w:p>
            <w:pPr>
              <w:spacing w:after="0"/>
              <w:rPr>
                <w:sz w:val="24"/>
                <w:szCs w:val="24"/>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8"/>
              </w:rPr>
              <w:t>1901 CAPITAL PARKWAY</w:t>
            </w:r>
          </w:p>
        </w:tc>
        <w:tc>
          <w:tcPr>
            <w:tcW w:w="11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r>
      <w:tr>
        <w:trPr>
          <w:trHeight w:val="272"/>
        </w:trPr>
        <w:tc>
          <w:tcPr>
            <w:tcW w:w="9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AUSTIN</w:t>
            </w: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TX</w:t>
            </w: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78746</w:t>
            </w:r>
          </w:p>
        </w:tc>
      </w:tr>
      <w:tr>
        <w:trPr>
          <w:trHeight w:val="158"/>
        </w:trPr>
        <w:tc>
          <w:tcPr>
            <w:tcW w:w="2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r>
      <w:tr>
        <w:trPr>
          <w:trHeight w:val="312"/>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(City)</w:t>
            </w:r>
          </w:p>
        </w:tc>
        <w:tc>
          <w:tcPr>
            <w:tcW w:w="1220" w:type="dxa"/>
            <w:vAlign w:val="bottom"/>
          </w:tcPr>
          <w:p>
            <w:pPr>
              <w:ind w:left="220"/>
              <w:spacing w:after="0"/>
              <w:rPr>
                <w:sz w:val="20"/>
                <w:szCs w:val="20"/>
                <w:color w:val="auto"/>
              </w:rPr>
            </w:pPr>
            <w:r>
              <w:rPr>
                <w:rFonts w:ascii="Arial" w:cs="Arial" w:eastAsia="Arial" w:hAnsi="Arial"/>
                <w:sz w:val="14"/>
                <w:szCs w:val="14"/>
                <w:color w:val="auto"/>
              </w:rPr>
              <w:t>(State)</w:t>
            </w:r>
          </w:p>
        </w:tc>
        <w:tc>
          <w:tcPr>
            <w:tcW w:w="1120" w:type="dxa"/>
            <w:vAlign w:val="bottom"/>
          </w:tcPr>
          <w:p>
            <w:pPr>
              <w:ind w:left="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50"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6" w:type="dxa"/>
        <w:tblCellMar>
          <w:top w:w="0" w:type="dxa"/>
          <w:left w:w="0" w:type="dxa"/>
          <w:bottom w:w="0" w:type="dxa"/>
          <w:right w:w="0" w:type="dxa"/>
        </w:tblCellMar>
      </w:tblPr>
      <w:tr>
        <w:trPr>
          <w:trHeight w:val="180"/>
        </w:trPr>
        <w:tc>
          <w:tcPr>
            <w:tcW w:w="2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20" w:type="dxa"/>
            <w:vAlign w:val="bottom"/>
            <w:vMerge w:val="continue"/>
          </w:tcPr>
          <w:p>
            <w:pPr>
              <w:spacing w:after="0"/>
              <w:rPr>
                <w:sz w:val="10"/>
                <w:szCs w:val="10"/>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2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26"/>
        <w:spacing w:after="0"/>
        <w:rPr>
          <w:sz w:val="20"/>
          <w:szCs w:val="20"/>
          <w:color w:val="auto"/>
        </w:rPr>
      </w:pPr>
      <w:r>
        <w:rPr>
          <w:rFonts w:ascii="Times New Roman" w:cs="Times New Roman" w:eastAsia="Times New Roman" w:hAnsi="Times New Roman"/>
          <w:sz w:val="18"/>
          <w:szCs w:val="18"/>
          <w:color w:val="0000FF"/>
        </w:rPr>
        <w:t>Chief Accounting Officer</w:t>
      </w:r>
    </w:p>
    <w:p>
      <w:pPr>
        <w:spacing w:after="0" w:line="20" w:lineRule="exact"/>
        <w:rPr>
          <w:sz w:val="24"/>
          <w:szCs w:val="24"/>
          <w:color w:val="auto"/>
        </w:rPr>
      </w:pPr>
      <w:r>
        <w:rPr>
          <w:sz w:val="24"/>
          <w:szCs w:val="24"/>
          <w:color w:val="auto"/>
        </w:rPr>
        <w:br w:type="column"/>
      </w:r>
    </w:p>
    <w:p>
      <w:pPr>
        <w:ind w:left="3" w:right="4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18" w:lineRule="exact"/>
        <w:rPr>
          <w:rFonts w:ascii="Arial" w:cs="Arial" w:eastAsia="Arial" w:hAnsi="Arial"/>
          <w:sz w:val="14"/>
          <w:szCs w:val="14"/>
          <w:color w:val="auto"/>
        </w:rPr>
      </w:pPr>
    </w:p>
    <w:p>
      <w:pPr>
        <w:ind w:left="3" w:right="3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3"/>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484"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90"/>
        </w:trPr>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r>
      <w:tr>
        <w:trPr>
          <w:trHeight w:val="38"/>
        </w:trPr>
        <w:tc>
          <w:tcPr>
            <w:tcW w:w="3440" w:type="dxa"/>
            <w:vAlign w:val="bottom"/>
            <w:tcBorders>
              <w:bottom w:val="single" w:sz="8" w:color="2C2C2C"/>
            </w:tcBorders>
          </w:tcPr>
          <w:p>
            <w:pPr>
              <w:spacing w:after="0"/>
              <w:rPr>
                <w:sz w:val="3"/>
                <w:szCs w:val="3"/>
                <w:color w:val="auto"/>
              </w:rPr>
            </w:pPr>
          </w:p>
        </w:tc>
        <w:tc>
          <w:tcPr>
            <w:tcW w:w="36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336"/>
        </w:trPr>
        <w:tc>
          <w:tcPr>
            <w:tcW w:w="20" w:type="dxa"/>
            <w:vAlign w:val="bottom"/>
            <w:tcBorders>
              <w:bottom w:val="single" w:sz="8" w:color="2C2C2C"/>
            </w:tcBorders>
          </w:tcPr>
          <w:p>
            <w:pPr>
              <w:spacing w:after="0"/>
              <w:rPr>
                <w:sz w:val="24"/>
                <w:szCs w:val="24"/>
                <w:color w:val="auto"/>
              </w:rPr>
            </w:pPr>
          </w:p>
        </w:tc>
        <w:tc>
          <w:tcPr>
            <w:tcW w:w="29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Class A Non-Voting Common Stock</w:t>
            </w:r>
          </w:p>
        </w:tc>
        <w:tc>
          <w:tcPr>
            <w:tcW w:w="6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tcPr>
          <w:p>
            <w:pPr>
              <w:jc w:val="right"/>
              <w:ind w:right="762"/>
              <w:spacing w:after="0"/>
              <w:rPr>
                <w:sz w:val="20"/>
                <w:szCs w:val="20"/>
                <w:color w:val="auto"/>
              </w:rPr>
            </w:pPr>
            <w:r>
              <w:rPr>
                <w:rFonts w:ascii="Times New Roman" w:cs="Times New Roman" w:eastAsia="Times New Roman" w:hAnsi="Times New Roman"/>
                <w:sz w:val="18"/>
                <w:szCs w:val="18"/>
                <w:color w:val="0000FF"/>
              </w:rPr>
              <w:t>3,715</w:t>
            </w:r>
            <w:r>
              <w:rPr>
                <w:rFonts w:ascii="Times New Roman" w:cs="Times New Roman" w:eastAsia="Times New Roman" w:hAnsi="Times New Roman"/>
                <w:sz w:val="22"/>
                <w:szCs w:val="22"/>
                <w:color w:val="008000"/>
                <w:vertAlign w:val="superscript"/>
              </w:rPr>
              <w:t>(1)</w:t>
            </w:r>
          </w:p>
        </w:tc>
        <w:tc>
          <w:tcPr>
            <w:tcW w:w="800" w:type="dxa"/>
            <w:vAlign w:val="bottom"/>
            <w:tcBorders>
              <w:bottom w:val="single" w:sz="8" w:color="2C2C2C"/>
            </w:tcBorders>
          </w:tcPr>
          <w:p>
            <w:pPr>
              <w:ind w:left="540"/>
              <w:spacing w:after="0"/>
              <w:rPr>
                <w:sz w:val="20"/>
                <w:szCs w:val="20"/>
                <w:color w:val="auto"/>
              </w:rPr>
            </w:pPr>
            <w:r>
              <w:rPr>
                <w:rFonts w:ascii="Times New Roman" w:cs="Times New Roman" w:eastAsia="Times New Roman" w:hAnsi="Times New Roman"/>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9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5920" w:type="dxa"/>
            <w:vAlign w:val="bottom"/>
            <w:gridSpan w:val="6"/>
          </w:tcPr>
          <w:p>
            <w:pPr>
              <w:ind w:left="3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9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9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00" w:type="dxa"/>
            <w:vAlign w:val="bottom"/>
          </w:tcPr>
          <w:p>
            <w:pPr>
              <w:spacing w:after="0"/>
              <w:rPr>
                <w:sz w:val="15"/>
                <w:szCs w:val="15"/>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9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9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9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960" w:type="dxa"/>
            <w:vAlign w:val="bottom"/>
          </w:tcPr>
          <w:p>
            <w:pPr>
              <w:spacing w:after="0"/>
              <w:rPr>
                <w:sz w:val="4"/>
                <w:szCs w:val="4"/>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80" w:type="dxa"/>
            <w:vAlign w:val="bottom"/>
          </w:tcPr>
          <w:p>
            <w:pPr>
              <w:ind w:left="6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0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96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9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80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960" w:type="dxa"/>
            <w:vAlign w:val="bottom"/>
            <w:vMerge w:val="continue"/>
          </w:tcPr>
          <w:p>
            <w:pPr>
              <w:spacing w:after="0"/>
              <w:rPr>
                <w:sz w:val="16"/>
                <w:szCs w:val="16"/>
                <w:color w:val="auto"/>
              </w:rPr>
            </w:pPr>
          </w:p>
        </w:tc>
        <w:tc>
          <w:tcPr>
            <w:tcW w:w="800" w:type="dxa"/>
            <w:vAlign w:val="bottom"/>
          </w:tcPr>
          <w:p>
            <w:pPr>
              <w:ind w:left="1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9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9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Restricted Stock Units</w:t>
            </w:r>
          </w:p>
        </w:tc>
        <w:tc>
          <w:tcPr>
            <w:tcW w:w="1480" w:type="dxa"/>
            <w:vAlign w:val="bottom"/>
            <w:gridSpan w:val="2"/>
            <w:vMerge w:val="restart"/>
          </w:tcPr>
          <w:p>
            <w:pPr>
              <w:jc w:val="right"/>
              <w:ind w:right="309"/>
              <w:spacing w:after="0"/>
              <w:rPr>
                <w:sz w:val="20"/>
                <w:szCs w:val="20"/>
                <w:color w:val="auto"/>
              </w:rPr>
            </w:pPr>
            <w:r>
              <w:rPr>
                <w:rFonts w:ascii="Times New Roman" w:cs="Times New Roman" w:eastAsia="Times New Roman" w:hAnsi="Times New Roman"/>
                <w:sz w:val="11"/>
                <w:szCs w:val="11"/>
                <w:color w:val="008000"/>
              </w:rPr>
              <w:t>(2)</w:t>
            </w:r>
          </w:p>
        </w:tc>
        <w:tc>
          <w:tcPr>
            <w:tcW w:w="800" w:type="dxa"/>
            <w:vAlign w:val="bottom"/>
            <w:vMerge w:val="restart"/>
          </w:tcPr>
          <w:p>
            <w:pPr>
              <w:jc w:val="right"/>
              <w:ind w:right="276"/>
              <w:spacing w:after="0"/>
              <w:rPr>
                <w:sz w:val="20"/>
                <w:szCs w:val="20"/>
                <w:color w:val="auto"/>
              </w:rPr>
            </w:pPr>
            <w:r>
              <w:rPr>
                <w:rFonts w:ascii="Times New Roman" w:cs="Times New Roman" w:eastAsia="Times New Roman" w:hAnsi="Times New Roman"/>
                <w:sz w:val="11"/>
                <w:szCs w:val="11"/>
                <w:color w:val="008000"/>
              </w:rPr>
              <w:t>(2)</w:t>
            </w:r>
          </w:p>
        </w:tc>
        <w:tc>
          <w:tcPr>
            <w:tcW w:w="1960" w:type="dxa"/>
            <w:vAlign w:val="bottom"/>
          </w:tcPr>
          <w:p>
            <w:pPr>
              <w:jc w:val="center"/>
              <w:ind w:left="62"/>
              <w:spacing w:after="0"/>
              <w:rPr>
                <w:sz w:val="20"/>
                <w:szCs w:val="20"/>
                <w:color w:val="auto"/>
              </w:rPr>
            </w:pPr>
            <w:r>
              <w:rPr>
                <w:rFonts w:ascii="Times New Roman" w:cs="Times New Roman" w:eastAsia="Times New Roman" w:hAnsi="Times New Roman"/>
                <w:sz w:val="18"/>
                <w:szCs w:val="18"/>
                <w:color w:val="0000FF"/>
                <w:w w:val="95"/>
              </w:rPr>
              <w:t>Class A Non-Voting</w:t>
            </w: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0000FF"/>
              </w:rPr>
              <w:t>6,900</w:t>
            </w:r>
            <w:r>
              <w:rPr>
                <w:rFonts w:ascii="Times New Roman" w:cs="Times New Roman" w:eastAsia="Times New Roman" w:hAnsi="Times New Roman"/>
                <w:sz w:val="22"/>
                <w:szCs w:val="22"/>
                <w:color w:val="008000"/>
                <w:vertAlign w:val="superscript"/>
              </w:rPr>
              <w:t>(3)</w:t>
            </w:r>
          </w:p>
        </w:tc>
        <w:tc>
          <w:tcPr>
            <w:tcW w:w="8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8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60" w:type="dxa"/>
            <w:vAlign w:val="bottom"/>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960" w:type="dxa"/>
            <w:vAlign w:val="bottom"/>
            <w:vMerge w:val="restart"/>
          </w:tcPr>
          <w:p>
            <w:pPr>
              <w:jc w:val="center"/>
              <w:ind w:left="62"/>
              <w:spacing w:after="0"/>
              <w:rPr>
                <w:sz w:val="20"/>
                <w:szCs w:val="20"/>
                <w:color w:val="auto"/>
              </w:rPr>
            </w:pPr>
            <w:r>
              <w:rPr>
                <w:rFonts w:ascii="Times New Roman" w:cs="Times New Roman" w:eastAsia="Times New Roman" w:hAnsi="Times New Roman"/>
                <w:sz w:val="18"/>
                <w:szCs w:val="18"/>
                <w:color w:val="0000FF"/>
                <w:w w:val="97"/>
              </w:rPr>
              <w:t>Common Stock</w:t>
            </w:r>
          </w:p>
        </w:tc>
        <w:tc>
          <w:tcPr>
            <w:tcW w:w="8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9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96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5"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41" w:lineRule="auto"/>
        <w:tabs>
          <w:tab w:leader="none" w:pos="175"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purpose of this filing is to report the election of the Reporting Person as an Officer. At the time of this filing, the Reporting Person holds 3,715 Non-Derivative Securities, which includes 2,000 unvested Restricted Stock Awards.</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One-third of the units will vest on each October 1 of 2014, 2015, and 2016.</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Reporting Person holds 6,900 unvested Derivative Securities, which includes 6,900 unvested Restricted Stock Units.</w:t>
      </w:r>
    </w:p>
    <w:p>
      <w:pPr>
        <w:spacing w:after="0" w:line="41" w:lineRule="exact"/>
        <w:rPr>
          <w:rFonts w:ascii="Times New Roman" w:cs="Times New Roman" w:eastAsia="Times New Roman" w:hAnsi="Times New Roman"/>
          <w:sz w:val="14"/>
          <w:szCs w:val="14"/>
          <w:color w:val="008000"/>
        </w:rPr>
      </w:pPr>
    </w:p>
    <w:p>
      <w:pPr>
        <w:ind w:left="40" w:right="220" w:firstLine="9"/>
        <w:spacing w:after="0" w:line="241" w:lineRule="auto"/>
        <w:tabs>
          <w:tab w:leader="none" w:pos="175"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Each unit represents a contingent right to receive one share of EZCORP Class A Non-Voting Common Stock or the equivalent value in cash. The Compensation Committee of the Board of Directors, in its sole and absolute discretion, will determine whether to settle vested units in stock or in cash.</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2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/s/ Laura Jones Attorney-in-</w:t>
            </w:r>
          </w:p>
        </w:tc>
        <w:tc>
          <w:tcPr>
            <w:tcW w:w="16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0000FF"/>
                <w:w w:val="95"/>
              </w:rPr>
              <w:t>04/17/2014</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Fact</w:t>
            </w:r>
          </w:p>
        </w:tc>
        <w:tc>
          <w:tcPr>
            <w:tcW w:w="182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FOR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 REPORTING OBLIGATIONS</w:t>
      </w:r>
    </w:p>
    <w:p>
      <w:pPr>
        <w:spacing w:after="0" w:line="372" w:lineRule="exact"/>
        <w:rPr>
          <w:sz w:val="20"/>
          <w:szCs w:val="20"/>
          <w:color w:val="auto"/>
        </w:rPr>
      </w:pPr>
    </w:p>
    <w:p>
      <w:pPr>
        <w:ind w:right="1039" w:firstLine="843"/>
        <w:spacing w:after="0" w:line="265" w:lineRule="auto"/>
        <w:rPr>
          <w:sz w:val="20"/>
          <w:szCs w:val="20"/>
          <w:color w:val="auto"/>
        </w:rPr>
      </w:pPr>
      <w:r>
        <w:rPr>
          <w:rFonts w:ascii="Courier New" w:cs="Courier New" w:eastAsia="Courier New" w:hAnsi="Courier New"/>
          <w:sz w:val="18"/>
          <w:szCs w:val="18"/>
          <w:color w:val="auto"/>
        </w:rPr>
        <w:t>Known all by these presents, that the undersigned hereby makes, constitutes and appoints Laura Jones and Tom Welch, individually and with the authority to act independently of each other, as the undersigned's true and lawful attorneys-in-fact, with full power and authority as hereinafter described on behalf of and in the name, place and stead of the undersigned to:</w:t>
      </w:r>
    </w:p>
    <w:p>
      <w:pPr>
        <w:spacing w:after="0" w:line="90" w:lineRule="exact"/>
        <w:rPr>
          <w:sz w:val="20"/>
          <w:szCs w:val="20"/>
          <w:color w:val="auto"/>
        </w:rPr>
      </w:pPr>
    </w:p>
    <w:p>
      <w:pPr>
        <w:ind w:right="1679" w:firstLine="851"/>
        <w:spacing w:after="0" w:line="256"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3, 4, and 5 (including any amendments thereto) with respect to the securities of EZCORP, Inc., a Delaware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98" w:lineRule="exact"/>
        <w:rPr>
          <w:rFonts w:ascii="Courier New" w:cs="Courier New" w:eastAsia="Courier New" w:hAnsi="Courier New"/>
          <w:sz w:val="18"/>
          <w:szCs w:val="18"/>
          <w:color w:val="auto"/>
        </w:rPr>
      </w:pPr>
    </w:p>
    <w:p>
      <w:pPr>
        <w:ind w:right="1999" w:firstLine="851"/>
        <w:spacing w:after="0" w:line="260"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92" w:lineRule="exact"/>
        <w:rPr>
          <w:rFonts w:ascii="Courier New" w:cs="Courier New" w:eastAsia="Courier New" w:hAnsi="Courier New"/>
          <w:sz w:val="18"/>
          <w:szCs w:val="18"/>
          <w:color w:val="auto"/>
        </w:rPr>
      </w:pPr>
    </w:p>
    <w:p>
      <w:pPr>
        <w:ind w:right="1779" w:firstLine="851"/>
        <w:spacing w:after="0" w:line="292"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attorney-in-fact are necessary or desirable for and on behalf of the undersigned in connection with the foregoing.</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1" w:lineRule="exact"/>
        <w:rPr>
          <w:sz w:val="20"/>
          <w:szCs w:val="20"/>
          <w:color w:val="auto"/>
        </w:rPr>
      </w:pPr>
    </w:p>
    <w:p>
      <w:pPr>
        <w:ind w:right="2099" w:firstLine="851"/>
        <w:spacing w:after="0" w:line="292" w:lineRule="auto"/>
        <w:tabs>
          <w:tab w:leader="none" w:pos="168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authorizes, but does not require, such attorney-in-fact to act in their discretion on information provided to such attorney-in-fact without independent verification of such information;</w:t>
      </w:r>
    </w:p>
    <w:p>
      <w:pPr>
        <w:spacing w:after="0" w:line="66" w:lineRule="exact"/>
        <w:rPr>
          <w:rFonts w:ascii="Courier New" w:cs="Courier New" w:eastAsia="Courier New" w:hAnsi="Courier New"/>
          <w:sz w:val="18"/>
          <w:szCs w:val="18"/>
          <w:color w:val="auto"/>
        </w:rPr>
      </w:pPr>
    </w:p>
    <w:p>
      <w:pPr>
        <w:ind w:right="839" w:firstLine="851"/>
        <w:spacing w:after="0" w:line="257" w:lineRule="auto"/>
        <w:tabs>
          <w:tab w:leader="none" w:pos="168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such attorney-in-fact on behalf of the undersigned pursuant to this Power of Attorney will be in such form and</w:t>
      </w:r>
    </w:p>
    <w:p>
      <w:pPr>
        <w:ind w:right="17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contain such information and disclosure as such attorney-in-fact, in his or her discretion, deems necessary or desirable;</w:t>
      </w:r>
    </w:p>
    <w:p>
      <w:pPr>
        <w:spacing w:after="0" w:line="50" w:lineRule="exact"/>
        <w:rPr>
          <w:rFonts w:ascii="Courier New" w:cs="Courier New" w:eastAsia="Courier New" w:hAnsi="Courier New"/>
          <w:sz w:val="18"/>
          <w:szCs w:val="18"/>
          <w:color w:val="auto"/>
        </w:rPr>
      </w:pPr>
    </w:p>
    <w:p>
      <w:pPr>
        <w:ind w:right="619" w:firstLine="851"/>
        <w:spacing w:after="0" w:line="257" w:lineRule="auto"/>
        <w:tabs>
          <w:tab w:leader="none" w:pos="168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such attorney-in-fact assumes (i) any liability for the undersigned's responsibility to comply with the requirement of the Exchange</w:t>
      </w:r>
    </w:p>
    <w:p>
      <w:pPr>
        <w:ind w:right="177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 (ii) any liability of the undersigned for any failure to comply with such requirements, or (iii) any obligation or liability of the undersigned for profit disgorgement under Section 16(b) of the Exchange Act; and</w:t>
      </w:r>
    </w:p>
    <w:p>
      <w:pPr>
        <w:spacing w:after="0" w:line="82" w:lineRule="exact"/>
        <w:rPr>
          <w:rFonts w:ascii="Courier New" w:cs="Courier New" w:eastAsia="Courier New" w:hAnsi="Courier New"/>
          <w:sz w:val="18"/>
          <w:szCs w:val="18"/>
          <w:color w:val="auto"/>
        </w:rPr>
      </w:pPr>
    </w:p>
    <w:p>
      <w:pPr>
        <w:ind w:right="619" w:firstLine="851"/>
        <w:spacing w:after="0" w:line="257" w:lineRule="auto"/>
        <w:tabs>
          <w:tab w:leader="none" w:pos="168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does not relieve the undersigned from responsibility for compliance with the undersigned's obligations under the Exchange Act,</w:t>
      </w:r>
    </w:p>
    <w:p>
      <w:pPr>
        <w:ind w:right="18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including without limitation the reporting requirements under Section 16 of the Exchange Act.</w:t>
      </w:r>
    </w:p>
    <w:p>
      <w:pPr>
        <w:spacing w:after="0" w:line="51" w:lineRule="exact"/>
        <w:rPr>
          <w:sz w:val="20"/>
          <w:szCs w:val="20"/>
          <w:color w:val="auto"/>
        </w:rPr>
      </w:pPr>
    </w:p>
    <w:p>
      <w:pPr>
        <w:ind w:right="1459" w:firstLine="843"/>
        <w:spacing w:after="0" w:line="247" w:lineRule="auto"/>
        <w:rPr>
          <w:sz w:val="20"/>
          <w:szCs w:val="20"/>
          <w:color w:val="auto"/>
        </w:rPr>
      </w:pPr>
      <w:r>
        <w:rPr>
          <w:rFonts w:ascii="Courier New" w:cs="Courier New" w:eastAsia="Courier New" w:hAnsi="Courier New"/>
          <w:sz w:val="18"/>
          <w:szCs w:val="18"/>
          <w:color w:val="auto"/>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w:t>
      </w:r>
    </w:p>
    <w:p>
      <w:pPr>
        <w:spacing w:after="0" w:line="3" w:lineRule="exact"/>
        <w:rPr>
          <w:sz w:val="20"/>
          <w:szCs w:val="20"/>
          <w:color w:val="auto"/>
        </w:rPr>
      </w:pPr>
    </w:p>
    <w:p>
      <w:pPr>
        <w:jc w:val="both"/>
        <w:ind w:right="2099"/>
        <w:spacing w:after="0" w:line="273" w:lineRule="auto"/>
        <w:rPr>
          <w:sz w:val="20"/>
          <w:szCs w:val="20"/>
          <w:color w:val="auto"/>
        </w:rPr>
      </w:pPr>
      <w:r>
        <w:rPr>
          <w:rFonts w:ascii="Courier New" w:cs="Courier New" w:eastAsia="Courier New" w:hAnsi="Courier New"/>
          <w:sz w:val="18"/>
          <w:szCs w:val="18"/>
          <w:color w:val="auto"/>
        </w:rPr>
        <w:t>do if present, hereby ratifying all that such attorney-in-fact of, for and on behalf of the undersigned, shall lawfully do or cause to be done by virtue of this Limited Power of Attorney.</w:t>
      </w:r>
    </w:p>
    <w:p>
      <w:pPr>
        <w:spacing w:after="0" w:line="82" w:lineRule="exact"/>
        <w:rPr>
          <w:sz w:val="20"/>
          <w:szCs w:val="20"/>
          <w:color w:val="auto"/>
        </w:rPr>
      </w:pPr>
    </w:p>
    <w:p>
      <w:pPr>
        <w:ind w:right="1259" w:firstLine="843"/>
        <w:spacing w:after="0" w:line="347"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such attorney-in-fact.</w:t>
      </w:r>
    </w:p>
    <w:p>
      <w:pPr>
        <w:spacing w:after="0" w:line="18" w:lineRule="exact"/>
        <w:rPr>
          <w:sz w:val="20"/>
          <w:szCs w:val="20"/>
          <w:color w:val="auto"/>
        </w:rPr>
      </w:pPr>
    </w:p>
    <w:p>
      <w:pPr>
        <w:ind w:right="1459" w:firstLine="843"/>
        <w:spacing w:after="0" w:line="347"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15 day of April, 2014.</w:t>
      </w:r>
    </w:p>
    <w:p>
      <w:pPr>
        <w:spacing w:after="0" w:line="18" w:lineRule="exact"/>
        <w:rPr>
          <w:sz w:val="20"/>
          <w:szCs w:val="20"/>
          <w:color w:val="auto"/>
        </w:rPr>
      </w:pPr>
    </w:p>
    <w:p>
      <w:pPr>
        <w:ind w:left="6760"/>
        <w:spacing w:after="0"/>
        <w:rPr>
          <w:sz w:val="20"/>
          <w:szCs w:val="20"/>
          <w:color w:val="auto"/>
        </w:rPr>
      </w:pPr>
      <w:r>
        <w:rPr>
          <w:rFonts w:ascii="Courier New" w:cs="Courier New" w:eastAsia="Courier New" w:hAnsi="Courier New"/>
          <w:sz w:val="18"/>
          <w:szCs w:val="18"/>
          <w:color w:val="auto"/>
        </w:rPr>
        <w: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w:t>
      </w:r>
    </w:p>
    <w:p>
      <w:pPr>
        <w:spacing w:after="0" w:line="3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Stephen Morrison Brown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TEXAS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COUNTY OF TRAVIS</w:t>
      </w:r>
    </w:p>
    <w:p>
      <w:pPr>
        <w:spacing w:after="0" w:line="200" w:lineRule="exact"/>
        <w:rPr>
          <w:sz w:val="20"/>
          <w:szCs w:val="20"/>
          <w:color w:val="auto"/>
        </w:rPr>
      </w:pPr>
    </w:p>
    <w:p>
      <w:pPr>
        <w:spacing w:after="0" w:line="204" w:lineRule="exact"/>
        <w:rPr>
          <w:sz w:val="20"/>
          <w:szCs w:val="20"/>
          <w:color w:val="auto"/>
        </w:rPr>
      </w:pPr>
    </w:p>
    <w:p>
      <w:pPr>
        <w:ind w:right="1579" w:firstLine="843"/>
        <w:spacing w:after="0" w:line="292" w:lineRule="auto"/>
        <w:rPr>
          <w:sz w:val="20"/>
          <w:szCs w:val="20"/>
          <w:color w:val="auto"/>
        </w:rPr>
      </w:pPr>
      <w:r>
        <w:rPr>
          <w:rFonts w:ascii="Courier New" w:cs="Courier New" w:eastAsia="Courier New" w:hAnsi="Courier New"/>
          <w:sz w:val="18"/>
          <w:szCs w:val="18"/>
          <w:color w:val="auto"/>
        </w:rPr>
        <w:t>On this 15 day of April, 2014, Stephen Morrison Brown, personally appeared before me, and acknowledged that s/he executed the foregoing instrument for the purposes therein contained.</w:t>
      </w:r>
    </w:p>
    <w:p>
      <w:pPr>
        <w:spacing w:after="0" w:line="6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 WITNESS WHEREOF, I have hereunto set my hand and official seal.</w:t>
      </w:r>
    </w:p>
    <w:p>
      <w:pPr>
        <w:sectPr>
          <w:pgSz w:w="11900" w:h="16838" w:orient="portrait"/>
          <w:cols w:equalWidth="0" w:num="1">
            <w:col w:w="10219"/>
          </w:cols>
          <w:pgMar w:left="240" w:top="110" w:right="1440" w:bottom="0" w:gutter="0" w:footer="0" w:header="0"/>
        </w:sectPr>
      </w:pPr>
    </w:p>
    <w:bookmarkStart w:id="2" w:name="page3"/>
    <w:bookmarkEnd w:id="2"/>
    <w:p>
      <w:pPr>
        <w:ind w:left="6760"/>
        <w:spacing w:after="0"/>
        <w:rPr>
          <w:sz w:val="20"/>
          <w:szCs w:val="20"/>
          <w:color w:val="auto"/>
        </w:rPr>
      </w:pPr>
      <w:r>
        <w:rPr>
          <w:rFonts w:ascii="Courier New" w:cs="Courier New" w:eastAsia="Courier New" w:hAnsi="Courier New"/>
          <w:sz w:val="18"/>
          <w:szCs w:val="18"/>
          <w:color w:val="auto"/>
        </w:rPr>
        <w:t>/s/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_________________________________</w:t>
      </w:r>
    </w:p>
    <w:p>
      <w:pPr>
        <w:spacing w:after="0" w:line="3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Notary Public</w:t>
      </w:r>
    </w:p>
    <w:p>
      <w:pPr>
        <w:spacing w:after="0" w:line="169"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Melanie J. Duke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Printed Name of Notary</w:t>
      </w:r>
    </w:p>
    <w:p>
      <w:pPr>
        <w:jc w:val="right"/>
        <w:ind w:right="2099"/>
        <w:spacing w:after="0"/>
        <w:rPr>
          <w:sz w:val="20"/>
          <w:szCs w:val="20"/>
          <w:color w:val="auto"/>
        </w:rPr>
      </w:pPr>
      <w:r>
        <w:rPr>
          <w:rFonts w:ascii="Courier New" w:cs="Courier New" w:eastAsia="Courier New" w:hAnsi="Courier New"/>
          <w:sz w:val="18"/>
          <w:szCs w:val="18"/>
          <w:color w:val="auto"/>
        </w:rPr>
        <w:t>Commission expires: 8/23/2015</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05745" TargetMode="External"/><Relationship Id="rId12"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2020-01-27T01:03:34Z</dcterms:created>
  <dcterms:modified xsi:type="dcterms:W3CDTF">2020-01-27T01:03:34Z</dcterms:modified>
</cp:coreProperties>
</file>