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320"/>
        <w:spacing w:after="0"/>
        <w:rPr>
          <w:sz w:val="20"/>
          <w:szCs w:val="20"/>
          <w:color w:val="auto"/>
        </w:rPr>
      </w:pPr>
      <w:r>
        <w:rPr>
          <w:rFonts w:ascii="Arial" w:cs="Arial" w:eastAsia="Arial" w:hAnsi="Arial"/>
          <w:sz w:val="16"/>
          <w:szCs w:val="16"/>
          <w:color w:val="auto"/>
        </w:rPr>
        <w:t>Registration No. 333-______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4240" w:type="dxa"/>
            <w:vAlign w:val="bottom"/>
          </w:tcPr>
          <w:p>
            <w:pPr>
              <w:spacing w:after="0"/>
              <w:rPr>
                <w:sz w:val="24"/>
                <w:szCs w:val="24"/>
                <w:color w:val="auto"/>
              </w:rPr>
            </w:pPr>
          </w:p>
        </w:tc>
        <w:tc>
          <w:tcPr>
            <w:tcW w:w="2960" w:type="dxa"/>
            <w:vAlign w:val="bottom"/>
            <w:gridSpan w:val="4"/>
          </w:tcPr>
          <w:p>
            <w:pPr>
              <w:jc w:val="center"/>
              <w:spacing w:after="0"/>
              <w:rPr>
                <w:sz w:val="20"/>
                <w:szCs w:val="20"/>
                <w:color w:val="auto"/>
              </w:rPr>
            </w:pPr>
            <w:r>
              <w:rPr>
                <w:rFonts w:ascii="Arial" w:cs="Arial" w:eastAsia="Arial" w:hAnsi="Arial"/>
                <w:sz w:val="43"/>
                <w:szCs w:val="43"/>
                <w:b w:val="1"/>
                <w:bCs w:val="1"/>
                <w:color w:val="auto"/>
                <w:w w:val="99"/>
              </w:rPr>
              <w:t>EZCORP, INC.</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60" w:type="dxa"/>
            <w:vAlign w:val="bottom"/>
            <w:gridSpan w:val="7"/>
          </w:tcPr>
          <w:p>
            <w:pPr>
              <w:jc w:val="center"/>
              <w:ind w:left="3092"/>
              <w:spacing w:after="0"/>
              <w:rPr>
                <w:sz w:val="20"/>
                <w:szCs w:val="20"/>
                <w:color w:val="auto"/>
              </w:rPr>
            </w:pPr>
            <w:r>
              <w:rPr>
                <w:rFonts w:ascii="Arial" w:cs="Arial" w:eastAsia="Arial" w:hAnsi="Arial"/>
                <w:sz w:val="18"/>
                <w:szCs w:val="18"/>
                <w:color w:val="auto"/>
                <w:w w:val="90"/>
              </w:rPr>
              <w:t>(Exact name of registrant as specified in its charter)</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64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91"/>
              </w:rPr>
              <w:t>Delaware</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gridSpan w:val="3"/>
          </w:tcPr>
          <w:p>
            <w:pPr>
              <w:jc w:val="center"/>
              <w:ind w:right="1026"/>
              <w:spacing w:after="0"/>
              <w:rPr>
                <w:sz w:val="20"/>
                <w:szCs w:val="20"/>
                <w:color w:val="auto"/>
              </w:rPr>
            </w:pPr>
            <w:r>
              <w:rPr>
                <w:rFonts w:ascii="Arial" w:cs="Arial" w:eastAsia="Arial" w:hAnsi="Arial"/>
                <w:sz w:val="18"/>
                <w:szCs w:val="18"/>
                <w:b w:val="1"/>
                <w:bCs w:val="1"/>
                <w:color w:val="auto"/>
                <w:w w:val="89"/>
              </w:rPr>
              <w:t>74-2540145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2"/>
              </w:rPr>
              <w:t>(State or other jurisdiction of</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06"/>
              <w:spacing w:after="0"/>
              <w:rPr>
                <w:sz w:val="20"/>
                <w:szCs w:val="20"/>
                <w:color w:val="auto"/>
              </w:rPr>
            </w:pPr>
            <w:r>
              <w:rPr>
                <w:rFonts w:ascii="Arial" w:cs="Arial" w:eastAsia="Arial" w:hAnsi="Arial"/>
                <w:sz w:val="18"/>
                <w:szCs w:val="18"/>
                <w:color w:val="auto"/>
                <w:w w:val="92"/>
              </w:rPr>
              <w:t>(I.R.S. Employer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2"/>
              </w:rPr>
              <w:t>incorporation or organization)</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4"/>
          </w:tcPr>
          <w:p>
            <w:pPr>
              <w:jc w:val="center"/>
              <w:ind w:right="206"/>
              <w:spacing w:after="0"/>
              <w:rPr>
                <w:sz w:val="20"/>
                <w:szCs w:val="20"/>
                <w:color w:val="auto"/>
              </w:rPr>
            </w:pPr>
            <w:r>
              <w:rPr>
                <w:rFonts w:ascii="Arial" w:cs="Arial" w:eastAsia="Arial" w:hAnsi="Arial"/>
                <w:sz w:val="18"/>
                <w:szCs w:val="18"/>
                <w:color w:val="auto"/>
                <w:w w:val="95"/>
              </w:rPr>
              <w:t>Identification No.)</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64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93"/>
              </w:rPr>
              <w:t>1901 Capital Parkway</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jc w:val="center"/>
              <w:ind w:left="712"/>
              <w:spacing w:after="0"/>
              <w:rPr>
                <w:sz w:val="20"/>
                <w:szCs w:val="20"/>
                <w:color w:val="auto"/>
              </w:rPr>
            </w:pPr>
            <w:r>
              <w:rPr>
                <w:rFonts w:ascii="Arial" w:cs="Arial" w:eastAsia="Arial" w:hAnsi="Arial"/>
                <w:sz w:val="18"/>
                <w:szCs w:val="18"/>
                <w:b w:val="1"/>
                <w:bCs w:val="1"/>
                <w:color w:val="auto"/>
                <w:w w:val="88"/>
              </w:rPr>
              <w:t>Austin, Texas</w:t>
            </w:r>
          </w:p>
        </w:tc>
        <w:tc>
          <w:tcPr>
            <w:tcW w:w="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1"/>
              </w:rPr>
              <w:t>78746</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jc w:val="center"/>
              <w:ind w:left="692"/>
              <w:spacing w:after="0"/>
              <w:rPr>
                <w:sz w:val="20"/>
                <w:szCs w:val="20"/>
                <w:color w:val="auto"/>
              </w:rPr>
            </w:pPr>
            <w:r>
              <w:rPr>
                <w:rFonts w:ascii="Arial" w:cs="Arial" w:eastAsia="Arial" w:hAnsi="Arial"/>
                <w:sz w:val="18"/>
                <w:szCs w:val="18"/>
                <w:color w:val="auto"/>
                <w:w w:val="92"/>
              </w:rPr>
              <w:t>(Address of principal executive offices)</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0" w:type="dxa"/>
            <w:vAlign w:val="bottom"/>
            <w:gridSpan w:val="3"/>
          </w:tcPr>
          <w:p>
            <w:pPr>
              <w:jc w:val="center"/>
              <w:ind w:right="1046"/>
              <w:spacing w:after="0"/>
              <w:rPr>
                <w:sz w:val="20"/>
                <w:szCs w:val="20"/>
                <w:color w:val="auto"/>
              </w:rPr>
            </w:pPr>
            <w:r>
              <w:rPr>
                <w:rFonts w:ascii="Arial" w:cs="Arial" w:eastAsia="Arial" w:hAnsi="Arial"/>
                <w:sz w:val="18"/>
                <w:szCs w:val="18"/>
                <w:color w:val="auto"/>
                <w:w w:val="94"/>
              </w:rPr>
              <w:t>(Zip Code)</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EZCORP, INC.</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5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rPr>
              <w:t>2006 INCENTIVE PLAN</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(Full title of the plan)</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4640" w:type="dxa"/>
            <w:vAlign w:val="bottom"/>
            <w:gridSpan w:val="2"/>
          </w:tcPr>
          <w:p>
            <w:pPr>
              <w:jc w:val="center"/>
              <w:ind w:left="692"/>
              <w:spacing w:after="0"/>
              <w:rPr>
                <w:sz w:val="20"/>
                <w:szCs w:val="20"/>
                <w:color w:val="auto"/>
              </w:rPr>
            </w:pPr>
            <w:r>
              <w:rPr>
                <w:rFonts w:ascii="Arial" w:cs="Arial" w:eastAsia="Arial" w:hAnsi="Arial"/>
                <w:sz w:val="18"/>
                <w:szCs w:val="18"/>
                <w:color w:val="auto"/>
                <w:w w:val="93"/>
              </w:rPr>
              <w:t>Connie Kondik</w:t>
            </w:r>
          </w:p>
        </w:tc>
        <w:tc>
          <w:tcPr>
            <w:tcW w:w="9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Copy to:</w:t>
            </w: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88"/>
              </w:rPr>
              <w:t>General Counsel</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0" w:type="dxa"/>
            <w:vAlign w:val="bottom"/>
            <w:gridSpan w:val="3"/>
          </w:tcPr>
          <w:p>
            <w:pPr>
              <w:jc w:val="center"/>
              <w:ind w:right="1046"/>
              <w:spacing w:after="0"/>
              <w:rPr>
                <w:sz w:val="20"/>
                <w:szCs w:val="20"/>
                <w:color w:val="auto"/>
              </w:rPr>
            </w:pPr>
            <w:r>
              <w:rPr>
                <w:rFonts w:ascii="Arial" w:cs="Arial" w:eastAsia="Arial" w:hAnsi="Arial"/>
                <w:sz w:val="18"/>
                <w:szCs w:val="18"/>
                <w:color w:val="auto"/>
                <w:w w:val="88"/>
              </w:rPr>
              <w:t>Lee Polson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1"/>
              </w:rPr>
              <w:t>EZCORP, Inc.</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26"/>
              <w:spacing w:after="0"/>
              <w:rPr>
                <w:sz w:val="20"/>
                <w:szCs w:val="20"/>
                <w:color w:val="auto"/>
              </w:rPr>
            </w:pPr>
            <w:r>
              <w:rPr>
                <w:rFonts w:ascii="Arial" w:cs="Arial" w:eastAsia="Arial" w:hAnsi="Arial"/>
                <w:sz w:val="18"/>
                <w:szCs w:val="18"/>
                <w:color w:val="auto"/>
                <w:w w:val="91"/>
              </w:rPr>
              <w:t>Strasburger &amp; Price, L.L.P.</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1"/>
              </w:rPr>
              <w:t>1901 Capital Parkway</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26"/>
              <w:spacing w:after="0"/>
              <w:rPr>
                <w:sz w:val="20"/>
                <w:szCs w:val="20"/>
                <w:color w:val="auto"/>
              </w:rPr>
            </w:pPr>
            <w:r>
              <w:rPr>
                <w:rFonts w:ascii="Arial" w:cs="Arial" w:eastAsia="Arial" w:hAnsi="Arial"/>
                <w:sz w:val="18"/>
                <w:szCs w:val="18"/>
                <w:color w:val="auto"/>
                <w:w w:val="88"/>
              </w:rPr>
              <w:t>600 Congress Avenue, Suite 1600</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0"/>
              </w:rPr>
              <w:t>Austin, Texas 78746</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26"/>
              <w:spacing w:after="0"/>
              <w:rPr>
                <w:sz w:val="20"/>
                <w:szCs w:val="20"/>
                <w:color w:val="auto"/>
              </w:rPr>
            </w:pPr>
            <w:r>
              <w:rPr>
                <w:rFonts w:ascii="Arial" w:cs="Arial" w:eastAsia="Arial" w:hAnsi="Arial"/>
                <w:sz w:val="18"/>
                <w:szCs w:val="18"/>
                <w:color w:val="auto"/>
                <w:w w:val="90"/>
              </w:rPr>
              <w:t>Austin, Texas 78701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jc w:val="center"/>
              <w:ind w:left="1112"/>
              <w:spacing w:after="0"/>
              <w:rPr>
                <w:sz w:val="20"/>
                <w:szCs w:val="20"/>
                <w:color w:val="auto"/>
              </w:rPr>
            </w:pPr>
            <w:r>
              <w:rPr>
                <w:rFonts w:ascii="Arial" w:cs="Arial" w:eastAsia="Arial" w:hAnsi="Arial"/>
                <w:sz w:val="18"/>
                <w:szCs w:val="18"/>
                <w:color w:val="auto"/>
                <w:w w:val="90"/>
              </w:rPr>
              <w:t>(512) 314-3400</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20" w:type="dxa"/>
            <w:vAlign w:val="bottom"/>
            <w:gridSpan w:val="4"/>
          </w:tcPr>
          <w:p>
            <w:pPr>
              <w:jc w:val="center"/>
              <w:ind w:right="206"/>
              <w:spacing w:after="0"/>
              <w:rPr>
                <w:sz w:val="20"/>
                <w:szCs w:val="20"/>
                <w:color w:val="auto"/>
              </w:rPr>
            </w:pPr>
            <w:r>
              <w:rPr>
                <w:rFonts w:ascii="Arial" w:cs="Arial" w:eastAsia="Arial" w:hAnsi="Arial"/>
                <w:sz w:val="18"/>
                <w:szCs w:val="18"/>
                <w:color w:val="auto"/>
                <w:w w:val="91"/>
              </w:rPr>
              <w:t>(512)-499-3600</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87"/>
              </w:rPr>
              <w:t>(Name, address and telephone number,</w:t>
            </w: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jc w:val="center"/>
              <w:ind w:left="712"/>
              <w:spacing w:after="0"/>
              <w:rPr>
                <w:sz w:val="20"/>
                <w:szCs w:val="20"/>
                <w:color w:val="auto"/>
              </w:rPr>
            </w:pPr>
            <w:r>
              <w:rPr>
                <w:rFonts w:ascii="Arial" w:cs="Arial" w:eastAsia="Arial" w:hAnsi="Arial"/>
                <w:sz w:val="18"/>
                <w:szCs w:val="18"/>
                <w:color w:val="auto"/>
                <w:w w:val="91"/>
              </w:rPr>
              <w:t>including area code, of agent for service)</w:t>
            </w:r>
          </w:p>
        </w:tc>
        <w:tc>
          <w:tcPr>
            <w:tcW w:w="9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240" w:type="dxa"/>
            <w:vAlign w:val="bottom"/>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440" w:type="dxa"/>
            <w:vAlign w:val="bottom"/>
            <w:gridSpan w:val="6"/>
          </w:tcPr>
          <w:p>
            <w:pPr>
              <w:jc w:val="center"/>
              <w:ind w:left="3892"/>
              <w:spacing w:after="0"/>
              <w:rPr>
                <w:sz w:val="20"/>
                <w:szCs w:val="20"/>
                <w:color w:val="auto"/>
              </w:rPr>
            </w:pPr>
            <w:r>
              <w:rPr>
                <w:rFonts w:ascii="Arial" w:cs="Arial" w:eastAsia="Arial" w:hAnsi="Arial"/>
                <w:sz w:val="18"/>
                <w:szCs w:val="18"/>
                <w:b w:val="1"/>
                <w:bCs w:val="1"/>
                <w:color w:val="auto"/>
              </w:rPr>
              <w:t>CALCULATION OF REGISTRATION FEE</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Borders>
              <w:right w:val="single" w:sz="8" w:color="auto"/>
            </w:tcBorders>
          </w:tcPr>
          <w:p>
            <w:pPr>
              <w:spacing w:after="0"/>
              <w:rPr>
                <w:sz w:val="9"/>
                <w:szCs w:val="9"/>
                <w:color w:val="auto"/>
              </w:rPr>
            </w:pPr>
          </w:p>
        </w:tc>
        <w:tc>
          <w:tcPr>
            <w:tcW w:w="1500" w:type="dxa"/>
            <w:vAlign w:val="bottom"/>
            <w:tcBorders>
              <w:right w:val="single" w:sz="8" w:color="auto"/>
            </w:tcBorders>
            <w:vMerge w:val="restart"/>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center"/>
              <w:ind w:right="75"/>
              <w:spacing w:after="0" w:line="106" w:lineRule="exact"/>
              <w:rPr>
                <w:sz w:val="20"/>
                <w:szCs w:val="20"/>
                <w:color w:val="auto"/>
              </w:rPr>
            </w:pPr>
            <w:r>
              <w:rPr>
                <w:rFonts w:ascii="Arial" w:cs="Arial" w:eastAsia="Arial" w:hAnsi="Arial"/>
                <w:sz w:val="12"/>
                <w:szCs w:val="12"/>
                <w:b w:val="1"/>
                <w:bCs w:val="1"/>
                <w:color w:val="auto"/>
              </w:rPr>
              <w:t>Proposed</w:t>
            </w:r>
          </w:p>
        </w:tc>
        <w:tc>
          <w:tcPr>
            <w:tcW w:w="2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240" w:type="dxa"/>
            <w:vAlign w:val="bottom"/>
            <w:tcBorders>
              <w:right w:val="single" w:sz="8" w:color="auto"/>
            </w:tcBorders>
          </w:tcPr>
          <w:p>
            <w:pPr>
              <w:jc w:val="center"/>
              <w:ind w:right="526"/>
              <w:spacing w:after="0" w:line="106" w:lineRule="exact"/>
              <w:rPr>
                <w:sz w:val="20"/>
                <w:szCs w:val="20"/>
                <w:color w:val="auto"/>
              </w:rPr>
            </w:pPr>
            <w:r>
              <w:rPr>
                <w:rFonts w:ascii="Arial" w:cs="Arial" w:eastAsia="Arial" w:hAnsi="Arial"/>
                <w:sz w:val="12"/>
                <w:szCs w:val="12"/>
                <w:b w:val="1"/>
                <w:bCs w:val="1"/>
                <w:color w:val="auto"/>
              </w:rPr>
              <w:t>Proposed</w:t>
            </w:r>
          </w:p>
        </w:tc>
        <w:tc>
          <w:tcPr>
            <w:tcW w:w="11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Title of Class of</w:t>
            </w:r>
          </w:p>
        </w:tc>
        <w:tc>
          <w:tcPr>
            <w:tcW w:w="9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99"/>
              </w:rPr>
              <w:t>Maximum</w:t>
            </w:r>
          </w:p>
        </w:tc>
        <w:tc>
          <w:tcPr>
            <w:tcW w:w="2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tcPr>
          <w:p>
            <w:pPr>
              <w:jc w:val="center"/>
              <w:ind w:right="526"/>
              <w:spacing w:after="0" w:line="149" w:lineRule="exact"/>
              <w:rPr>
                <w:sz w:val="20"/>
                <w:szCs w:val="20"/>
                <w:color w:val="auto"/>
              </w:rPr>
            </w:pPr>
            <w:r>
              <w:rPr>
                <w:rFonts w:ascii="Arial" w:cs="Arial" w:eastAsia="Arial" w:hAnsi="Arial"/>
                <w:sz w:val="14"/>
                <w:szCs w:val="14"/>
                <w:b w:val="1"/>
                <w:bCs w:val="1"/>
                <w:color w:val="auto"/>
                <w:w w:val="99"/>
              </w:rPr>
              <w:t>Maximum</w:t>
            </w: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gridSpan w:val="2"/>
            <w:vMerge w:val="continue"/>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jc w:val="center"/>
              <w:ind w:right="41"/>
              <w:spacing w:after="0" w:line="149" w:lineRule="exact"/>
              <w:rPr>
                <w:sz w:val="20"/>
                <w:szCs w:val="20"/>
                <w:color w:val="auto"/>
              </w:rPr>
            </w:pPr>
            <w:r>
              <w:rPr>
                <w:rFonts w:ascii="Arial" w:cs="Arial" w:eastAsia="Arial" w:hAnsi="Arial"/>
                <w:sz w:val="14"/>
                <w:szCs w:val="14"/>
                <w:b w:val="1"/>
                <w:bCs w:val="1"/>
                <w:color w:val="auto"/>
                <w:w w:val="89"/>
              </w:rPr>
              <w:t>to be</w:t>
            </w:r>
          </w:p>
        </w:tc>
        <w:tc>
          <w:tcPr>
            <w:tcW w:w="8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2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Borders>
              <w:right w:val="single" w:sz="8" w:color="auto"/>
            </w:tcBorders>
          </w:tcPr>
          <w:p>
            <w:pPr>
              <w:jc w:val="center"/>
              <w:ind w:right="526"/>
              <w:spacing w:after="0" w:line="149" w:lineRule="exact"/>
              <w:rPr>
                <w:sz w:val="20"/>
                <w:szCs w:val="20"/>
                <w:color w:val="auto"/>
              </w:rPr>
            </w:pPr>
            <w:r>
              <w:rPr>
                <w:rFonts w:ascii="Arial" w:cs="Arial" w:eastAsia="Arial" w:hAnsi="Arial"/>
                <w:sz w:val="14"/>
                <w:szCs w:val="14"/>
                <w:b w:val="1"/>
                <w:bCs w:val="1"/>
                <w:color w:val="auto"/>
                <w:w w:val="92"/>
              </w:rPr>
              <w:t>Aggregate</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8"/>
        </w:trPr>
        <w:tc>
          <w:tcPr>
            <w:tcW w:w="4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Securities to be Registered</w:t>
            </w:r>
          </w:p>
        </w:tc>
        <w:tc>
          <w:tcPr>
            <w:tcW w:w="98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Registered(1)(2)</w:t>
            </w: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auto"/>
                <w:w w:val="95"/>
              </w:rPr>
              <w:t>per Share(3)(4)</w:t>
            </w:r>
          </w:p>
        </w:tc>
        <w:tc>
          <w:tcPr>
            <w:tcW w:w="280" w:type="dxa"/>
            <w:vAlign w:val="bottom"/>
            <w:tcBorders>
              <w:bottom w:val="single" w:sz="8" w:color="auto"/>
              <w:right w:val="single" w:sz="8" w:color="auto"/>
            </w:tcBorders>
          </w:tcPr>
          <w:p>
            <w:pPr>
              <w:spacing w:after="0"/>
              <w:rPr>
                <w:sz w:val="15"/>
                <w:szCs w:val="15"/>
                <w:color w:val="auto"/>
              </w:rPr>
            </w:pPr>
          </w:p>
        </w:tc>
        <w:tc>
          <w:tcPr>
            <w:tcW w:w="1720" w:type="dxa"/>
            <w:vAlign w:val="bottom"/>
            <w:tcBorders>
              <w:bottom w:val="single" w:sz="8" w:color="auto"/>
              <w:right w:val="single" w:sz="8" w:color="auto"/>
            </w:tcBorders>
            <w:gridSpan w:val="2"/>
          </w:tcPr>
          <w:p>
            <w:pPr>
              <w:jc w:val="center"/>
              <w:ind w:right="26"/>
              <w:spacing w:after="0"/>
              <w:rPr>
                <w:sz w:val="20"/>
                <w:szCs w:val="20"/>
                <w:color w:val="auto"/>
              </w:rPr>
            </w:pPr>
            <w:r>
              <w:rPr>
                <w:rFonts w:ascii="Arial" w:cs="Arial" w:eastAsia="Arial" w:hAnsi="Arial"/>
                <w:sz w:val="14"/>
                <w:szCs w:val="14"/>
                <w:b w:val="1"/>
                <w:bCs w:val="1"/>
                <w:color w:val="auto"/>
                <w:w w:val="96"/>
              </w:rPr>
              <w:t>Offering Price(3)(4)</w:t>
            </w:r>
          </w:p>
        </w:tc>
        <w:tc>
          <w:tcPr>
            <w:tcW w:w="11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Fee(4)</w:t>
            </w:r>
          </w:p>
        </w:tc>
        <w:tc>
          <w:tcPr>
            <w:tcW w:w="0" w:type="dxa"/>
            <w:vAlign w:val="bottom"/>
          </w:tcPr>
          <w:p>
            <w:pPr>
              <w:spacing w:after="0"/>
              <w:rPr>
                <w:sz w:val="1"/>
                <w:szCs w:val="1"/>
                <w:color w:val="auto"/>
              </w:rPr>
            </w:pPr>
          </w:p>
        </w:tc>
      </w:tr>
      <w:tr>
        <w:trPr>
          <w:trHeight w:val="202"/>
        </w:trPr>
        <w:tc>
          <w:tcPr>
            <w:tcW w:w="4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right"/>
              <w:ind w:right="321"/>
              <w:spacing w:after="0" w:line="201" w:lineRule="exact"/>
              <w:rPr>
                <w:sz w:val="20"/>
                <w:szCs w:val="20"/>
                <w:color w:val="auto"/>
              </w:rPr>
            </w:pPr>
            <w:r>
              <w:rPr>
                <w:rFonts w:ascii="Arial" w:cs="Arial" w:eastAsia="Arial" w:hAnsi="Arial"/>
                <w:sz w:val="18"/>
                <w:szCs w:val="18"/>
                <w:color w:val="auto"/>
              </w:rPr>
              <w:t>2,250,000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gridSpan w:val="2"/>
          </w:tcPr>
          <w:p>
            <w:pPr>
              <w:ind w:left="100"/>
              <w:spacing w:after="0"/>
              <w:rPr>
                <w:sz w:val="20"/>
                <w:szCs w:val="20"/>
                <w:color w:val="auto"/>
              </w:rPr>
            </w:pPr>
            <w:r>
              <w:rPr>
                <w:rFonts w:ascii="Arial" w:cs="Arial" w:eastAsia="Arial" w:hAnsi="Arial"/>
                <w:sz w:val="18"/>
                <w:szCs w:val="18"/>
                <w:color w:val="auto"/>
                <w:w w:val="92"/>
              </w:rPr>
              <w:t>Class A Non-Voting Common Stock, $.01 par value per share</w:t>
            </w:r>
          </w:p>
        </w:tc>
        <w:tc>
          <w:tcPr>
            <w:tcW w:w="980" w:type="dxa"/>
            <w:vAlign w:val="bottom"/>
            <w:tcBorders>
              <w:right w:val="single" w:sz="8" w:color="auto"/>
            </w:tcBorders>
          </w:tcPr>
          <w:p>
            <w:pPr>
              <w:spacing w:after="0"/>
              <w:rPr>
                <w:sz w:val="20"/>
                <w:szCs w:val="20"/>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1"/>
              </w:rPr>
              <w:t>shares</w:t>
            </w: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16.43</w:t>
            </w:r>
          </w:p>
        </w:tc>
        <w:tc>
          <w:tcPr>
            <w:tcW w:w="280" w:type="dxa"/>
            <w:vAlign w:val="bottom"/>
            <w:tcBorders>
              <w:right w:val="single" w:sz="8" w:color="auto"/>
            </w:tcBorders>
          </w:tcPr>
          <w:p>
            <w:pPr>
              <w:spacing w:after="0"/>
              <w:rPr>
                <w:sz w:val="20"/>
                <w:szCs w:val="20"/>
                <w:color w:val="auto"/>
              </w:rPr>
            </w:pPr>
          </w:p>
        </w:tc>
        <w:tc>
          <w:tcPr>
            <w:tcW w:w="480" w:type="dxa"/>
            <w:vAlign w:val="bottom"/>
          </w:tcPr>
          <w:p>
            <w:pPr>
              <w:jc w:val="right"/>
              <w:ind w:right="119"/>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246"/>
              <w:spacing w:after="0"/>
              <w:rPr>
                <w:sz w:val="20"/>
                <w:szCs w:val="20"/>
                <w:color w:val="auto"/>
              </w:rPr>
            </w:pPr>
            <w:r>
              <w:rPr>
                <w:rFonts w:ascii="Arial" w:cs="Arial" w:eastAsia="Arial" w:hAnsi="Arial"/>
                <w:sz w:val="18"/>
                <w:szCs w:val="18"/>
                <w:color w:val="auto"/>
                <w:w w:val="99"/>
              </w:rPr>
              <w:t>36,967,500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$ 3,955.52</w:t>
            </w:r>
          </w:p>
        </w:tc>
        <w:tc>
          <w:tcPr>
            <w:tcW w:w="0" w:type="dxa"/>
            <w:vAlign w:val="bottom"/>
          </w:tcPr>
          <w:p>
            <w:pPr>
              <w:spacing w:after="0"/>
              <w:rPr>
                <w:sz w:val="1"/>
                <w:szCs w:val="1"/>
                <w:color w:val="auto"/>
              </w:rPr>
            </w:pP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securities to be registered consist of 2,250,000 shares reserved for issuance under the EZCORP, Inc. 2006 Incentive Plan.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this Registration Statement is deemed to include additional shares of common stock issuable under the terms of the Plan to prevent dilution resulting from any further stock split, stock dividend or similar transaction.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457(c) and (h). The offering price and the amount of fee for these shares were computed based on the average of the high and low prices of our common stock as reported by the NASDAQ Stock Market on January 25,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527050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right="2619" w:hanging="310"/>
        <w:spacing w:after="0" w:line="239"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 INFORMATION REQUIRED IN THE SECTION 10(A) PROSPECTUS</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1. Plan Information.*</w:t>
        </w:r>
      </w:hyperlink>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2. Registrant Information and Employee Plan Annual Information.*</w:t>
        </w:r>
      </w:hyperlink>
    </w:p>
    <w:p>
      <w:pPr>
        <w:spacing w:after="0" w:line="2" w:lineRule="exact"/>
        <w:rPr>
          <w:sz w:val="20"/>
          <w:szCs w:val="20"/>
          <w:color w:val="auto"/>
        </w:rPr>
      </w:pPr>
    </w:p>
    <w:p>
      <w:pPr>
        <w:ind w:left="320" w:right="3039" w:hanging="310"/>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PART II INFORMATION REQUIRED IN REGISTRATION STATEMENT</w:t>
        </w:r>
      </w:hyperlink>
      <w:r>
        <w:rPr>
          <w:rFonts w:ascii="Arial" w:cs="Arial" w:eastAsia="Arial" w:hAnsi="Arial"/>
          <w:sz w:val="22"/>
          <w:szCs w:val="22"/>
          <w:u w:val="single" w:color="auto"/>
          <w:color w:val="0000EE"/>
        </w:rPr>
        <w:t xml:space="preserve"> </w:t>
      </w:r>
      <w:hyperlink w:anchor="page4">
        <w:r>
          <w:rPr>
            <w:rFonts w:ascii="Arial" w:cs="Arial" w:eastAsia="Arial" w:hAnsi="Arial"/>
            <w:sz w:val="22"/>
            <w:szCs w:val="22"/>
            <w:u w:val="single" w:color="auto"/>
            <w:color w:val="0000EE"/>
          </w:rPr>
          <w:t>Item 3. Incorporation of Documents by Reference.</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4. Description of Securities.</w:t>
        </w:r>
      </w:hyperlink>
    </w:p>
    <w:p>
      <w:pPr>
        <w:ind w:left="320"/>
        <w:spacing w:after="0" w:line="231"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Interests of Named Experts and Counsel.</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6. Indemnification of Directors and Officers.</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7. Exemption from Registration Claimed.</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8. Exhibits.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9. Undertakings.</w:t>
        </w:r>
      </w:hyperlink>
    </w:p>
    <w:p>
      <w:pPr>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POWER OF ATTORNEY</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SIGNATURES</w:t>
        </w:r>
      </w:hyperlink>
    </w:p>
    <w:p>
      <w:pPr>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EXHIBIT INDEX</w:t>
        </w:r>
      </w:hyperlink>
    </w:p>
    <w:p>
      <w:pPr>
        <w:spacing w:after="0" w:line="231"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Opinion &amp; Consent of Strasburger &amp; Price, LLP</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Consent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1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required by Part I to be contained in the Section 10(a) prospectus is omitted from the Registration Statement in accordance with Rule 428 of the Securities Act of 1933, as amended, and the Note to Part I of Form S-8.</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r>
        <w:rPr>
          <w:rFonts w:ascii="Arial" w:cs="Arial" w:eastAsia="Arial" w:hAnsi="Arial"/>
          <w:sz w:val="18"/>
          <w:szCs w:val="18"/>
          <w:color w:val="auto"/>
        </w:rPr>
        <w:t>.</w:t>
      </w:r>
    </w:p>
    <w:p>
      <w:pPr>
        <w:spacing w:after="0" w:line="121"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registrant hereby incorporates by reference in this registration statement the following documents previously filed by the registrant with the Securities and Exchange Commission (the “Commission”):</w:t>
      </w:r>
    </w:p>
    <w:p>
      <w:pPr>
        <w:spacing w:after="0" w:line="6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Annual Report on Form 10-K for the fiscal year ended September 30, 2006;</w:t>
      </w:r>
    </w:p>
    <w:p>
      <w:pPr>
        <w:spacing w:after="0" w:line="130" w:lineRule="exact"/>
        <w:rPr>
          <w:rFonts w:ascii="Arial" w:cs="Arial" w:eastAsia="Arial" w:hAnsi="Arial"/>
          <w:sz w:val="18"/>
          <w:szCs w:val="18"/>
          <w:color w:val="auto"/>
        </w:rPr>
      </w:pPr>
    </w:p>
    <w:p>
      <w:pPr>
        <w:ind w:left="900" w:hanging="446"/>
        <w:spacing w:after="0" w:line="34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description of the registrant’s Common Stock and Common Stock Rights as set forth in the registrant’s Form 8-A Registration Statement filed with the Commission on July 24, 1991, including any amendment or report filed for the purpose of updating such description; and</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EZCORP, Inc. 2006 Incentive Plan.</w:t>
      </w:r>
    </w:p>
    <w:p>
      <w:pPr>
        <w:spacing w:after="0" w:line="117"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All documents filed by the registrant with the Commission pursuant to Sections 13(a), 13(c), 14 and 15(d) of the Securities Exchange Act of 1934, as amended, subsequent to the date of this registration statement shall be deemed to be incorporated herein by reference and to be a part hereof from the date of the filing of such documents until such time as there shall have been filed a post-effective amendment that indicates that all securities offered hereby have been sold or which deregisters all securities remaining unsold at the time of such amendment.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r>
        <w:rPr>
          <w:rFonts w:ascii="Arial" w:cs="Arial" w:eastAsia="Arial" w:hAnsi="Arial"/>
          <w:sz w:val="18"/>
          <w:szCs w:val="18"/>
          <w:color w:val="auto"/>
        </w:rPr>
        <w:t>.</w:t>
      </w:r>
    </w:p>
    <w:p>
      <w:pPr>
        <w:spacing w:after="0" w:line="121" w:lineRule="exact"/>
        <w:rPr>
          <w:sz w:val="20"/>
          <w:szCs w:val="20"/>
          <w:color w:val="auto"/>
        </w:rPr>
      </w:pPr>
    </w:p>
    <w:p>
      <w:pPr>
        <w:ind w:right="160" w:firstLine="222"/>
        <w:spacing w:after="0" w:line="308" w:lineRule="auto"/>
        <w:rPr>
          <w:sz w:val="20"/>
          <w:szCs w:val="20"/>
          <w:color w:val="auto"/>
        </w:rPr>
      </w:pPr>
      <w:r>
        <w:rPr>
          <w:rFonts w:ascii="Arial" w:cs="Arial" w:eastAsia="Arial" w:hAnsi="Arial"/>
          <w:sz w:val="17"/>
          <w:szCs w:val="17"/>
          <w:color w:val="auto"/>
        </w:rPr>
        <w:t>The Corporation’s Restated Certificate of Incorporation provides that no director of the Corporation will be personally liable to the Corporation or any of its stockholders for monetary damages arising from the director’s breach of fiduciary duty as a director, with certain limited exceptions.</w:t>
      </w:r>
    </w:p>
    <w:p>
      <w:pPr>
        <w:spacing w:after="0" w:line="38"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Pursuant to the provisions of Section 145 of the Delaware General Corporation Law, every Delaware corporation has the power to indemnify any person who was or is a party or is threatened to be made a party to any threatened, pending or completed action, suit or proceeding (other than an action by or in the right of the corporation) by reason of the fact that he is or was a director, officer, employee or agent of any corporation, partnership, joint venture, trust or other enterprise, against any and all expenses, judgments, fines and amounts paid in settlement and reasonably incurred in connection with such action, suit or proceeding. The power to indemnify applies (a) if such person is successful on the merits or otherwise in the defense of any action, suit or proceeding, or</w:t>
      </w:r>
    </w:p>
    <w:p>
      <w:pPr>
        <w:spacing w:after="0" w:line="2" w:lineRule="exact"/>
        <w:rPr>
          <w:sz w:val="20"/>
          <w:szCs w:val="20"/>
          <w:color w:val="auto"/>
        </w:rPr>
      </w:pPr>
    </w:p>
    <w:p>
      <w:pPr>
        <w:ind w:right="200"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such person acted in good faith and in a manner he reasonably believed to be in the best interest, or not opposed to the best interest, of the corporation and with respect to any criminal action or proceeding, had no reasonable cause to believe his conduct was unlawful.</w:t>
      </w:r>
    </w:p>
    <w:p>
      <w:pPr>
        <w:spacing w:after="0" w:line="76"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power to indemnify applies to actions brought by or in the right of the corporation as well, but only to the extent of defense and settlement expenses and not to any satisfaction of a judgment or settlement of the claim itself, and with the further limitation that in such actions no indemnification shall be made in the event of any adjudication unless the court, in its discretion, believes that in the light of all the circumstances indemnification should apply.</w:t>
      </w:r>
    </w:p>
    <w:p>
      <w:pPr>
        <w:spacing w:after="0" w:line="3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To the extent any of the persons referred to in the two immediately preceding paragraphs is successful in the defense of the actions referred to therein, such person is entitled, pursuant to Section 145, to indemnification as described above.</w:t>
      </w:r>
    </w:p>
    <w:p>
      <w:pPr>
        <w:spacing w:after="0" w:line="62"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Corporation’s Restated Certificate of Incorporation and Amended and Restated Bylaws specifically provide for indemnification of officers and directors to the fullest extent permitted by the Delaware General Corporation Law.</w:t>
      </w:r>
    </w:p>
    <w:p>
      <w:pPr>
        <w:spacing w:after="0" w:line="62" w:lineRule="exact"/>
        <w:rPr>
          <w:sz w:val="20"/>
          <w:szCs w:val="20"/>
          <w:color w:val="auto"/>
        </w:rPr>
      </w:pPr>
    </w:p>
    <w:p>
      <w:pPr>
        <w:jc w:val="both"/>
        <w:ind w:right="80" w:firstLine="225"/>
        <w:spacing w:after="0" w:line="286" w:lineRule="auto"/>
        <w:rPr>
          <w:sz w:val="20"/>
          <w:szCs w:val="20"/>
          <w:color w:val="auto"/>
        </w:rPr>
      </w:pPr>
      <w:r>
        <w:rPr>
          <w:rFonts w:ascii="Arial" w:cs="Arial" w:eastAsia="Arial" w:hAnsi="Arial"/>
          <w:sz w:val="17"/>
          <w:szCs w:val="17"/>
          <w:color w:val="auto"/>
        </w:rPr>
        <w:t>Insofar as indemnification by the Corporation for liabilities arising under the Securities Act of 1933, as amended (the “Securities Act”), may be permitted to directors, officers or persons controlling the Corporation pursuant to the foregoing provisions, the Corporation has been informed that in the opinion of the Commission such indemnification is against public policy as expressed in the Securities Act and is therefore unenforceable.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121"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60" w:type="dxa"/>
            <w:vAlign w:val="bottom"/>
          </w:tcPr>
          <w:p>
            <w:pPr>
              <w:ind w:left="1720"/>
              <w:spacing w:after="0"/>
              <w:rPr>
                <w:sz w:val="20"/>
                <w:szCs w:val="20"/>
                <w:color w:val="auto"/>
              </w:rPr>
            </w:pPr>
            <w:r>
              <w:rPr>
                <w:rFonts w:ascii="Arial" w:cs="Arial" w:eastAsia="Arial" w:hAnsi="Arial"/>
                <w:sz w:val="18"/>
                <w:szCs w:val="18"/>
                <w:color w:val="auto"/>
              </w:rPr>
              <w:t>The following documents are filed as a part of this registration statement.</w:t>
            </w:r>
          </w:p>
        </w:tc>
      </w:tr>
      <w:tr>
        <w:trPr>
          <w:trHeight w:val="365"/>
        </w:trPr>
        <w:tc>
          <w:tcPr>
            <w:tcW w:w="240" w:type="dxa"/>
            <w:vAlign w:val="bottom"/>
          </w:tcPr>
          <w:p>
            <w:pPr>
              <w:spacing w:after="0"/>
              <w:rPr>
                <w:sz w:val="24"/>
                <w:szCs w:val="2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26"/>
        </w:trPr>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Opinion and consent of Strasburger &amp; Price, LLP, as to the legality of the Class A Non-Voting Common Stock being offered.</w:t>
            </w:r>
          </w:p>
        </w:tc>
      </w:tr>
      <w:tr>
        <w:trPr>
          <w:trHeight w:val="418"/>
        </w:trPr>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5"/>
              </w:rPr>
              <w:t>EZCORP, Inc. 2006 Incentive Plan, incorporated by reference to Exhibit 10.104 to Registrant’s Annual Report on Form 10-K for year</w:t>
            </w:r>
          </w:p>
        </w:tc>
      </w:tr>
      <w:tr>
        <w:trPr>
          <w:trHeight w:val="230"/>
        </w:trPr>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ending September 30, 2006 (File NO. 0-19424)</w:t>
            </w:r>
          </w:p>
        </w:tc>
      </w:tr>
      <w:tr>
        <w:trPr>
          <w:trHeight w:val="432"/>
        </w:trPr>
        <w:tc>
          <w:tcPr>
            <w:tcW w:w="2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05"/>
        </w:trPr>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60" w:type="dxa"/>
            <w:vAlign w:val="bottom"/>
          </w:tcPr>
          <w:p>
            <w:pPr>
              <w:ind w:left="4220"/>
              <w:spacing w:after="0"/>
              <w:rPr>
                <w:sz w:val="20"/>
                <w:szCs w:val="20"/>
                <w:color w:val="auto"/>
              </w:rPr>
            </w:pPr>
            <w:r>
              <w:rPr>
                <w:rFonts w:ascii="Arial" w:cs="Arial" w:eastAsia="Arial" w:hAnsi="Arial"/>
                <w:sz w:val="18"/>
                <w:szCs w:val="18"/>
                <w:color w:val="auto"/>
              </w:rPr>
              <w:t>II-3</w:t>
            </w:r>
          </w:p>
        </w:tc>
      </w:tr>
      <w:tr>
        <w:trPr>
          <w:trHeight w:val="226"/>
        </w:trPr>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240" w:type="dxa"/>
        <w:tblCellMar>
          <w:top w:w="0" w:type="dxa"/>
          <w:left w:w="0" w:type="dxa"/>
          <w:bottom w:w="0" w:type="dxa"/>
          <w:right w:w="0" w:type="dxa"/>
        </w:tblCellMar>
      </w:tblPr>
      <w:tr>
        <w:trPr>
          <w:trHeight w:val="167"/>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w:t>
            </w:r>
          </w:p>
        </w:tc>
        <w:tc>
          <w:tcPr>
            <w:tcW w:w="560" w:type="dxa"/>
            <w:vAlign w:val="bottom"/>
          </w:tcPr>
          <w:p>
            <w:pPr>
              <w:spacing w:after="0"/>
              <w:rPr>
                <w:sz w:val="14"/>
                <w:szCs w:val="1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 of Exhibit</w:t>
            </w:r>
          </w:p>
        </w:tc>
      </w:tr>
      <w:tr>
        <w:trPr>
          <w:trHeight w:val="426"/>
        </w:trPr>
        <w:tc>
          <w:tcPr>
            <w:tcW w:w="560" w:type="dxa"/>
            <w:vAlign w:val="bottom"/>
          </w:tcPr>
          <w:p>
            <w:pPr>
              <w:spacing w:after="0"/>
              <w:rPr>
                <w:sz w:val="20"/>
                <w:szCs w:val="20"/>
                <w:color w:val="auto"/>
              </w:rPr>
            </w:pPr>
            <w:r>
              <w:rPr>
                <w:rFonts w:ascii="Arial" w:cs="Arial" w:eastAsia="Arial" w:hAnsi="Arial"/>
                <w:sz w:val="18"/>
                <w:szCs w:val="18"/>
                <w:color w:val="auto"/>
              </w:rPr>
              <w:t>23.2</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Consent of Strasburger &amp; Price, LLP (included in the opinion filed as Exhibit 5.1 hereto).</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Power of Attorney (on signature page).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r>
        <w:rPr>
          <w:rFonts w:ascii="Arial" w:cs="Arial" w:eastAsia="Arial" w:hAnsi="Arial"/>
          <w:sz w:val="18"/>
          <w:szCs w:val="18"/>
          <w:color w:val="auto"/>
        </w:rPr>
        <w:t>.</w:t>
      </w:r>
    </w:p>
    <w:p>
      <w:pPr>
        <w:spacing w:after="0" w:line="121"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720" w:hanging="259"/>
        <w:spacing w:after="0"/>
        <w:tabs>
          <w:tab w:leader="none" w:pos="72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900" w:hanging="211"/>
        <w:spacing w:after="0"/>
        <w:tabs>
          <w:tab w:leader="none" w:pos="9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200" w:firstLine="229"/>
        <w:spacing w:after="0" w:line="264" w:lineRule="auto"/>
        <w:tabs>
          <w:tab w:leader="none" w:pos="95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3" w:lineRule="exact"/>
        <w:rPr>
          <w:rFonts w:ascii="Arial" w:cs="Arial" w:eastAsia="Arial" w:hAnsi="Arial"/>
          <w:sz w:val="18"/>
          <w:szCs w:val="18"/>
          <w:color w:val="auto"/>
        </w:rPr>
      </w:pPr>
    </w:p>
    <w:p>
      <w:pPr>
        <w:ind w:left="460" w:right="40" w:firstLine="229"/>
        <w:spacing w:after="0" w:line="277" w:lineRule="auto"/>
        <w:tabs>
          <w:tab w:leader="none" w:pos="1000"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120" w:right="80" w:firstLine="225"/>
        <w:spacing w:after="0" w:line="264"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73" w:lineRule="exact"/>
        <w:rPr>
          <w:sz w:val="20"/>
          <w:szCs w:val="20"/>
          <w:color w:val="auto"/>
        </w:rPr>
      </w:pPr>
    </w:p>
    <w:p>
      <w:pPr>
        <w:ind w:left="240" w:right="80" w:firstLine="221"/>
        <w:spacing w:after="0" w:line="264"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73" w:lineRule="exact"/>
        <w:rPr>
          <w:rFonts w:ascii="Arial" w:cs="Arial" w:eastAsia="Arial" w:hAnsi="Arial"/>
          <w:sz w:val="18"/>
          <w:szCs w:val="18"/>
          <w:color w:val="auto"/>
        </w:rPr>
      </w:pPr>
    </w:p>
    <w:p>
      <w:pPr>
        <w:ind w:left="240" w:firstLine="221"/>
        <w:spacing w:after="0" w:line="277" w:lineRule="auto"/>
        <w:tabs>
          <w:tab w:leader="none" w:pos="7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right="40" w:firstLine="233"/>
        <w:spacing w:after="0" w:line="257"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Arial" w:cs="Arial" w:eastAsia="Arial" w:hAnsi="Arial"/>
          <w:sz w:val="18"/>
          <w:szCs w:val="18"/>
          <w:color w:val="auto"/>
        </w:rPr>
      </w:pPr>
    </w:p>
    <w:p>
      <w:pPr>
        <w:ind w:right="200" w:firstLine="233"/>
        <w:spacing w:after="0" w:line="291"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80" w:firstLine="225"/>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Daniel N. Tonissen or Joseph L. Rotunda, or either of them, as his true and lawful attorney-in-fact and agent with full power of substitution and resubstitution, for him and in his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or substitutes, may lawfully do or cause to be done by virtue hereof.</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17"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u w:val="single" w:color="auto"/>
          <w:color w:val="auto"/>
        </w:rPr>
        <w:t>The Registrant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requirements of the Securities Act of 1933, the registrant certifies that it has reasonable grounds to believe that it meets all</w:t>
      </w:r>
      <w:r>
        <w:rPr>
          <w:rFonts w:ascii="Arial" w:cs="Arial" w:eastAsia="Arial" w:hAnsi="Arial"/>
          <w:sz w:val="18"/>
          <w:szCs w:val="18"/>
          <w:b w:val="1"/>
          <w:bCs w:val="1"/>
          <w:color w:val="auto"/>
        </w:rPr>
        <w:t xml:space="preserve"> </w:t>
      </w:r>
      <w:r>
        <w:rPr>
          <w:rFonts w:ascii="Arial" w:cs="Arial" w:eastAsia="Arial" w:hAnsi="Arial"/>
          <w:sz w:val="18"/>
          <w:szCs w:val="18"/>
          <w:color w:val="auto"/>
        </w:rPr>
        <w:t>the requirements for filing on Form S-8 and has duly caused this registration statement to be signed on its behalf by the undersigned, thereunto duly authorized, on January 29, 2007</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EZCORP,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/s/Joseph L. Rotunda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Joseph L. Rotunda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4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4"/>
                <w:szCs w:val="14"/>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Capacity</w:t>
            </w:r>
          </w:p>
        </w:tc>
        <w:tc>
          <w:tcPr>
            <w:tcW w:w="560" w:type="dxa"/>
            <w:vAlign w:val="bottom"/>
          </w:tcPr>
          <w:p>
            <w:pPr>
              <w:spacing w:after="0"/>
              <w:rPr>
                <w:sz w:val="14"/>
                <w:szCs w:val="14"/>
                <w:color w:val="auto"/>
              </w:rPr>
            </w:pPr>
          </w:p>
        </w:tc>
        <w:tc>
          <w:tcPr>
            <w:tcW w:w="262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Date</w:t>
            </w:r>
          </w:p>
        </w:tc>
      </w:tr>
      <w:tr>
        <w:trPr>
          <w:trHeight w:val="426"/>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/s/Sterling B. Brinkley</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Chairman of the Board, 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January 29,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Sterling B. Brinkley</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L. Rotunda</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 Chief Executive Officer and President</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January 29,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Joseph L. Rotunda</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/s/Daniel N. Tonissen</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Senior Vice President, Chief Financial Officer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1, 2007</w:t>
            </w:r>
          </w:p>
        </w:tc>
      </w:tr>
      <w:tr>
        <w:trPr>
          <w:trHeight w:val="209"/>
        </w:trPr>
        <w:tc>
          <w:tcPr>
            <w:tcW w:w="2640" w:type="dxa"/>
            <w:vAlign w:val="bottom"/>
          </w:tcPr>
          <w:p>
            <w:pPr>
              <w:spacing w:after="0"/>
              <w:rPr>
                <w:sz w:val="20"/>
                <w:szCs w:val="20"/>
                <w:color w:val="auto"/>
              </w:rPr>
            </w:pPr>
            <w:r>
              <w:rPr>
                <w:rFonts w:ascii="Arial" w:cs="Arial" w:eastAsia="Arial" w:hAnsi="Arial"/>
                <w:sz w:val="18"/>
                <w:szCs w:val="18"/>
                <w:color w:val="auto"/>
              </w:rPr>
              <w:t>Daniel N. Tonissen</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and Assistant Secretary (Principal Financial and</w:t>
            </w:r>
          </w:p>
        </w:tc>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30"/>
        </w:trPr>
        <w:tc>
          <w:tcPr>
            <w:tcW w:w="2640" w:type="dxa"/>
            <w:vAlign w:val="bottom"/>
          </w:tcPr>
          <w:p>
            <w:pPr>
              <w:spacing w:after="0"/>
              <w:rPr>
                <w:sz w:val="20"/>
                <w:szCs w:val="20"/>
                <w:color w:val="auto"/>
              </w:rPr>
            </w:pP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Accounting Officer)</w:t>
            </w:r>
          </w:p>
        </w:tc>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r>
      <w:tr>
        <w:trPr>
          <w:trHeight w:val="432"/>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/s/Thomas C. Roberts</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2,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Thomas C. Roberts</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/s/Gary Matzner</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6,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Gary Matzner</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31"/>
        </w:trPr>
        <w:tc>
          <w:tcPr>
            <w:tcW w:w="2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/s/Richard D. Sage</w:t>
            </w:r>
          </w:p>
        </w:tc>
        <w:tc>
          <w:tcPr>
            <w:tcW w:w="56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February 2, 2007</w:t>
            </w:r>
          </w:p>
        </w:tc>
      </w:tr>
      <w:tr>
        <w:trPr>
          <w:trHeight w:val="224"/>
        </w:trPr>
        <w:tc>
          <w:tcPr>
            <w:tcW w:w="2640" w:type="dxa"/>
            <w:vAlign w:val="bottom"/>
          </w:tcPr>
          <w:p>
            <w:pPr>
              <w:spacing w:after="0"/>
              <w:rPr>
                <w:sz w:val="20"/>
                <w:szCs w:val="20"/>
                <w:color w:val="auto"/>
              </w:rPr>
            </w:pPr>
            <w:r>
              <w:rPr>
                <w:rFonts w:ascii="Arial" w:cs="Arial" w:eastAsia="Arial" w:hAnsi="Arial"/>
                <w:sz w:val="18"/>
                <w:szCs w:val="18"/>
                <w:color w:val="auto"/>
              </w:rPr>
              <w:t>Richard D. Sage</w:t>
            </w:r>
          </w:p>
        </w:tc>
        <w:tc>
          <w:tcPr>
            <w:tcW w:w="58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404"/>
        </w:trPr>
        <w:tc>
          <w:tcPr>
            <w:tcW w:w="2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9"/>
              </w:rPr>
              <w:t>II-5</w:t>
            </w:r>
          </w:p>
        </w:tc>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26"/>
        </w:trPr>
        <w:tc>
          <w:tcPr>
            <w:tcW w:w="2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480" w:type="dxa"/>
            <w:vAlign w:val="bottom"/>
          </w:tcPr>
          <w:p>
            <w:pPr>
              <w:ind w:left="440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5.1</w:t>
            </w:r>
          </w:p>
        </w:tc>
        <w:tc>
          <w:tcPr>
            <w:tcW w:w="10480" w:type="dxa"/>
            <w:vAlign w:val="bottom"/>
          </w:tcPr>
          <w:p>
            <w:pPr>
              <w:ind w:left="300"/>
              <w:spacing w:after="0"/>
              <w:rPr>
                <w:sz w:val="20"/>
                <w:szCs w:val="20"/>
                <w:color w:val="auto"/>
              </w:rPr>
            </w:pPr>
            <w:r>
              <w:rPr>
                <w:rFonts w:ascii="Arial" w:cs="Arial" w:eastAsia="Arial" w:hAnsi="Arial"/>
                <w:sz w:val="18"/>
                <w:szCs w:val="18"/>
                <w:color w:val="auto"/>
              </w:rPr>
              <w:t>Opinion of Strasburger &amp; Price, LLP</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300"/>
              <w:spacing w:after="0"/>
              <w:rPr>
                <w:sz w:val="20"/>
                <w:szCs w:val="20"/>
                <w:color w:val="auto"/>
              </w:rPr>
            </w:pPr>
            <w:r>
              <w:rPr>
                <w:rFonts w:ascii="Arial" w:cs="Arial" w:eastAsia="Arial" w:hAnsi="Arial"/>
                <w:sz w:val="18"/>
                <w:szCs w:val="18"/>
                <w:color w:val="auto"/>
                <w:w w:val="91"/>
              </w:rPr>
              <w:t>EZCORP, Inc. 2006 Incentive Plan, incorporated by reference to Exhibit 10.104 to Registrant’s Annual Report on Form 10-K for year ending</w:t>
            </w:r>
          </w:p>
        </w:tc>
      </w:tr>
      <w:tr>
        <w:trPr>
          <w:trHeight w:val="230"/>
        </w:trPr>
        <w:tc>
          <w:tcPr>
            <w:tcW w:w="620" w:type="dxa"/>
            <w:vAlign w:val="bottom"/>
          </w:tcPr>
          <w:p>
            <w:pPr>
              <w:spacing w:after="0"/>
              <w:rPr>
                <w:sz w:val="20"/>
                <w:szCs w:val="20"/>
                <w:color w:val="auto"/>
              </w:rPr>
            </w:pPr>
          </w:p>
        </w:tc>
        <w:tc>
          <w:tcPr>
            <w:tcW w:w="10480" w:type="dxa"/>
            <w:vAlign w:val="bottom"/>
          </w:tcPr>
          <w:p>
            <w:pPr>
              <w:ind w:left="300"/>
              <w:spacing w:after="0"/>
              <w:rPr>
                <w:sz w:val="20"/>
                <w:szCs w:val="20"/>
                <w:color w:val="auto"/>
              </w:rPr>
            </w:pPr>
            <w:r>
              <w:rPr>
                <w:rFonts w:ascii="Arial" w:cs="Arial" w:eastAsia="Arial" w:hAnsi="Arial"/>
                <w:sz w:val="18"/>
                <w:szCs w:val="18"/>
                <w:color w:val="auto"/>
              </w:rPr>
              <w:t>September 30, 2006 (File NO. 0-19424)</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23.2</w:t>
            </w:r>
          </w:p>
        </w:tc>
        <w:tc>
          <w:tcPr>
            <w:tcW w:w="10480" w:type="dxa"/>
            <w:vAlign w:val="bottom"/>
          </w:tcPr>
          <w:p>
            <w:pPr>
              <w:ind w:left="300"/>
              <w:spacing w:after="0"/>
              <w:rPr>
                <w:sz w:val="20"/>
                <w:szCs w:val="20"/>
                <w:color w:val="auto"/>
              </w:rPr>
            </w:pPr>
            <w:r>
              <w:rPr>
                <w:rFonts w:ascii="Arial" w:cs="Arial" w:eastAsia="Arial" w:hAnsi="Arial"/>
                <w:sz w:val="18"/>
                <w:szCs w:val="18"/>
                <w:color w:val="auto"/>
              </w:rPr>
              <w:t>Consent of Strasburger &amp; Price, LLP (included in the opinion filed as Exhibit 5.1 hereto).</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24.1</w:t>
            </w:r>
          </w:p>
        </w:tc>
        <w:tc>
          <w:tcPr>
            <w:tcW w:w="10480" w:type="dxa"/>
            <w:vAlign w:val="bottom"/>
          </w:tcPr>
          <w:p>
            <w:pPr>
              <w:ind w:left="300"/>
              <w:spacing w:after="0"/>
              <w:rPr>
                <w:sz w:val="20"/>
                <w:szCs w:val="20"/>
                <w:color w:val="auto"/>
              </w:rPr>
            </w:pPr>
            <w:r>
              <w:rPr>
                <w:rFonts w:ascii="Arial" w:cs="Arial" w:eastAsia="Arial" w:hAnsi="Arial"/>
                <w:sz w:val="18"/>
                <w:szCs w:val="18"/>
                <w:color w:val="auto"/>
              </w:rPr>
              <w:t>Power of Attorney (on signature page).</w:t>
            </w:r>
          </w:p>
        </w:tc>
      </w:tr>
      <w:tr>
        <w:trPr>
          <w:trHeight w:val="405"/>
        </w:trPr>
        <w:tc>
          <w:tcPr>
            <w:tcW w:w="620" w:type="dxa"/>
            <w:vAlign w:val="bottom"/>
          </w:tcPr>
          <w:p>
            <w:pPr>
              <w:spacing w:after="0"/>
              <w:rPr>
                <w:sz w:val="24"/>
                <w:szCs w:val="24"/>
                <w:color w:val="auto"/>
              </w:rPr>
            </w:pPr>
          </w:p>
        </w:tc>
        <w:tc>
          <w:tcPr>
            <w:tcW w:w="10480" w:type="dxa"/>
            <w:vAlign w:val="bottom"/>
          </w:tcPr>
          <w:p>
            <w:pPr>
              <w:ind w:left="496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100"/>
          </w:cols>
          <w:pgMar w:left="240" w:top="419" w:right="55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5.1</w:t>
      </w:r>
    </w:p>
    <w:p>
      <w:pPr>
        <w:spacing w:after="0" w:line="33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LEGAL OPINION</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Strasburger &amp; Price,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600 Congress Avenue, Suite 1600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Austin, Texas 78701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512-499-3600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512-499-3660 (Fax)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5,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acted as counsel for EZCORP, Inc., a Delaware corporation (the “Company”), in connection with the registration under the Securities Act of 1933, as amended, of 2,250,000 shares of the Company’s Class A Non-Voting Common Stock, par value $0.01 per share (the “Shares”), as described in the Registration Statement on Form S-8 dated February 5, 2007 (the “Registration Statement”). The Shares, which include shares to be issued on exercise of options to purchase 2,250,000 Shares pursuant to the Company’s 2006 Incentive Plan (the “Plan”), may be sold for the benefit of the shareholders of the Company in the manner described in the Registration Statement.</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connection therewith, we have examined the Registration Statement and originals or copies, certified or otherwise identified to our satisfaction, of the Certificate of Incorporation of the Company, as amended, the Bylaws of the Company, as amended, the Plan, records of relevant corporate proceedings with respect to the offering of the Shares and such other documents and instruments as we have deemed necessary or appropriate as a basis for the opinions hereinafter expressed. In all such examinations, we have assumed the authenticity and completeness of all documents submitted as originals or duplicate originals, the conformity to original documents of all document copies, the authenticity of the respective originals of such latter documents, and the correctness and completeness of such certificates.</w:t>
      </w:r>
    </w:p>
    <w:p>
      <w:pPr>
        <w:spacing w:after="0" w:line="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opinions set forth above are limited exclusively to the Delaware Constitution, the General Corporation Law of the State of Delaware and reported judicial decisions interpreting such laws.</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upon the foregoing and subject to the qualifications and assumptions set forth herein, it is our opinion that the Shares being registered pursuant to the Registration Statement, including the shares subject to the Plan when paid for and issued in accordance with the terms of the Plan, will be legally issued, fully paid and non-assessable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line="277" w:lineRule="auto"/>
        <w:rPr>
          <w:sz w:val="20"/>
          <w:szCs w:val="20"/>
          <w:color w:val="auto"/>
        </w:rPr>
      </w:pPr>
      <w:r>
        <w:rPr>
          <w:rFonts w:ascii="Arial" w:cs="Arial" w:eastAsia="Arial" w:hAnsi="Arial"/>
          <w:sz w:val="18"/>
          <w:szCs w:val="18"/>
          <w:color w:val="auto"/>
        </w:rPr>
        <w:t>We hereby consent to the inclusion of this opinion in the Exhibits to the Registration Statement. Subject to the foregoing, this opinion is limited to the matters expressly set forth in this letter, as limited herein as of the date of this letter.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Strasburger &amp; Price,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STRASBURGER &amp; PRICE, L.L.P.</w:t>
      </w:r>
    </w:p>
    <w:p>
      <w:pPr>
        <w:sectPr>
          <w:pgSz w:w="11900" w:h="16838" w:orient="portrait"/>
          <w:cols w:equalWidth="0" w:num="1">
            <w:col w:w="11380"/>
          </w:cols>
          <w:pgMar w:left="240" w:top="935" w:right="27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hereby consent to the incorporation by reference in this Registration Statement on Form S-8 of EZCORP, Inc. of our reports dated November 3, 2006 (except for Note R, which is as of December 11, 2006), relating to the consolidated financial statements, management’s assessment of internal control over financial reporting as of September 30, 2006, and the effectiveness of internal control over financial reporting as of September 30, 2006, which are contained in the Annual Report on Form 10-K. We also consent to the incorporation by reference of our report dated November 3, 2006 (except for Note R, which is as of December 11, 2006) relating to the financial schedule listed in the index at Item 15(a)(2) which appears in the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BDO Seidman,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February 6, 2007</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upperLetter"/>
      <w:start w:val="1"/>
    </w:lvl>
    <w:lvl w:ilvl="1">
      <w:lvlJc w:val="left"/>
      <w:lvlText w:val="(%2)"/>
      <w:numFmt w:val="decimal"/>
      <w:start w:val="2"/>
    </w:lvl>
  </w:abstractNum>
  <w:abstractNum w:abstractNumId="7">
    <w:nsid w:val="7545E146"/>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2020-02-04T00:26:28Z</dcterms:created>
  <dcterms:modified xsi:type="dcterms:W3CDTF">2020-02-04T00:26:28Z</dcterms:modified>
</cp:coreProperties>
</file>