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spacing w:after="0"/>
        <w:tabs>
          <w:tab w:leader="none" w:pos="1680" w:val="left"/>
          <w:tab w:leader="none" w:pos="2520" w:val="left"/>
        </w:tabs>
        <w:rPr>
          <w:sz w:val="20"/>
          <w:szCs w:val="20"/>
          <w:color w:val="auto"/>
        </w:rPr>
      </w:pPr>
      <w:r>
        <w:rPr>
          <w:rFonts w:ascii="Courier New" w:cs="Courier New" w:eastAsia="Courier New" w:hAnsi="Courier New"/>
          <w:sz w:val="18"/>
          <w:szCs w:val="18"/>
          <w:color w:val="auto"/>
        </w:rPr>
        <w:t>(Amendment No.</w:t>
        <w:tab/>
        <w:t>3</w:t>
      </w:r>
      <w:r>
        <w:rPr>
          <w:sz w:val="20"/>
          <w:szCs w:val="20"/>
          <w:color w:val="auto"/>
        </w:rPr>
        <w:tab/>
      </w:r>
      <w:r>
        <w:rPr>
          <w:rFonts w:ascii="Courier New" w:cs="Courier New" w:eastAsia="Courier New" w:hAnsi="Courier New"/>
          <w:sz w:val="16"/>
          <w:szCs w:val="16"/>
          <w:color w:val="auto"/>
        </w:rPr>
        <w: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EZCORP, INC.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302301106</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169"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tbl>
      <w:tblPr>
        <w:tblLayout w:type="fixed"/>
        <w:tblInd w:w="0" w:type="dxa"/>
        <w:tblCellMar>
          <w:top w:w="0" w:type="dxa"/>
          <w:left w:w="0" w:type="dxa"/>
          <w:bottom w:w="0" w:type="dxa"/>
          <w:right w:w="0" w:type="dxa"/>
        </w:tblCellMar>
      </w:tblPr>
      <w:tr>
        <w:trPr>
          <w:trHeight w:val="201"/>
        </w:trPr>
        <w:tc>
          <w:tcPr>
            <w:tcW w:w="540" w:type="dxa"/>
            <w:vAlign w:val="bottom"/>
          </w:tcPr>
          <w:p>
            <w:pPr>
              <w:jc w:val="right"/>
              <w:ind w:right="232"/>
              <w:spacing w:after="0" w:line="201" w:lineRule="exact"/>
              <w:rPr>
                <w:sz w:val="20"/>
                <w:szCs w:val="20"/>
                <w:color w:val="auto"/>
              </w:rPr>
            </w:pPr>
            <w:r>
              <w:rPr>
                <w:rFonts w:ascii="Courier New" w:cs="Courier New" w:eastAsia="Courier New" w:hAnsi="Courier New"/>
                <w:sz w:val="18"/>
                <w:szCs w:val="18"/>
                <w:color w:val="auto"/>
                <w:w w:val="92"/>
              </w:rPr>
              <w:t>[]</w:t>
            </w:r>
          </w:p>
        </w:tc>
        <w:tc>
          <w:tcPr>
            <w:tcW w:w="780" w:type="dxa"/>
            <w:vAlign w:val="bottom"/>
          </w:tcPr>
          <w:p>
            <w:pPr>
              <w:ind w:left="320"/>
              <w:spacing w:after="0" w:line="201"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1" w:lineRule="exact"/>
              <w:rPr>
                <w:sz w:val="20"/>
                <w:szCs w:val="20"/>
                <w:color w:val="auto"/>
              </w:rPr>
            </w:pPr>
            <w:r>
              <w:rPr>
                <w:rFonts w:ascii="Courier New" w:cs="Courier New" w:eastAsia="Courier New" w:hAnsi="Courier New"/>
                <w:sz w:val="18"/>
                <w:szCs w:val="18"/>
                <w:color w:val="auto"/>
                <w:w w:val="94"/>
              </w:rPr>
              <w:t>13d-1(c)</w:t>
            </w:r>
          </w:p>
        </w:tc>
      </w:tr>
      <w:tr>
        <w:trPr>
          <w:trHeight w:val="296"/>
        </w:trPr>
        <w:tc>
          <w:tcPr>
            <w:tcW w:w="5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w:t>
            </w:r>
          </w:p>
        </w:tc>
        <w:tc>
          <w:tcPr>
            <w:tcW w:w="780" w:type="dxa"/>
            <w:vAlign w:val="bottom"/>
          </w:tcPr>
          <w:p>
            <w:pPr>
              <w:ind w:left="320"/>
              <w:spacing w:after="0"/>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13d-1(d)</w:t>
            </w:r>
          </w:p>
        </w:tc>
      </w:tr>
    </w:tbl>
    <w:p>
      <w:pPr>
        <w:spacing w:after="0" w:line="109" w:lineRule="exact"/>
        <w:rPr>
          <w:sz w:val="24"/>
          <w:szCs w:val="24"/>
          <w:color w:val="auto"/>
        </w:rPr>
      </w:pPr>
    </w:p>
    <w:p>
      <w:pPr>
        <w:ind w:right="2759"/>
        <w:spacing w:after="0" w:line="31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jc w:val="both"/>
        <w:ind w:right="265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132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302301106</w:t>
            </w:r>
          </w:p>
        </w:tc>
      </w:tr>
    </w:tbl>
    <w:p>
      <w:pPr>
        <w:spacing w:after="0" w:line="31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First Wilshire Securities Management, Inc.</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ID</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95-2844956</w:t>
      </w:r>
    </w:p>
    <w:p>
      <w:pPr>
        <w:spacing w:after="0" w:line="201"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53" w:lineRule="exact"/>
        <w:rPr>
          <w:rFonts w:ascii="Courier New" w:cs="Courier New" w:eastAsia="Courier New" w:hAnsi="Courier New"/>
          <w:sz w:val="16"/>
          <w:szCs w:val="16"/>
          <w:color w:val="auto"/>
        </w:rPr>
      </w:pPr>
    </w:p>
    <w:p>
      <w:pPr>
        <w:ind w:left="1380" w:hanging="529"/>
        <w:spacing w:after="0" w:line="238" w:lineRule="auto"/>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380" w:hanging="529"/>
        <w:spacing w:after="0"/>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ind w:left="860" w:hanging="852"/>
        <w:spacing w:after="0"/>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 . . . . . . . . . . . . . . . . . . . . . . . . . . .</w:t>
      </w:r>
    </w:p>
    <w:p>
      <w:pPr>
        <w:spacing w:after="0" w:line="223" w:lineRule="exact"/>
        <w:rPr>
          <w:rFonts w:ascii="Courier New" w:cs="Courier New" w:eastAsia="Courier New" w:hAnsi="Courier New"/>
          <w:sz w:val="16"/>
          <w:szCs w:val="16"/>
          <w:color w:val="auto"/>
        </w:rPr>
      </w:pPr>
    </w:p>
    <w:p>
      <w:pPr>
        <w:ind w:left="860" w:right="5499" w:hanging="843"/>
        <w:spacing w:after="0" w:line="47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4Citizenship or Place of Organization California</w:t>
      </w:r>
    </w:p>
    <w:p>
      <w:pPr>
        <w:spacing w:after="0" w:line="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6"/>
          <w:szCs w:val="16"/>
          <w:color w:val="auto"/>
        </w:rPr>
      </w:pPr>
    </w:p>
    <w:p>
      <w:pPr>
        <w:ind w:left="1160" w:hanging="309"/>
        <w:spacing w:after="0"/>
        <w:tabs>
          <w:tab w:leader="none" w:pos="11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2,402,930</w:t>
      </w:r>
    </w:p>
    <w:p>
      <w:pPr>
        <w:spacing w:after="0" w:line="201" w:lineRule="exact"/>
        <w:rPr>
          <w:sz w:val="24"/>
          <w:szCs w:val="24"/>
          <w:color w:val="auto"/>
        </w:rPr>
      </w:pPr>
    </w:p>
    <w:p>
      <w:pPr>
        <w:ind w:left="1700" w:right="6979" w:hanging="849"/>
        <w:spacing w:after="0" w:line="476" w:lineRule="auto"/>
        <w:tabs>
          <w:tab w:leader="none" w:pos="1173"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1" w:lineRule="exact"/>
        <w:rPr>
          <w:rFonts w:ascii="Courier New" w:cs="Courier New" w:eastAsia="Courier New" w:hAnsi="Courier New"/>
          <w:sz w:val="18"/>
          <w:szCs w:val="18"/>
          <w:color w:val="auto"/>
        </w:rPr>
      </w:pPr>
    </w:p>
    <w:p>
      <w:pPr>
        <w:ind w:left="1700" w:right="6659" w:hanging="849"/>
        <w:spacing w:after="0" w:line="476" w:lineRule="auto"/>
        <w:tabs>
          <w:tab w:leader="none" w:pos="1173"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2,460,189</w:t>
      </w:r>
    </w:p>
    <w:p>
      <w:pPr>
        <w:spacing w:after="0" w:line="1" w:lineRule="exact"/>
        <w:rPr>
          <w:rFonts w:ascii="Courier New" w:cs="Courier New" w:eastAsia="Courier New" w:hAnsi="Courier New"/>
          <w:sz w:val="18"/>
          <w:szCs w:val="18"/>
          <w:color w:val="auto"/>
        </w:rPr>
      </w:pPr>
    </w:p>
    <w:p>
      <w:pPr>
        <w:ind w:left="1700" w:right="6439" w:hanging="849"/>
        <w:spacing w:after="0" w:line="476" w:lineRule="auto"/>
        <w:tabs>
          <w:tab w:leader="none" w:pos="1173"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ectPr>
          <w:pgSz w:w="11900" w:h="16838" w:orient="portrait"/>
          <w:cols w:equalWidth="0" w:num="1">
            <w:col w:w="10139"/>
          </w:cols>
          <w:pgMar w:left="320" w:top="218" w:right="1440" w:bottom="0" w:gutter="0" w:footer="0" w:header="0"/>
        </w:sectPr>
      </w:pPr>
    </w:p>
    <w:bookmarkStart w:id="1" w:name="page2"/>
    <w:bookmarkEnd w:id="1"/>
    <w:p>
      <w:pPr>
        <w:spacing w:after="0" w:line="5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2,460,189</w:t>
      </w:r>
    </w:p>
    <w:p>
      <w:pPr>
        <w:spacing w:after="0" w:line="201" w:lineRule="exact"/>
        <w:rPr>
          <w:sz w:val="20"/>
          <w:szCs w:val="20"/>
          <w:color w:val="auto"/>
        </w:rPr>
      </w:pPr>
    </w:p>
    <w:p>
      <w:pPr>
        <w:ind w:right="2979" w:firstLine="8"/>
        <w:spacing w:after="0" w:line="346"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4.7%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 (See Instructions)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EZCORP, INC.</w:t>
      </w:r>
    </w:p>
    <w:p>
      <w:pPr>
        <w:spacing w:after="0" w:line="169" w:lineRule="exact"/>
        <w:rPr>
          <w:rFonts w:ascii="Courier New" w:cs="Courier New" w:eastAsia="Courier New" w:hAnsi="Courier New"/>
          <w:sz w:val="18"/>
          <w:szCs w:val="18"/>
          <w:color w:val="auto"/>
        </w:rPr>
      </w:pPr>
    </w:p>
    <w:p>
      <w:pPr>
        <w:ind w:left="860" w:right="4339" w:hanging="852"/>
        <w:spacing w:after="0" w:line="292"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2500 Bee Cave Road, Bldg One, Suite 200 Rollingwood, TX 78746</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First Wilshire Securities Management, Inc.</w:t>
      </w:r>
    </w:p>
    <w:p>
      <w:pPr>
        <w:spacing w:after="0" w:line="201" w:lineRule="exact"/>
        <w:rPr>
          <w:rFonts w:ascii="Courier New" w:cs="Courier New" w:eastAsia="Courier New" w:hAnsi="Courier New"/>
          <w:sz w:val="18"/>
          <w:szCs w:val="18"/>
          <w:color w:val="auto"/>
        </w:rPr>
      </w:pPr>
    </w:p>
    <w:p>
      <w:pPr>
        <w:ind w:left="860" w:right="2859" w:hanging="852"/>
        <w:spacing w:after="0" w:line="536" w:lineRule="auto"/>
        <w:tabs>
          <w:tab w:leader="none" w:pos="8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1214 East Green Street, Suite 104, Pasadena, California 91106</w:t>
      </w:r>
    </w:p>
    <w:p>
      <w:pPr>
        <w:ind w:left="860" w:right="8139" w:hanging="852"/>
        <w:spacing w:after="0" w:line="536" w:lineRule="auto"/>
        <w:tabs>
          <w:tab w:leader="none" w:pos="8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California</w:t>
      </w:r>
    </w:p>
    <w:p>
      <w:pPr>
        <w:ind w:left="860" w:right="6339" w:hanging="852"/>
        <w:spacing w:after="0" w:line="47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302301106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If this statement is filed pursuant to 240.13d-1(b) or 240.13d-2(b)</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(c), check whether the person filing is a:</w:t>
      </w:r>
    </w:p>
    <w:p>
      <w:pPr>
        <w:spacing w:after="0" w:line="169" w:lineRule="exact"/>
        <w:rPr>
          <w:sz w:val="20"/>
          <w:szCs w:val="20"/>
          <w:color w:val="auto"/>
        </w:rPr>
      </w:pPr>
    </w:p>
    <w:p>
      <w:pPr>
        <w:ind w:right="2659" w:firstLine="8"/>
        <w:spacing w:after="0" w:line="346" w:lineRule="auto"/>
        <w:tabs>
          <w:tab w:leader="none" w:pos="84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78c)</w:t>
      </w:r>
    </w:p>
    <w:p>
      <w:pPr>
        <w:spacing w:after="0" w:line="19"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Bank as defined in section 3(a)(6) of the Act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 U.S.C. 78c).</w:t>
      </w:r>
    </w:p>
    <w:p>
      <w:pPr>
        <w:spacing w:after="0" w:line="169" w:lineRule="exact"/>
        <w:rPr>
          <w:sz w:val="20"/>
          <w:szCs w:val="20"/>
          <w:color w:val="auto"/>
        </w:rPr>
      </w:pPr>
    </w:p>
    <w:p>
      <w:pPr>
        <w:ind w:right="2239" w:firstLine="8"/>
        <w:spacing w:after="0" w:line="346"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19" w:lineRule="exact"/>
        <w:rPr>
          <w:rFonts w:ascii="Courier New" w:cs="Courier New" w:eastAsia="Courier New" w:hAnsi="Courier New"/>
          <w:sz w:val="18"/>
          <w:szCs w:val="18"/>
          <w:color w:val="auto"/>
        </w:rPr>
      </w:pPr>
    </w:p>
    <w:p>
      <w:pPr>
        <w:ind w:right="2979" w:firstLine="8"/>
        <w:spacing w:after="0" w:line="346"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19"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r>
        <w:rPr>
          <w:rFonts w:ascii="Courier New" w:cs="Courier New" w:eastAsia="Courier New" w:hAnsi="Courier New"/>
          <w:sz w:val="16"/>
          <w:szCs w:val="16"/>
          <w:color w:val="auto"/>
        </w:rPr>
        <w:t>An investment adviser in accordance with</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240.13d-1(b)(1)(ii)(E);</w:t>
      </w:r>
    </w:p>
    <w:p>
      <w:pPr>
        <w:spacing w:after="0" w:line="169" w:lineRule="exact"/>
        <w:rPr>
          <w:sz w:val="20"/>
          <w:szCs w:val="20"/>
          <w:color w:val="auto"/>
        </w:rPr>
      </w:pPr>
    </w:p>
    <w:p>
      <w:pPr>
        <w:ind w:right="2559" w:firstLine="8"/>
        <w:spacing w:after="0" w:line="346"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240.13d-1(b)(1)(ii)(F);</w:t>
      </w:r>
    </w:p>
    <w:p>
      <w:pPr>
        <w:spacing w:after="0" w:line="19" w:lineRule="exact"/>
        <w:rPr>
          <w:rFonts w:ascii="Courier New" w:cs="Courier New" w:eastAsia="Courier New" w:hAnsi="Courier New"/>
          <w:sz w:val="18"/>
          <w:szCs w:val="18"/>
          <w:color w:val="auto"/>
        </w:rPr>
      </w:pPr>
    </w:p>
    <w:p>
      <w:pPr>
        <w:ind w:right="2559" w:firstLine="8"/>
        <w:spacing w:after="0" w:line="346"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240.13d-1(b)(1)(ii)(G);</w:t>
      </w:r>
    </w:p>
    <w:p>
      <w:pPr>
        <w:spacing w:after="0" w:line="19" w:lineRule="exact"/>
        <w:rPr>
          <w:rFonts w:ascii="Courier New" w:cs="Courier New" w:eastAsia="Courier New" w:hAnsi="Courier New"/>
          <w:sz w:val="18"/>
          <w:szCs w:val="18"/>
          <w:color w:val="auto"/>
        </w:rPr>
      </w:pPr>
    </w:p>
    <w:p>
      <w:pPr>
        <w:ind w:right="2559" w:firstLine="8"/>
        <w:spacing w:after="0" w:line="346"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19" w:lineRule="exact"/>
        <w:rPr>
          <w:rFonts w:ascii="Courier New" w:cs="Courier New" w:eastAsia="Courier New" w:hAnsi="Courier New"/>
          <w:sz w:val="18"/>
          <w:szCs w:val="18"/>
          <w:color w:val="auto"/>
        </w:rPr>
      </w:pPr>
    </w:p>
    <w:p>
      <w:pPr>
        <w:ind w:right="2559" w:firstLine="8"/>
        <w:spacing w:after="0" w:line="292"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65"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A non-U.S. institution in accordance with</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240.13d-1(b)(1)(ii)(J);.</w:t>
      </w:r>
    </w:p>
    <w:p>
      <w:pPr>
        <w:spacing w:after="0" w:line="169" w:lineRule="exact"/>
        <w:rPr>
          <w:sz w:val="20"/>
          <w:szCs w:val="20"/>
          <w:color w:val="auto"/>
        </w:rPr>
      </w:pPr>
    </w:p>
    <w:p>
      <w:pPr>
        <w:ind w:right="2339" w:firstLine="8"/>
        <w:spacing w:after="0" w:line="346" w:lineRule="auto"/>
        <w:tabs>
          <w:tab w:leader="none" w:pos="84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240.13d-1(b)(1)(ii)(K).If filing as a non-U.S. institution in accordance with 240.13d-1(b)(ii)(J), please</w:t>
      </w:r>
    </w:p>
    <w:p>
      <w:pPr>
        <w:sectPr>
          <w:pgSz w:w="11900" w:h="16896" w:orient="portrait"/>
          <w:cols w:equalWidth="0" w:num="1">
            <w:col w:w="10139"/>
          </w:cols>
          <w:pgMar w:left="320" w:top="31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specify the type of institution: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right="2439"/>
        <w:spacing w:after="0" w:line="402"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tbl>
      <w:tblPr>
        <w:tblLayout w:type="fixed"/>
        <w:tblInd w:w="0" w:type="dxa"/>
        <w:tblCellMar>
          <w:top w:w="0" w:type="dxa"/>
          <w:left w:w="0" w:type="dxa"/>
          <w:bottom w:w="0" w:type="dxa"/>
          <w:right w:w="0" w:type="dxa"/>
        </w:tblCellMar>
      </w:tblPr>
      <w:tr>
        <w:trPr>
          <w:trHeight w:val="296"/>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44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Amount beneficially owned:</w:t>
            </w: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rPr>
              <w:t>2,460,189</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80"/>
              <w:spacing w:after="0"/>
              <w:rPr>
                <w:sz w:val="20"/>
                <w:szCs w:val="20"/>
                <w:color w:val="auto"/>
              </w:rPr>
            </w:pPr>
            <w:r>
              <w:rPr>
                <w:rFonts w:ascii="Courier New" w:cs="Courier New" w:eastAsia="Courier New" w:hAnsi="Courier New"/>
                <w:sz w:val="18"/>
                <w:szCs w:val="18"/>
                <w:color w:val="auto"/>
              </w:rPr>
              <w:t>Percent of class:</w:t>
            </w:r>
          </w:p>
        </w:tc>
        <w:tc>
          <w:tcPr>
            <w:tcW w:w="10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4.7%</w:t>
            </w:r>
          </w:p>
        </w:tc>
        <w:tc>
          <w:tcPr>
            <w:tcW w:w="1140" w:type="dxa"/>
            <w:vAlign w:val="bottom"/>
          </w:tcPr>
          <w:p>
            <w:pPr>
              <w:spacing w:after="0"/>
              <w:rPr>
                <w:sz w:val="24"/>
                <w:szCs w:val="24"/>
                <w:color w:val="auto"/>
              </w:rPr>
            </w:pPr>
          </w:p>
        </w:tc>
      </w:tr>
    </w:tbl>
    <w:p>
      <w:pPr>
        <w:spacing w:after="0" w:line="109" w:lineRule="exact"/>
        <w:rPr>
          <w:sz w:val="20"/>
          <w:szCs w:val="20"/>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700" w:right="4239" w:hanging="849"/>
        <w:spacing w:after="0" w:line="476" w:lineRule="auto"/>
        <w:tabs>
          <w:tab w:leader="none" w:pos="170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2,402,930</w:t>
      </w:r>
    </w:p>
    <w:p>
      <w:pPr>
        <w:spacing w:after="0" w:line="1" w:lineRule="exact"/>
        <w:rPr>
          <w:rFonts w:ascii="Courier New" w:cs="Courier New" w:eastAsia="Courier New" w:hAnsi="Courier New"/>
          <w:sz w:val="18"/>
          <w:szCs w:val="18"/>
          <w:color w:val="auto"/>
        </w:rPr>
      </w:pPr>
    </w:p>
    <w:p>
      <w:pPr>
        <w:ind w:left="1700" w:right="4019" w:hanging="849"/>
        <w:spacing w:after="0" w:line="476" w:lineRule="auto"/>
        <w:tabs>
          <w:tab w:leader="none" w:pos="170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1" w:lineRule="exact"/>
        <w:rPr>
          <w:rFonts w:ascii="Courier New" w:cs="Courier New" w:eastAsia="Courier New" w:hAnsi="Courier New"/>
          <w:sz w:val="18"/>
          <w:szCs w:val="18"/>
          <w:color w:val="auto"/>
        </w:rPr>
      </w:pPr>
    </w:p>
    <w:p>
      <w:pPr>
        <w:ind w:left="1700" w:right="2859" w:hanging="849"/>
        <w:spacing w:after="0" w:line="476" w:lineRule="auto"/>
        <w:tabs>
          <w:tab w:leader="none" w:pos="170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2,460,189</w:t>
      </w:r>
    </w:p>
    <w:p>
      <w:pPr>
        <w:spacing w:after="0" w:line="1" w:lineRule="exact"/>
        <w:rPr>
          <w:rFonts w:ascii="Courier New" w:cs="Courier New" w:eastAsia="Courier New" w:hAnsi="Courier New"/>
          <w:sz w:val="18"/>
          <w:szCs w:val="18"/>
          <w:color w:val="auto"/>
        </w:rPr>
      </w:pPr>
    </w:p>
    <w:p>
      <w:pPr>
        <w:ind w:left="1700" w:right="2659" w:hanging="849"/>
        <w:spacing w:after="0" w:line="476" w:lineRule="auto"/>
        <w:tabs>
          <w:tab w:leader="none" w:pos="170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1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Five Percent</w:t>
            </w:r>
          </w:p>
        </w:tc>
        <w:tc>
          <w:tcPr>
            <w:tcW w:w="8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or Less</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of a</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Class</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that as</w:t>
            </w:r>
          </w:p>
        </w:tc>
        <w:tc>
          <w:tcPr>
            <w:tcW w:w="14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of the date</w:t>
            </w:r>
          </w:p>
        </w:tc>
        <w:tc>
          <w:tcPr>
            <w:tcW w:w="0" w:type="dxa"/>
            <w:vAlign w:val="bottom"/>
          </w:tcPr>
          <w:p>
            <w:pPr>
              <w:spacing w:after="0"/>
              <w:rPr>
                <w:sz w:val="1"/>
                <w:szCs w:val="1"/>
                <w:color w:val="auto"/>
              </w:rPr>
            </w:pPr>
          </w:p>
        </w:tc>
      </w:tr>
      <w:tr>
        <w:trPr>
          <w:trHeight w:val="203"/>
        </w:trPr>
        <w:tc>
          <w:tcPr>
            <w:tcW w:w="2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If this statement is</w:t>
            </w:r>
          </w:p>
        </w:tc>
        <w:tc>
          <w:tcPr>
            <w:tcW w:w="1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being filed to</w:t>
            </w:r>
          </w:p>
        </w:tc>
        <w:tc>
          <w:tcPr>
            <w:tcW w:w="17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report the fact</w:t>
            </w:r>
          </w:p>
        </w:tc>
        <w:tc>
          <w:tcPr>
            <w:tcW w:w="80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hereof the reporting</w:t>
            </w:r>
          </w:p>
        </w:tc>
        <w:tc>
          <w:tcPr>
            <w:tcW w:w="2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person has ceased to</w:t>
            </w:r>
          </w:p>
        </w:tc>
        <w:tc>
          <w:tcPr>
            <w:tcW w:w="1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be the beneficial</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owner of more</w:t>
            </w:r>
          </w:p>
        </w:tc>
        <w:tc>
          <w:tcPr>
            <w:tcW w:w="0" w:type="dxa"/>
            <w:vAlign w:val="bottom"/>
          </w:tcPr>
          <w:p>
            <w:pPr>
              <w:spacing w:after="0"/>
              <w:rPr>
                <w:sz w:val="1"/>
                <w:szCs w:val="1"/>
                <w:color w:val="auto"/>
              </w:rPr>
            </w:pPr>
          </w:p>
        </w:tc>
      </w:tr>
      <w:tr>
        <w:trPr>
          <w:trHeight w:val="296"/>
        </w:trPr>
        <w:tc>
          <w:tcPr>
            <w:tcW w:w="1860" w:type="dxa"/>
            <w:vAlign w:val="bottom"/>
            <w:gridSpan w:val="2"/>
          </w:tcPr>
          <w:p>
            <w:pPr>
              <w:spacing w:after="0"/>
              <w:rPr>
                <w:sz w:val="20"/>
                <w:szCs w:val="20"/>
                <w:color w:val="auto"/>
              </w:rPr>
            </w:pPr>
            <w:r>
              <w:rPr>
                <w:rFonts w:ascii="Courier New" w:cs="Courier New" w:eastAsia="Courier New" w:hAnsi="Courier New"/>
                <w:sz w:val="18"/>
                <w:szCs w:val="18"/>
                <w:color w:val="auto"/>
              </w:rPr>
              <w:t>than five percent</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of</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the class of</w:t>
            </w:r>
          </w:p>
        </w:tc>
        <w:tc>
          <w:tcPr>
            <w:tcW w:w="1940" w:type="dxa"/>
            <w:vAlign w:val="bottom"/>
            <w:gridSpan w:val="4"/>
          </w:tcPr>
          <w:p>
            <w:pPr>
              <w:jc w:val="right"/>
              <w:ind w:right="12"/>
              <w:spacing w:after="0"/>
              <w:rPr>
                <w:sz w:val="20"/>
                <w:szCs w:val="20"/>
                <w:color w:val="auto"/>
              </w:rPr>
            </w:pPr>
            <w:r>
              <w:rPr>
                <w:rFonts w:ascii="Courier New" w:cs="Courier New" w:eastAsia="Courier New" w:hAnsi="Courier New"/>
                <w:sz w:val="18"/>
                <w:szCs w:val="18"/>
                <w:color w:val="auto"/>
                <w:w w:val="99"/>
              </w:rPr>
              <w:t>securities, check</w:t>
            </w:r>
          </w:p>
        </w:tc>
        <w:tc>
          <w:tcPr>
            <w:tcW w:w="2220" w:type="dxa"/>
            <w:vAlign w:val="bottom"/>
            <w:gridSpan w:val="2"/>
          </w:tcPr>
          <w:p>
            <w:pPr>
              <w:spacing w:after="0"/>
              <w:rPr>
                <w:sz w:val="20"/>
                <w:szCs w:val="20"/>
                <w:color w:val="auto"/>
              </w:rPr>
            </w:pPr>
            <w:r>
              <w:rPr>
                <w:rFonts w:ascii="Courier New" w:cs="Courier New" w:eastAsia="Courier New" w:hAnsi="Courier New"/>
                <w:sz w:val="18"/>
                <w:szCs w:val="18"/>
                <w:color w:val="auto"/>
              </w:rPr>
              <w:t>the following.[ ].</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of</w:t>
            </w:r>
          </w:p>
        </w:tc>
        <w:tc>
          <w:tcPr>
            <w:tcW w:w="15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More than Five</w:t>
            </w:r>
          </w:p>
        </w:tc>
        <w:tc>
          <w:tcPr>
            <w:tcW w:w="3960" w:type="dxa"/>
            <w:vAlign w:val="bottom"/>
            <w:gridSpan w:val="5"/>
          </w:tcPr>
          <w:p>
            <w:pPr>
              <w:ind w:left="60"/>
              <w:spacing w:after="0"/>
              <w:rPr>
                <w:sz w:val="20"/>
                <w:szCs w:val="20"/>
                <w:color w:val="auto"/>
              </w:rPr>
            </w:pPr>
            <w:r>
              <w:rPr>
                <w:rFonts w:ascii="Courier New" w:cs="Courier New" w:eastAsia="Courier New" w:hAnsi="Courier New"/>
                <w:sz w:val="18"/>
                <w:szCs w:val="18"/>
                <w:color w:val="auto"/>
                <w:w w:val="99"/>
              </w:rPr>
              <w:t>Percent on Behalf of Another Person.</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2239"/>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Parent Holding Company or Control Person.</w:t>
      </w: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31" w:lineRule="exact"/>
        <w:rPr>
          <w:sz w:val="20"/>
          <w:szCs w:val="20"/>
          <w:color w:val="auto"/>
        </w:rPr>
      </w:pPr>
    </w:p>
    <w:p>
      <w:pPr>
        <w:ind w:right="2759"/>
        <w:spacing w:after="0" w:line="273"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12,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Howard Lu</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Howard Lu</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Executive Officer</w:t>
      </w:r>
    </w:p>
    <w:p>
      <w:pPr>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1)"/>
      <w:numFmt w:val="lowerLetter"/>
      <w:start w:val="1"/>
    </w:lvl>
  </w:abstractNum>
  <w:abstractNum w:abstractNumId="2">
    <w:nsid w:val="515F007C"/>
    <w:multiLevelType w:val="hybridMultilevel"/>
    <w:lvl w:ilvl="0">
      <w:lvlJc w:val="left"/>
      <w:lvlText w:val="2"/>
      <w:numFmt w:val="bullet"/>
      <w:start w:val="1"/>
    </w:lvl>
    <w:lvl w:ilvl="1">
      <w:lvlJc w:val="left"/>
      <w:lvlText w:val="(%2)"/>
      <w:numFmt w:val="lowerLetter"/>
      <w:start w:val="1"/>
    </w:lvl>
  </w:abstractNum>
  <w:abstractNum w:abstractNumId="3">
    <w:nsid w:val="5BD062C2"/>
    <w:multiLevelType w:val="hybridMultilevel"/>
    <w:lvl w:ilvl="0">
      <w:lvlJc w:val="left"/>
      <w:lvlText w:val="3"/>
      <w:numFmt w:val="bullet"/>
      <w:start w:val="1"/>
    </w:lvl>
    <w:lvl w:ilvl="1">
      <w:lvlJc w:val="left"/>
      <w:lvlText w:val="%2."/>
      <w:numFmt w:val="decimal"/>
      <w:start w:val="5"/>
    </w:lvl>
  </w:abstractNum>
  <w:abstractNum w:abstractNumId="4">
    <w:nsid w:val="12200854"/>
    <w:multiLevelType w:val="hybridMultilevel"/>
    <w:lvl w:ilvl="0">
      <w:lvlJc w:val="left"/>
      <w:lvlText w:val="%1"/>
      <w:numFmt w:val="decimal"/>
      <w:start w:val="1"/>
    </w:lvl>
    <w:lvl w:ilvl="1">
      <w:lvlJc w:val="left"/>
      <w:lvlText w:val="%2."/>
      <w:numFmt w:val="decimal"/>
      <w:start w:val="6"/>
    </w:lvl>
  </w:abstractNum>
  <w:abstractNum w:abstractNumId="5">
    <w:nsid w:val="4DB127F8"/>
    <w:multiLevelType w:val="hybridMultilevel"/>
    <w:lvl w:ilvl="0">
      <w:lvlJc w:val="left"/>
      <w:lvlText w:val="%1."/>
      <w:numFmt w:val="decimal"/>
      <w:start w:val="9"/>
    </w:lvl>
    <w:lvl w:ilvl="1">
      <w:lvlJc w:val="left"/>
      <w:lvlText w:val="%2"/>
      <w:numFmt w:val="decimal"/>
      <w:start w:val="1"/>
    </w:lvl>
  </w:abstractNum>
  <w:abstractNum w:abstractNumId="6">
    <w:nsid w:val="216231B"/>
    <w:multiLevelType w:val="hybridMultilevel"/>
    <w:lvl w:ilvl="0">
      <w:lvlJc w:val="left"/>
      <w:lvlText w:val="%1."/>
      <w:numFmt w:val="decimal"/>
      <w:start w:val="10"/>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3"/>
    </w:lvl>
  </w:abstractNum>
  <w:abstractNum w:abstractNumId="11">
    <w:nsid w:val="3352255A"/>
    <w:multiLevelType w:val="hybridMultilevel"/>
    <w:lvl w:ilvl="0">
      <w:lvlJc w:val="left"/>
      <w:lvlText w:val="(%1)"/>
      <w:numFmt w:val="lowerLetter"/>
      <w:start w:val="6"/>
    </w:lvl>
  </w:abstractNum>
  <w:abstractNum w:abstractNumId="12">
    <w:nsid w:val="109CF92E"/>
    <w:multiLevelType w:val="hybridMultilevel"/>
    <w:lvl w:ilvl="0">
      <w:lvlJc w:val="left"/>
      <w:lvlText w:val="(%1)"/>
      <w:numFmt w:val="lowerLetter"/>
      <w:start w:val="11"/>
    </w:lvl>
  </w:abstractNum>
  <w:abstractNum w:abstractNumId="13">
    <w:nsid w:val="DED7263"/>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2024-02-12T16:10:04Z</dcterms:created>
  <dcterms:modified xsi:type="dcterms:W3CDTF">2024-02-12T16:10:04Z</dcterms:modified>
</cp:coreProperties>
</file>