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125730</wp:posOffset>
            </wp:positionV>
            <wp:extent cx="18942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8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76835</wp:posOffset>
            </wp:positionV>
            <wp:extent cx="1894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67" w:lineRule="exact"/>
        <w:rPr>
          <w:sz w:val="24"/>
          <w:szCs w:val="24"/>
          <w:color w:val="auto"/>
        </w:rPr>
      </w:pPr>
    </w:p>
    <w:p>
      <w:pPr>
        <w:ind w:left="3600" w:right="760" w:hanging="2980"/>
        <w:spacing w:after="0" w:line="408" w:lineRule="auto"/>
        <w:tabs>
          <w:tab w:leader="none" w:pos="1220"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2022 or</w:t>
      </w:r>
    </w:p>
    <w:p>
      <w:pPr>
        <w:spacing w:after="0" w:line="41" w:lineRule="exact"/>
        <w:rPr>
          <w:sz w:val="24"/>
          <w:szCs w:val="24"/>
          <w:color w:val="auto"/>
        </w:rPr>
      </w:pPr>
    </w:p>
    <w:p>
      <w:pPr>
        <w:ind w:left="1220" w:hanging="600"/>
        <w:spacing w:after="0"/>
        <w:tabs>
          <w:tab w:leader="none" w:pos="1220" w:val="left"/>
        </w:tabs>
        <w:numPr>
          <w:ilvl w:val="0"/>
          <w:numId w:val="2"/>
        </w:numPr>
        <w:rPr>
          <w:rFonts w:ascii="MS PGothic" w:cs="MS PGothic" w:eastAsia="MS PGothic" w:hAnsi="MS PGothic"/>
          <w:sz w:val="25"/>
          <w:szCs w:val="25"/>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61" w:lineRule="exact"/>
        <w:rPr>
          <w:sz w:val="24"/>
          <w:szCs w:val="24"/>
          <w:color w:val="auto"/>
        </w:rPr>
      </w:pPr>
    </w:p>
    <w:p>
      <w:pPr>
        <w:ind w:left="31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3606165</wp:posOffset>
            </wp:positionH>
            <wp:positionV relativeFrom="paragraph">
              <wp:posOffset>-5080</wp:posOffset>
            </wp:positionV>
            <wp:extent cx="1567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7815" cy="8255"/>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0-19424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54610</wp:posOffset>
            </wp:positionV>
            <wp:extent cx="2005965"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596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EZCORP, INC.</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86" w:lineRule="exact"/>
        <w:rPr>
          <w:sz w:val="24"/>
          <w:szCs w:val="24"/>
          <w:color w:val="auto"/>
        </w:rPr>
      </w:pPr>
    </w:p>
    <w:tbl>
      <w:tblPr>
        <w:tblLayout w:type="fixed"/>
        <w:tblInd w:w="266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2840" w:type="dxa"/>
            <w:vAlign w:val="bottom"/>
          </w:tcPr>
          <w:p>
            <w:pPr>
              <w:jc w:val="center"/>
              <w:ind w:right="1168"/>
              <w:spacing w:after="0"/>
              <w:rPr>
                <w:sz w:val="20"/>
                <w:szCs w:val="20"/>
                <w:color w:val="auto"/>
              </w:rPr>
            </w:pPr>
            <w:r>
              <w:rPr>
                <w:rFonts w:ascii="Arial" w:cs="Arial" w:eastAsia="Arial" w:hAnsi="Arial"/>
                <w:sz w:val="14"/>
                <w:szCs w:val="14"/>
                <w:b w:val="1"/>
                <w:bCs w:val="1"/>
                <w:color w:val="auto"/>
              </w:rPr>
              <w:t>Delaware</w:t>
            </w:r>
          </w:p>
        </w:tc>
        <w:tc>
          <w:tcPr>
            <w:tcW w:w="2020" w:type="dxa"/>
            <w:vAlign w:val="bottom"/>
          </w:tcPr>
          <w:p>
            <w:pPr>
              <w:jc w:val="right"/>
              <w:ind w:right="508"/>
              <w:spacing w:after="0"/>
              <w:rPr>
                <w:sz w:val="20"/>
                <w:szCs w:val="20"/>
                <w:color w:val="auto"/>
              </w:rPr>
            </w:pPr>
            <w:r>
              <w:rPr>
                <w:rFonts w:ascii="Arial" w:cs="Arial" w:eastAsia="Arial" w:hAnsi="Arial"/>
                <w:sz w:val="14"/>
                <w:szCs w:val="14"/>
                <w:b w:val="1"/>
                <w:bCs w:val="1"/>
                <w:color w:val="auto"/>
              </w:rPr>
              <w:t>74-2540145</w:t>
            </w:r>
          </w:p>
        </w:tc>
        <w:tc>
          <w:tcPr>
            <w:tcW w:w="0" w:type="dxa"/>
            <w:vAlign w:val="bottom"/>
          </w:tcPr>
          <w:p>
            <w:pPr>
              <w:spacing w:after="0"/>
              <w:rPr>
                <w:sz w:val="1"/>
                <w:szCs w:val="1"/>
                <w:color w:val="auto"/>
              </w:rPr>
            </w:pPr>
          </w:p>
        </w:tc>
      </w:tr>
      <w:tr>
        <w:trPr>
          <w:trHeight w:val="179"/>
        </w:trPr>
        <w:tc>
          <w:tcPr>
            <w:tcW w:w="3940" w:type="dxa"/>
            <w:vAlign w:val="bottom"/>
            <w:gridSpan w:val="2"/>
            <w:vMerge w:val="restart"/>
          </w:tcPr>
          <w:p>
            <w:pPr>
              <w:jc w:val="center"/>
              <w:ind w:right="68"/>
              <w:spacing w:after="0"/>
              <w:rPr>
                <w:sz w:val="20"/>
                <w:szCs w:val="20"/>
                <w:color w:val="auto"/>
              </w:rPr>
            </w:pPr>
            <w:r>
              <w:rPr>
                <w:rFonts w:ascii="Arial" w:cs="Arial" w:eastAsia="Arial" w:hAnsi="Arial"/>
                <w:sz w:val="14"/>
                <w:szCs w:val="14"/>
                <w:color w:val="auto"/>
              </w:rPr>
              <w:t>(State or other jurisdiction of incorporation or organization)</w:t>
            </w:r>
          </w:p>
        </w:tc>
        <w:tc>
          <w:tcPr>
            <w:tcW w:w="2020" w:type="dxa"/>
            <w:vAlign w:val="bottom"/>
          </w:tcPr>
          <w:p>
            <w:pPr>
              <w:jc w:val="center"/>
              <w:ind w:left="48"/>
              <w:spacing w:after="0"/>
              <w:rPr>
                <w:sz w:val="20"/>
                <w:szCs w:val="20"/>
                <w:color w:val="auto"/>
              </w:rPr>
            </w:pPr>
            <w:r>
              <w:rPr>
                <w:rFonts w:ascii="Arial" w:cs="Arial" w:eastAsia="Arial" w:hAnsi="Arial"/>
                <w:sz w:val="14"/>
                <w:szCs w:val="14"/>
                <w:color w:val="auto"/>
              </w:rPr>
              <w:t>(I.R.S. Employer Identification</w:t>
            </w:r>
          </w:p>
        </w:tc>
        <w:tc>
          <w:tcPr>
            <w:tcW w:w="0" w:type="dxa"/>
            <w:vAlign w:val="bottom"/>
          </w:tcPr>
          <w:p>
            <w:pPr>
              <w:spacing w:after="0"/>
              <w:rPr>
                <w:sz w:val="1"/>
                <w:szCs w:val="1"/>
                <w:color w:val="auto"/>
              </w:rPr>
            </w:pPr>
          </w:p>
        </w:tc>
      </w:tr>
      <w:tr>
        <w:trPr>
          <w:trHeight w:val="172"/>
        </w:trPr>
        <w:tc>
          <w:tcPr>
            <w:tcW w:w="3940" w:type="dxa"/>
            <w:vAlign w:val="bottom"/>
            <w:gridSpan w:val="2"/>
            <w:vMerge w:val="continue"/>
          </w:tcPr>
          <w:p>
            <w:pPr>
              <w:spacing w:after="0"/>
              <w:rPr>
                <w:sz w:val="14"/>
                <w:szCs w:val="14"/>
                <w:color w:val="auto"/>
              </w:rPr>
            </w:pPr>
          </w:p>
        </w:tc>
        <w:tc>
          <w:tcPr>
            <w:tcW w:w="2020" w:type="dxa"/>
            <w:vAlign w:val="bottom"/>
          </w:tcPr>
          <w:p>
            <w:pPr>
              <w:jc w:val="center"/>
              <w:ind w:left="28"/>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01"/>
        </w:trPr>
        <w:tc>
          <w:tcPr>
            <w:tcW w:w="1100" w:type="dxa"/>
            <w:vAlign w:val="bottom"/>
          </w:tcPr>
          <w:p>
            <w:pPr>
              <w:jc w:val="center"/>
              <w:ind w:right="8"/>
              <w:spacing w:after="0"/>
              <w:rPr>
                <w:sz w:val="20"/>
                <w:szCs w:val="20"/>
                <w:color w:val="auto"/>
              </w:rPr>
            </w:pPr>
            <w:r>
              <w:rPr>
                <w:rFonts w:ascii="Arial" w:cs="Arial" w:eastAsia="Arial" w:hAnsi="Arial"/>
                <w:sz w:val="14"/>
                <w:szCs w:val="14"/>
                <w:b w:val="1"/>
                <w:bCs w:val="1"/>
                <w:color w:val="auto"/>
              </w:rPr>
              <w:t>2500 Bee Cave</w:t>
            </w:r>
          </w:p>
        </w:tc>
        <w:tc>
          <w:tcPr>
            <w:tcW w:w="2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Bldg One Suite 200 Rollingwood  TX</w:t>
            </w:r>
          </w:p>
        </w:tc>
        <w:tc>
          <w:tcPr>
            <w:tcW w:w="2020" w:type="dxa"/>
            <w:vAlign w:val="bottom"/>
            <w:vMerge w:val="restart"/>
          </w:tcPr>
          <w:p>
            <w:pPr>
              <w:jc w:val="right"/>
              <w:ind w:right="688"/>
              <w:spacing w:after="0"/>
              <w:rPr>
                <w:sz w:val="20"/>
                <w:szCs w:val="20"/>
                <w:color w:val="auto"/>
              </w:rPr>
            </w:pPr>
            <w:r>
              <w:rPr>
                <w:rFonts w:ascii="Arial" w:cs="Arial" w:eastAsia="Arial" w:hAnsi="Arial"/>
                <w:sz w:val="14"/>
                <w:szCs w:val="14"/>
                <w:b w:val="1"/>
                <w:bCs w:val="1"/>
                <w:color w:val="auto"/>
              </w:rPr>
              <w:t>78746</w:t>
            </w:r>
          </w:p>
        </w:tc>
        <w:tc>
          <w:tcPr>
            <w:tcW w:w="0" w:type="dxa"/>
            <w:vAlign w:val="bottom"/>
          </w:tcPr>
          <w:p>
            <w:pPr>
              <w:spacing w:after="0"/>
              <w:rPr>
                <w:sz w:val="1"/>
                <w:szCs w:val="1"/>
                <w:color w:val="auto"/>
              </w:rPr>
            </w:pPr>
          </w:p>
        </w:tc>
      </w:tr>
      <w:tr>
        <w:trPr>
          <w:trHeight w:val="190"/>
        </w:trPr>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Road</w:t>
            </w:r>
          </w:p>
        </w:tc>
        <w:tc>
          <w:tcPr>
            <w:tcW w:w="2840" w:type="dxa"/>
            <w:vAlign w:val="bottom"/>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40" w:type="dxa"/>
            <w:vAlign w:val="bottom"/>
            <w:gridSpan w:val="2"/>
          </w:tcPr>
          <w:p>
            <w:pPr>
              <w:jc w:val="center"/>
              <w:ind w:right="48"/>
              <w:spacing w:after="0"/>
              <w:rPr>
                <w:sz w:val="20"/>
                <w:szCs w:val="20"/>
                <w:color w:val="auto"/>
              </w:rPr>
            </w:pPr>
            <w:r>
              <w:rPr>
                <w:rFonts w:ascii="Arial" w:cs="Arial" w:eastAsia="Arial" w:hAnsi="Arial"/>
                <w:sz w:val="14"/>
                <w:szCs w:val="14"/>
                <w:color w:val="auto"/>
              </w:rPr>
              <w:t>(Address of principal executive offices)</w:t>
            </w:r>
          </w:p>
        </w:tc>
        <w:tc>
          <w:tcPr>
            <w:tcW w:w="2020" w:type="dxa"/>
            <w:vAlign w:val="bottom"/>
          </w:tcPr>
          <w:p>
            <w:pPr>
              <w:jc w:val="center"/>
              <w:ind w:left="2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bl>
    <w:p>
      <w:pPr>
        <w:spacing w:after="0" w:line="16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111760</wp:posOffset>
            </wp:positionV>
            <wp:extent cx="2331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61"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9" w:lineRule="exact"/>
        <w:rPr>
          <w:sz w:val="24"/>
          <w:szCs w:val="24"/>
          <w:color w:val="auto"/>
        </w:rPr>
      </w:pPr>
    </w:p>
    <w:tbl>
      <w:tblPr>
        <w:tblLayout w:type="fixed"/>
        <w:tblInd w:w="1000" w:type="dxa"/>
        <w:tblCellMar>
          <w:top w:w="0" w:type="dxa"/>
          <w:left w:w="0" w:type="dxa"/>
          <w:bottom w:w="0" w:type="dxa"/>
          <w:right w:w="0" w:type="dxa"/>
        </w:tblCellMar>
      </w:tblPr>
      <w:tr>
        <w:trPr>
          <w:trHeight w:val="189"/>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60" w:type="dxa"/>
            <w:vAlign w:val="bottom"/>
          </w:tcPr>
          <w:p>
            <w:pPr>
              <w:spacing w:after="0"/>
              <w:rPr>
                <w:sz w:val="16"/>
                <w:szCs w:val="16"/>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3"/>
        </w:trPr>
        <w:tc>
          <w:tcPr>
            <w:tcW w:w="3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Class A Non-voting Common Stock, par value $.01 per</w:t>
            </w:r>
          </w:p>
        </w:tc>
        <w:tc>
          <w:tcPr>
            <w:tcW w:w="14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EZPW</w:t>
            </w:r>
          </w:p>
        </w:tc>
        <w:tc>
          <w:tcPr>
            <w:tcW w:w="3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NASDAQ Stock Market</w:t>
            </w:r>
          </w:p>
        </w:tc>
        <w:tc>
          <w:tcPr>
            <w:tcW w:w="0" w:type="dxa"/>
            <w:vAlign w:val="bottom"/>
          </w:tcPr>
          <w:p>
            <w:pPr>
              <w:spacing w:after="0"/>
              <w:rPr>
                <w:sz w:val="1"/>
                <w:szCs w:val="1"/>
                <w:color w:val="auto"/>
              </w:rPr>
            </w:pPr>
          </w:p>
        </w:tc>
      </w:tr>
      <w:tr>
        <w:trPr>
          <w:trHeight w:val="190"/>
        </w:trPr>
        <w:tc>
          <w:tcPr>
            <w:tcW w:w="3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c>
          <w:tcPr>
            <w:tcW w:w="1460" w:type="dxa"/>
            <w:vAlign w:val="bottom"/>
            <w:gridSpan w:val="2"/>
            <w:vMerge w:val="continue"/>
          </w:tcPr>
          <w:p>
            <w:pPr>
              <w:spacing w:after="0"/>
              <w:rPr>
                <w:sz w:val="16"/>
                <w:szCs w:val="16"/>
                <w:color w:val="auto"/>
              </w:rPr>
            </w:pPr>
          </w:p>
        </w:tc>
        <w:tc>
          <w:tcPr>
            <w:tcW w:w="3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rPr>
              <w:t>(NASDAQ Global Select Market)</w:t>
            </w:r>
          </w:p>
        </w:tc>
        <w:tc>
          <w:tcPr>
            <w:tcW w:w="0" w:type="dxa"/>
            <w:vAlign w:val="bottom"/>
          </w:tcPr>
          <w:p>
            <w:pPr>
              <w:spacing w:after="0"/>
              <w:rPr>
                <w:sz w:val="1"/>
                <w:szCs w:val="1"/>
                <w:color w:val="auto"/>
              </w:rPr>
            </w:pPr>
          </w:p>
        </w:tc>
      </w:tr>
    </w:tbl>
    <w:p>
      <w:pPr>
        <w:spacing w:after="0" w:line="138" w:lineRule="exact"/>
        <w:rPr>
          <w:sz w:val="24"/>
          <w:szCs w:val="24"/>
          <w:color w:val="auto"/>
        </w:rPr>
      </w:pPr>
    </w:p>
    <w:p>
      <w:pPr>
        <w:jc w:val="both"/>
        <w:ind w:right="60"/>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61" w:lineRule="exact"/>
        <w:tabs>
          <w:tab w:leader="none" w:pos="480" w:val="left"/>
          <w:tab w:leader="none" w:pos="110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12" w:lineRule="exact"/>
        <w:rPr>
          <w:sz w:val="24"/>
          <w:szCs w:val="24"/>
          <w:color w:val="auto"/>
        </w:rPr>
      </w:pPr>
    </w:p>
    <w:p>
      <w:pPr>
        <w:jc w:val="both"/>
        <w:ind w:right="60"/>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3" w:lineRule="exact"/>
        <w:rPr>
          <w:sz w:val="24"/>
          <w:szCs w:val="24"/>
          <w:color w:val="auto"/>
        </w:rPr>
      </w:pPr>
    </w:p>
    <w:p>
      <w:pPr>
        <w:jc w:val="both"/>
        <w:ind w:right="54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217" w:lineRule="exact"/>
        <w:rPr>
          <w:sz w:val="24"/>
          <w:szCs w:val="24"/>
          <w:color w:val="auto"/>
        </w:rPr>
      </w:pPr>
    </w:p>
    <w:tbl>
      <w:tblPr>
        <w:tblLayout w:type="fixed"/>
        <w:tblInd w:w="204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ind w:left="140"/>
              <w:spacing w:after="0"/>
              <w:rPr>
                <w:sz w:val="20"/>
                <w:szCs w:val="20"/>
                <w:color w:val="auto"/>
              </w:rPr>
            </w:pPr>
            <w:r>
              <w:rPr>
                <w:rFonts w:ascii="Arial" w:cs="Arial" w:eastAsia="Arial" w:hAnsi="Arial"/>
                <w:sz w:val="14"/>
                <w:szCs w:val="14"/>
                <w:color w:val="auto"/>
              </w:rPr>
              <w:t>Accelerated Filer</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320" w:type="dxa"/>
            <w:vAlign w:val="bottom"/>
          </w:tcPr>
          <w:p>
            <w:pPr>
              <w:spacing w:after="0"/>
              <w:rPr>
                <w:sz w:val="20"/>
                <w:szCs w:val="20"/>
                <w:color w:val="auto"/>
              </w:rPr>
            </w:pPr>
            <w:r>
              <w:rPr>
                <w:rFonts w:ascii="Arial" w:cs="Arial" w:eastAsia="Arial" w:hAnsi="Arial"/>
                <w:sz w:val="14"/>
                <w:szCs w:val="14"/>
                <w:color w:val="auto"/>
              </w:rPr>
              <w:t>Non-accelerated Filer</w:t>
            </w:r>
          </w:p>
        </w:tc>
        <w:tc>
          <w:tcPr>
            <w:tcW w:w="11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ind w:left="140"/>
              <w:spacing w:after="0"/>
              <w:rPr>
                <w:sz w:val="20"/>
                <w:szCs w:val="20"/>
                <w:color w:val="auto"/>
              </w:rPr>
            </w:pPr>
            <w:r>
              <w:rPr>
                <w:rFonts w:ascii="Arial" w:cs="Arial" w:eastAsia="Arial" w:hAnsi="Arial"/>
                <w:sz w:val="14"/>
                <w:szCs w:val="14"/>
                <w:color w:val="auto"/>
              </w:rPr>
              <w:t>Smaller Reporting Company</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Emerging Growth Company</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55" w:lineRule="exact"/>
        <w:rPr>
          <w:sz w:val="24"/>
          <w:szCs w:val="24"/>
          <w:color w:val="auto"/>
        </w:rPr>
      </w:pPr>
    </w:p>
    <w:p>
      <w:pPr>
        <w:ind w:right="26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spacing w:after="0" w:line="161" w:lineRule="exact"/>
        <w:tabs>
          <w:tab w:leader="none" w:pos="7340" w:val="left"/>
          <w:tab w:leader="none" w:pos="7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46"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86"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As of July 29, 2022, 53,685,333 shares of the registrant’s Class A Non-voting Common Stock ("Class A Common Stock"), par value $.01 per share, and 2,970,171 shares of the registrant’s Class B Voting Common Stock, par value $.01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2" w:right="37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500" w:type="dxa"/>
            <w:vAlign w:val="bottom"/>
            <w:gridSpan w:val="11"/>
          </w:tcPr>
          <w:p>
            <w:pPr>
              <w:jc w:val="center"/>
              <w:ind w:right="4240"/>
              <w:spacing w:after="0"/>
              <w:rPr>
                <w:sz w:val="20"/>
                <w:szCs w:val="20"/>
                <w:color w:val="auto"/>
              </w:rPr>
            </w:pPr>
            <w:r>
              <w:rPr>
                <w:rFonts w:ascii="Arial" w:cs="Arial" w:eastAsia="Arial" w:hAnsi="Arial"/>
                <w:sz w:val="18"/>
                <w:szCs w:val="18"/>
                <w:b w:val="1"/>
                <w:bCs w:val="1"/>
                <w:color w:val="auto"/>
                <w:w w:val="98"/>
              </w:rPr>
              <w:t>EZCORP, Inc.</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00" w:type="dxa"/>
            <w:vAlign w:val="bottom"/>
            <w:gridSpan w:val="11"/>
          </w:tcPr>
          <w:p>
            <w:pPr>
              <w:jc w:val="center"/>
              <w:ind w:right="4260"/>
              <w:spacing w:after="0"/>
              <w:rPr>
                <w:sz w:val="20"/>
                <w:szCs w:val="20"/>
                <w:color w:val="auto"/>
              </w:rPr>
            </w:pPr>
            <w:r>
              <w:rPr>
                <w:rFonts w:ascii="Arial" w:cs="Arial" w:eastAsia="Arial" w:hAnsi="Arial"/>
                <w:sz w:val="18"/>
                <w:szCs w:val="18"/>
                <w:b w:val="1"/>
                <w:bCs w:val="1"/>
                <w:color w:val="auto"/>
                <w:w w:val="99"/>
              </w:rPr>
              <w:t>INDEX TO FORM 10-Q</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980" w:type="dxa"/>
            <w:vAlign w:val="bottom"/>
            <w:gridSpan w:val="3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360" w:type="dxa"/>
            <w:vAlign w:val="bottom"/>
            <w:tcBorders>
              <w:top w:val="single" w:sz="8" w:color="0000FF"/>
              <w:bottom w:val="single" w:sz="8" w:color="0000FF"/>
            </w:tcBorders>
            <w:gridSpan w:val="9"/>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w:t>
              </w:r>
            </w:hyperlink>
          </w:p>
        </w:tc>
        <w:tc>
          <w:tcPr>
            <w:tcW w:w="400" w:type="dxa"/>
            <w:vAlign w:val="bottom"/>
            <w:tcBorders>
              <w:top w:val="single" w:sz="8" w:color="0000FF"/>
            </w:tcBorders>
            <w:gridSpan w:val="3"/>
          </w:tcPr>
          <w:p>
            <w:pPr>
              <w:spacing w:after="0"/>
              <w:rPr>
                <w:sz w:val="18"/>
                <w:szCs w:val="18"/>
                <w:color w:val="auto"/>
              </w:rPr>
            </w:pPr>
          </w:p>
        </w:tc>
        <w:tc>
          <w:tcPr>
            <w:tcW w:w="7900" w:type="dxa"/>
            <w:vAlign w:val="bottom"/>
            <w:gridSpan w:val="17"/>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80" w:type="dxa"/>
            <w:vAlign w:val="bottom"/>
            <w:gridSpan w:val="24"/>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Condensed Consolidated Balance Sheets as of June 30, 2022 and 2021 (Unaudited) and September 30, 2021</w:t>
              </w:r>
            </w:hyperlink>
          </w:p>
        </w:tc>
        <w:tc>
          <w:tcPr>
            <w:tcW w:w="1540" w:type="dxa"/>
            <w:vAlign w:val="bottom"/>
            <w:gridSpan w:val="4"/>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160" w:type="dxa"/>
            <w:vAlign w:val="bottom"/>
            <w:tcBorders>
              <w:bottom w:val="single" w:sz="8" w:color="0000FF"/>
            </w:tcBorders>
            <w:gridSpan w:val="25"/>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Condensed Consolidated Statements of Operations for the Three and Nine Months Ended June 30, 2022 and 2021</w:t>
              </w:r>
            </w:hyperlink>
          </w:p>
        </w:tc>
        <w:tc>
          <w:tcPr>
            <w:tcW w:w="1160" w:type="dxa"/>
            <w:vAlign w:val="bottom"/>
            <w:gridSpan w:val="3"/>
          </w:tcPr>
          <w:p>
            <w:pPr>
              <w:spacing w:after="0"/>
              <w:rPr>
                <w:sz w:val="18"/>
                <w:szCs w:val="18"/>
                <w:color w:val="auto"/>
              </w:rPr>
            </w:pPr>
          </w:p>
        </w:tc>
        <w:tc>
          <w:tcPr>
            <w:tcW w:w="240" w:type="dxa"/>
            <w:vAlign w:val="bottom"/>
            <w:gridSpan w:val="3"/>
            <w:vMerge w:val="restart"/>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gridSpan w:val="3"/>
            <w:vMerge w:val="restart"/>
          </w:tcPr>
          <w:p>
            <w:pPr>
              <w:spacing w:after="0" w:line="156"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(Unaudited)</w:t>
              </w:r>
            </w:hyperlink>
          </w:p>
        </w:tc>
        <w:tc>
          <w:tcPr>
            <w:tcW w:w="9380" w:type="dxa"/>
            <w:vAlign w:val="bottom"/>
            <w:gridSpan w:val="25"/>
            <w:vMerge w:val="restart"/>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Borders>
              <w:bottom w:val="single" w:sz="8" w:color="0000FF"/>
            </w:tcBorders>
            <w:gridSpan w:val="3"/>
            <w:vMerge w:val="continue"/>
          </w:tcPr>
          <w:p>
            <w:pPr>
              <w:spacing w:after="0"/>
              <w:rPr>
                <w:sz w:val="6"/>
                <w:szCs w:val="6"/>
                <w:color w:val="auto"/>
              </w:rPr>
            </w:pPr>
          </w:p>
        </w:tc>
        <w:tc>
          <w:tcPr>
            <w:tcW w:w="9380" w:type="dxa"/>
            <w:vAlign w:val="bottom"/>
            <w:gridSpan w:val="25"/>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380" w:type="dxa"/>
            <w:vAlign w:val="bottom"/>
            <w:tcBorders>
              <w:bottom w:val="single" w:sz="8" w:color="0000FF"/>
            </w:tcBorders>
            <w:gridSpan w:val="27"/>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Statements of Comprehensive Income for the Three and Nine Months Ended June 30, 2022</w:t>
              </w:r>
            </w:hyperlink>
          </w:p>
        </w:tc>
        <w:tc>
          <w:tcPr>
            <w:tcW w:w="940" w:type="dxa"/>
            <w:vAlign w:val="bottom"/>
          </w:tcPr>
          <w:p>
            <w:pPr>
              <w:spacing w:after="0"/>
              <w:rPr>
                <w:sz w:val="18"/>
                <w:szCs w:val="18"/>
                <w:color w:val="auto"/>
              </w:rPr>
            </w:pPr>
          </w:p>
        </w:tc>
        <w:tc>
          <w:tcPr>
            <w:tcW w:w="240" w:type="dxa"/>
            <w:vAlign w:val="bottom"/>
            <w:gridSpan w:val="3"/>
            <w:vMerge w:val="restart"/>
          </w:tcPr>
          <w:p>
            <w:pPr>
              <w:jc w:val="right"/>
              <w:ind w:right="4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40" w:type="dxa"/>
            <w:vAlign w:val="bottom"/>
            <w:gridSpan w:val="6"/>
            <w:vMerge w:val="restart"/>
          </w:tcPr>
          <w:p>
            <w:pPr>
              <w:spacing w:after="0" w:line="156" w:lineRule="exact"/>
              <w:rPr>
                <w:rFonts w:ascii="Arial" w:cs="Arial" w:eastAsia="Arial" w:hAnsi="Arial"/>
                <w:sz w:val="18"/>
                <w:szCs w:val="18"/>
                <w:color w:val="0000FF"/>
                <w:w w:val="98"/>
              </w:rPr>
            </w:pPr>
            <w:hyperlink w:anchor="page4">
              <w:r>
                <w:rPr>
                  <w:rFonts w:ascii="Arial" w:cs="Arial" w:eastAsia="Arial" w:hAnsi="Arial"/>
                  <w:sz w:val="18"/>
                  <w:szCs w:val="18"/>
                  <w:color w:val="0000FF"/>
                  <w:w w:val="98"/>
                </w:rPr>
                <w:t>and 2021 (Unaudited)</w:t>
              </w:r>
            </w:hyperlink>
          </w:p>
        </w:tc>
        <w:tc>
          <w:tcPr>
            <w:tcW w:w="8580" w:type="dxa"/>
            <w:vAlign w:val="bottom"/>
            <w:gridSpan w:val="22"/>
            <w:vMerge w:val="restart"/>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740" w:type="dxa"/>
            <w:vAlign w:val="bottom"/>
            <w:tcBorders>
              <w:bottom w:val="single" w:sz="8" w:color="0000FF"/>
            </w:tcBorders>
            <w:gridSpan w:val="6"/>
            <w:vMerge w:val="continue"/>
          </w:tcPr>
          <w:p>
            <w:pPr>
              <w:spacing w:after="0"/>
              <w:rPr>
                <w:sz w:val="6"/>
                <w:szCs w:val="6"/>
                <w:color w:val="auto"/>
              </w:rPr>
            </w:pPr>
          </w:p>
        </w:tc>
        <w:tc>
          <w:tcPr>
            <w:tcW w:w="8580" w:type="dxa"/>
            <w:vAlign w:val="bottom"/>
            <w:gridSpan w:val="2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40" w:type="dxa"/>
            <w:vAlign w:val="bottom"/>
            <w:tcBorders>
              <w:bottom w:val="single" w:sz="8" w:color="0000FF"/>
            </w:tcBorders>
            <w:gridSpan w:val="23"/>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Stockholders’ Equity for the Periods Ended June 30, 2022 and 2021</w:t>
              </w:r>
            </w:hyperlink>
          </w:p>
        </w:tc>
        <w:tc>
          <w:tcPr>
            <w:tcW w:w="1680" w:type="dxa"/>
            <w:vAlign w:val="bottom"/>
            <w:gridSpan w:val="5"/>
          </w:tcPr>
          <w:p>
            <w:pPr>
              <w:spacing w:after="0"/>
              <w:rPr>
                <w:sz w:val="18"/>
                <w:szCs w:val="18"/>
                <w:color w:val="auto"/>
              </w:rPr>
            </w:pPr>
          </w:p>
        </w:tc>
        <w:tc>
          <w:tcPr>
            <w:tcW w:w="240" w:type="dxa"/>
            <w:vAlign w:val="bottom"/>
            <w:gridSpan w:val="3"/>
            <w:vMerge w:val="restart"/>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gridSpan w:val="3"/>
            <w:vMerge w:val="restart"/>
          </w:tcPr>
          <w:p>
            <w:pPr>
              <w:spacing w:after="0" w:line="156" w:lineRule="exact"/>
              <w:rPr>
                <w:rFonts w:ascii="Arial" w:cs="Arial" w:eastAsia="Arial" w:hAnsi="Arial"/>
                <w:sz w:val="18"/>
                <w:szCs w:val="18"/>
                <w:color w:val="0000FF"/>
                <w:w w:val="97"/>
              </w:rPr>
            </w:pPr>
            <w:hyperlink w:anchor="page5">
              <w:r>
                <w:rPr>
                  <w:rFonts w:ascii="Arial" w:cs="Arial" w:eastAsia="Arial" w:hAnsi="Arial"/>
                  <w:sz w:val="18"/>
                  <w:szCs w:val="18"/>
                  <w:color w:val="0000FF"/>
                  <w:w w:val="97"/>
                </w:rPr>
                <w:t>(Unaudited)</w:t>
              </w:r>
            </w:hyperlink>
          </w:p>
        </w:tc>
        <w:tc>
          <w:tcPr>
            <w:tcW w:w="9380" w:type="dxa"/>
            <w:vAlign w:val="bottom"/>
            <w:gridSpan w:val="25"/>
            <w:vMerge w:val="restart"/>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Borders>
              <w:bottom w:val="single" w:sz="8" w:color="0000FF"/>
            </w:tcBorders>
            <w:gridSpan w:val="3"/>
            <w:vMerge w:val="continue"/>
          </w:tcPr>
          <w:p>
            <w:pPr>
              <w:spacing w:after="0"/>
              <w:rPr>
                <w:sz w:val="6"/>
                <w:szCs w:val="6"/>
                <w:color w:val="auto"/>
              </w:rPr>
            </w:pPr>
          </w:p>
        </w:tc>
        <w:tc>
          <w:tcPr>
            <w:tcW w:w="9380" w:type="dxa"/>
            <w:vAlign w:val="bottom"/>
            <w:gridSpan w:val="25"/>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340" w:type="dxa"/>
            <w:vAlign w:val="bottom"/>
            <w:gridSpan w:val="26"/>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Statements of Cash Flows for the Nine Months Ended June 30, 2022 and 2021 (Unaudited)</w:t>
              </w:r>
            </w:hyperlink>
          </w:p>
        </w:tc>
        <w:tc>
          <w:tcPr>
            <w:tcW w:w="980" w:type="dxa"/>
            <w:vAlign w:val="bottom"/>
            <w:gridSpan w:val="2"/>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60" w:type="dxa"/>
            <w:vAlign w:val="bottom"/>
            <w:gridSpan w:val="21"/>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Interim Condensed Consolidated Financial Statements (Unaudited)</w:t>
              </w:r>
            </w:hyperlink>
          </w:p>
        </w:tc>
        <w:tc>
          <w:tcPr>
            <w:tcW w:w="3280" w:type="dxa"/>
            <w:vAlign w:val="bottom"/>
            <w:gridSpan w:val="5"/>
          </w:tcPr>
          <w:p>
            <w:pPr>
              <w:spacing w:after="0"/>
              <w:rPr>
                <w:sz w:val="18"/>
                <w:szCs w:val="18"/>
                <w:color w:val="auto"/>
              </w:rPr>
            </w:pPr>
          </w:p>
        </w:tc>
        <w:tc>
          <w:tcPr>
            <w:tcW w:w="980" w:type="dxa"/>
            <w:vAlign w:val="bottom"/>
            <w:gridSpan w:val="2"/>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60" w:type="dxa"/>
            <w:vAlign w:val="bottom"/>
            <w:gridSpan w:val="20"/>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 1: Organization and Summary of Significant Accounting Policies</w:t>
              </w:r>
            </w:hyperlink>
          </w:p>
        </w:tc>
        <w:tc>
          <w:tcPr>
            <w:tcW w:w="4260" w:type="dxa"/>
            <w:vAlign w:val="bottom"/>
            <w:gridSpan w:val="7"/>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40" w:type="dxa"/>
            <w:vAlign w:val="bottom"/>
            <w:gridSpan w:val="19"/>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 2: Acquisitions</w:t>
              </w:r>
            </w:hyperlink>
          </w:p>
        </w:tc>
        <w:tc>
          <w:tcPr>
            <w:tcW w:w="4380" w:type="dxa"/>
            <w:vAlign w:val="bottom"/>
            <w:gridSpan w:val="8"/>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6"/>
          </w:tcPr>
          <w:p>
            <w:pPr>
              <w:spacing w:after="0"/>
              <w:rPr>
                <w:rFonts w:ascii="Arial" w:cs="Arial" w:eastAsia="Arial" w:hAnsi="Arial"/>
                <w:sz w:val="18"/>
                <w:szCs w:val="18"/>
                <w:color w:val="0000FF"/>
                <w:w w:val="93"/>
              </w:rPr>
            </w:pPr>
            <w:hyperlink w:anchor="page11">
              <w:r>
                <w:rPr>
                  <w:rFonts w:ascii="Arial" w:cs="Arial" w:eastAsia="Arial" w:hAnsi="Arial"/>
                  <w:sz w:val="18"/>
                  <w:szCs w:val="18"/>
                  <w:color w:val="0000FF"/>
                  <w:w w:val="93"/>
                </w:rPr>
                <w:t>Note 3: Goodwill</w:t>
              </w:r>
            </w:hyperlink>
          </w:p>
        </w:tc>
        <w:tc>
          <w:tcPr>
            <w:tcW w:w="260" w:type="dxa"/>
            <w:vAlign w:val="bottom"/>
          </w:tcPr>
          <w:p>
            <w:pPr>
              <w:spacing w:after="0"/>
              <w:rPr>
                <w:sz w:val="18"/>
                <w:szCs w:val="18"/>
                <w:color w:val="auto"/>
              </w:rPr>
            </w:pPr>
          </w:p>
        </w:tc>
        <w:tc>
          <w:tcPr>
            <w:tcW w:w="8300" w:type="dxa"/>
            <w:vAlign w:val="bottom"/>
            <w:gridSpan w:val="20"/>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11">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40" w:type="dxa"/>
            <w:vAlign w:val="bottom"/>
            <w:tcBorders>
              <w:bottom w:val="single" w:sz="8" w:color="0000FF"/>
            </w:tcBorders>
            <w:gridSpan w:val="11"/>
          </w:tcPr>
          <w:p>
            <w:pPr>
              <w:spacing w:after="0"/>
              <w:rPr>
                <w:rFonts w:ascii="Arial" w:cs="Arial" w:eastAsia="Arial" w:hAnsi="Arial"/>
                <w:sz w:val="18"/>
                <w:szCs w:val="18"/>
                <w:color w:val="0000FF"/>
                <w:w w:val="96"/>
              </w:rPr>
            </w:pPr>
            <w:hyperlink w:anchor="page11">
              <w:r>
                <w:rPr>
                  <w:rFonts w:ascii="Arial" w:cs="Arial" w:eastAsia="Arial" w:hAnsi="Arial"/>
                  <w:sz w:val="18"/>
                  <w:szCs w:val="18"/>
                  <w:color w:val="0000FF"/>
                  <w:w w:val="96"/>
                </w:rPr>
                <w:t>Note 4: Earnings Per Share</w:t>
              </w:r>
            </w:hyperlink>
          </w:p>
        </w:tc>
        <w:tc>
          <w:tcPr>
            <w:tcW w:w="7680" w:type="dxa"/>
            <w:vAlign w:val="bottom"/>
            <w:gridSpan w:val="16"/>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10</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20" w:type="dxa"/>
            <w:vAlign w:val="bottom"/>
            <w:gridSpan w:val="27"/>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Note 5: Leases</w:t>
              </w:r>
            </w:hyperlink>
          </w:p>
        </w:tc>
        <w:tc>
          <w:tcPr>
            <w:tcW w:w="240" w:type="dxa"/>
            <w:vAlign w:val="bottom"/>
            <w:gridSpan w:val="3"/>
          </w:tcPr>
          <w:p>
            <w:pPr>
              <w:jc w:val="right"/>
              <w:ind w:right="40"/>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10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bottom w:val="single" w:sz="8" w:color="0000FF"/>
            </w:tcBorders>
            <w:gridSpan w:val="12"/>
          </w:tcPr>
          <w:p>
            <w:pPr>
              <w:spacing w:after="0"/>
              <w:rPr>
                <w:rFonts w:ascii="Arial" w:cs="Arial" w:eastAsia="Arial" w:hAnsi="Arial"/>
                <w:sz w:val="18"/>
                <w:szCs w:val="18"/>
                <w:color w:val="0000FF"/>
                <w:w w:val="96"/>
              </w:rPr>
            </w:pPr>
            <w:hyperlink w:anchor="page13">
              <w:r>
                <w:rPr>
                  <w:rFonts w:ascii="Arial" w:cs="Arial" w:eastAsia="Arial" w:hAnsi="Arial"/>
                  <w:sz w:val="18"/>
                  <w:szCs w:val="18"/>
                  <w:color w:val="0000FF"/>
                  <w:w w:val="96"/>
                </w:rPr>
                <w:t>Note 6: Strategic Investments</w:t>
              </w:r>
            </w:hyperlink>
          </w:p>
        </w:tc>
        <w:tc>
          <w:tcPr>
            <w:tcW w:w="7520" w:type="dxa"/>
            <w:vAlign w:val="bottom"/>
            <w:gridSpan w:val="15"/>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12</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tcBorders>
              <w:bottom w:val="single" w:sz="8" w:color="0000FF"/>
            </w:tcBorders>
            <w:gridSpan w:val="14"/>
          </w:tcPr>
          <w:p>
            <w:pPr>
              <w:spacing w:after="0"/>
              <w:rPr>
                <w:rFonts w:ascii="Arial" w:cs="Arial" w:eastAsia="Arial" w:hAnsi="Arial"/>
                <w:sz w:val="18"/>
                <w:szCs w:val="18"/>
                <w:color w:val="0000FF"/>
                <w:w w:val="96"/>
              </w:rPr>
            </w:pPr>
            <w:hyperlink w:anchor="page14">
              <w:r>
                <w:rPr>
                  <w:rFonts w:ascii="Arial" w:cs="Arial" w:eastAsia="Arial" w:hAnsi="Arial"/>
                  <w:sz w:val="18"/>
                  <w:szCs w:val="18"/>
                  <w:color w:val="0000FF"/>
                  <w:w w:val="96"/>
                </w:rPr>
                <w:t>Note 7: Fair Value Measurements</w:t>
              </w:r>
            </w:hyperlink>
          </w:p>
        </w:tc>
        <w:tc>
          <w:tcPr>
            <w:tcW w:w="7200" w:type="dxa"/>
            <w:vAlign w:val="bottom"/>
            <w:gridSpan w:val="13"/>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12</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20" w:type="dxa"/>
            <w:vAlign w:val="bottom"/>
            <w:gridSpan w:val="27"/>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Note 8: Debt</w:t>
              </w:r>
            </w:hyperlink>
          </w:p>
        </w:tc>
        <w:tc>
          <w:tcPr>
            <w:tcW w:w="240" w:type="dxa"/>
            <w:vAlign w:val="bottom"/>
            <w:gridSpan w:val="3"/>
          </w:tcPr>
          <w:p>
            <w:pPr>
              <w:jc w:val="right"/>
              <w:ind w:right="40"/>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40" w:type="dxa"/>
            <w:vAlign w:val="bottom"/>
            <w:tcBorders>
              <w:bottom w:val="single" w:sz="8" w:color="0000FF"/>
            </w:tcBorders>
            <w:gridSpan w:val="15"/>
          </w:tcPr>
          <w:p>
            <w:pPr>
              <w:spacing w:after="0"/>
              <w:rPr>
                <w:rFonts w:ascii="Arial" w:cs="Arial" w:eastAsia="Arial" w:hAnsi="Arial"/>
                <w:sz w:val="18"/>
                <w:szCs w:val="18"/>
                <w:color w:val="0000FF"/>
                <w:w w:val="97"/>
              </w:rPr>
            </w:pPr>
            <w:hyperlink w:anchor="page18">
              <w:r>
                <w:rPr>
                  <w:rFonts w:ascii="Arial" w:cs="Arial" w:eastAsia="Arial" w:hAnsi="Arial"/>
                  <w:sz w:val="18"/>
                  <w:szCs w:val="18"/>
                  <w:color w:val="0000FF"/>
                  <w:w w:val="97"/>
                </w:rPr>
                <w:t>Note 9: Share-Based Compensation</w:t>
              </w:r>
            </w:hyperlink>
          </w:p>
        </w:tc>
        <w:tc>
          <w:tcPr>
            <w:tcW w:w="6980" w:type="dxa"/>
            <w:vAlign w:val="bottom"/>
            <w:gridSpan w:val="12"/>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16</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20" w:type="dxa"/>
            <w:vAlign w:val="bottom"/>
            <w:tcBorders>
              <w:bottom w:val="single" w:sz="8" w:color="0000FF"/>
            </w:tcBorders>
            <w:gridSpan w:val="16"/>
          </w:tcPr>
          <w:p>
            <w:pPr>
              <w:spacing w:after="0"/>
              <w:rPr>
                <w:rFonts w:ascii="Arial" w:cs="Arial" w:eastAsia="Arial" w:hAnsi="Arial"/>
                <w:sz w:val="18"/>
                <w:szCs w:val="18"/>
                <w:color w:val="0000FF"/>
                <w:w w:val="97"/>
              </w:rPr>
            </w:pPr>
            <w:hyperlink w:anchor="page19">
              <w:r>
                <w:rPr>
                  <w:rFonts w:ascii="Arial" w:cs="Arial" w:eastAsia="Arial" w:hAnsi="Arial"/>
                  <w:sz w:val="18"/>
                  <w:szCs w:val="18"/>
                  <w:color w:val="0000FF"/>
                  <w:w w:val="97"/>
                </w:rPr>
                <w:t>Note 10: Commitments and Contingencies</w:t>
              </w:r>
            </w:hyperlink>
          </w:p>
        </w:tc>
        <w:tc>
          <w:tcPr>
            <w:tcW w:w="6500" w:type="dxa"/>
            <w:vAlign w:val="bottom"/>
            <w:gridSpan w:val="11"/>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17</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Borders>
              <w:bottom w:val="single" w:sz="8" w:color="0000FF"/>
            </w:tcBorders>
            <w:gridSpan w:val="13"/>
          </w:tcPr>
          <w:p>
            <w:pPr>
              <w:spacing w:after="0"/>
              <w:rPr>
                <w:rFonts w:ascii="Arial" w:cs="Arial" w:eastAsia="Arial" w:hAnsi="Arial"/>
                <w:sz w:val="18"/>
                <w:szCs w:val="18"/>
                <w:color w:val="0000FF"/>
                <w:w w:val="96"/>
              </w:rPr>
            </w:pPr>
            <w:hyperlink w:anchor="page19">
              <w:r>
                <w:rPr>
                  <w:rFonts w:ascii="Arial" w:cs="Arial" w:eastAsia="Arial" w:hAnsi="Arial"/>
                  <w:sz w:val="18"/>
                  <w:szCs w:val="18"/>
                  <w:color w:val="0000FF"/>
                  <w:w w:val="96"/>
                </w:rPr>
                <w:t>Note 11: Segment Information</w:t>
              </w:r>
            </w:hyperlink>
          </w:p>
        </w:tc>
        <w:tc>
          <w:tcPr>
            <w:tcW w:w="7480" w:type="dxa"/>
            <w:vAlign w:val="bottom"/>
            <w:gridSpan w:val="14"/>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17</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0" w:type="dxa"/>
            <w:vAlign w:val="bottom"/>
            <w:tcBorders>
              <w:bottom w:val="single" w:sz="8" w:color="0000FF"/>
            </w:tcBorders>
            <w:gridSpan w:val="18"/>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Note 12: Supplemental Consolidated Financial Information</w:t>
              </w:r>
            </w:hyperlink>
          </w:p>
        </w:tc>
        <w:tc>
          <w:tcPr>
            <w:tcW w:w="5220" w:type="dxa"/>
            <w:vAlign w:val="bottom"/>
            <w:gridSpan w:val="9"/>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60" w:type="dxa"/>
            <w:vAlign w:val="bottom"/>
            <w:gridSpan w:val="29"/>
          </w:tcPr>
          <w:p>
            <w:pPr>
              <w:ind w:left="20"/>
              <w:spacing w:after="0"/>
              <w:rPr>
                <w:rFonts w:ascii="Arial" w:cs="Arial" w:eastAsia="Arial" w:hAnsi="Arial"/>
                <w:sz w:val="18"/>
                <w:szCs w:val="18"/>
                <w:color w:val="0000FF"/>
              </w:rPr>
            </w:pPr>
            <w:hyperlink w:anchor="page22">
              <w:r>
                <w:rPr>
                  <w:rFonts w:ascii="Arial" w:cs="Arial" w:eastAsia="Arial" w:hAnsi="Arial"/>
                  <w:sz w:val="18"/>
                  <w:szCs w:val="18"/>
                  <w:color w:val="0000FF"/>
                </w:rPr>
                <w:t>Item 2. Management’s Discussion and Analysis of Financial Condition and Results of Operations</w:t>
              </w:r>
            </w:hyperlink>
          </w:p>
        </w:tc>
        <w:tc>
          <w:tcPr>
            <w:tcW w:w="240" w:type="dxa"/>
            <w:vAlign w:val="bottom"/>
            <w:gridSpan w:val="3"/>
          </w:tcPr>
          <w:p>
            <w:pPr>
              <w:jc w:val="right"/>
              <w:ind w:right="4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21</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80" w:type="dxa"/>
            <w:vAlign w:val="bottom"/>
            <w:tcBorders>
              <w:top w:val="single" w:sz="8" w:color="0000FF"/>
            </w:tcBorders>
            <w:gridSpan w:val="23"/>
          </w:tcPr>
          <w:p>
            <w:pPr>
              <w:ind w:left="20"/>
              <w:spacing w:after="0"/>
              <w:rPr>
                <w:rFonts w:ascii="Arial" w:cs="Arial" w:eastAsia="Arial" w:hAnsi="Arial"/>
                <w:sz w:val="18"/>
                <w:szCs w:val="18"/>
                <w:color w:val="0000FF"/>
              </w:rPr>
            </w:pPr>
            <w:hyperlink w:anchor="page37">
              <w:r>
                <w:rPr>
                  <w:rFonts w:ascii="Arial" w:cs="Arial" w:eastAsia="Arial" w:hAnsi="Arial"/>
                  <w:sz w:val="18"/>
                  <w:szCs w:val="18"/>
                  <w:color w:val="0000FF"/>
                </w:rPr>
                <w:t>Item 3. Quantitative and Qualitative Disclosures about Market Risk</w:t>
              </w:r>
            </w:hyperlink>
          </w:p>
        </w:tc>
        <w:tc>
          <w:tcPr>
            <w:tcW w:w="2980" w:type="dxa"/>
            <w:vAlign w:val="bottom"/>
            <w:gridSpan w:val="6"/>
          </w:tcPr>
          <w:p>
            <w:pPr>
              <w:spacing w:after="0"/>
              <w:rPr>
                <w:sz w:val="18"/>
                <w:szCs w:val="18"/>
                <w:color w:val="auto"/>
              </w:rPr>
            </w:pPr>
          </w:p>
        </w:tc>
        <w:tc>
          <w:tcPr>
            <w:tcW w:w="200" w:type="dxa"/>
            <w:vAlign w:val="bottom"/>
            <w:tcBorders>
              <w:top w:val="single" w:sz="8" w:color="0000FF"/>
            </w:tcBorders>
            <w:gridSpan w:val="2"/>
          </w:tcPr>
          <w:p>
            <w:pPr>
              <w:jc w:val="right"/>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35</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300" w:type="dxa"/>
            <w:vAlign w:val="bottom"/>
            <w:tcBorders>
              <w:top w:val="single" w:sz="8" w:color="0000FF"/>
            </w:tcBorders>
            <w:gridSpan w:val="19"/>
          </w:tcPr>
          <w:p>
            <w:pPr>
              <w:ind w:left="20"/>
              <w:spacing w:after="0"/>
              <w:rPr>
                <w:rFonts w:ascii="Arial" w:cs="Arial" w:eastAsia="Arial" w:hAnsi="Arial"/>
                <w:sz w:val="18"/>
                <w:szCs w:val="18"/>
                <w:color w:val="0000FF"/>
              </w:rPr>
            </w:pPr>
            <w:hyperlink w:anchor="page37">
              <w:r>
                <w:rPr>
                  <w:rFonts w:ascii="Arial" w:cs="Arial" w:eastAsia="Arial" w:hAnsi="Arial"/>
                  <w:sz w:val="18"/>
                  <w:szCs w:val="18"/>
                  <w:color w:val="0000FF"/>
                </w:rPr>
                <w:t>Item 4. Controls and Procedures</w:t>
              </w:r>
            </w:hyperlink>
          </w:p>
        </w:tc>
        <w:tc>
          <w:tcPr>
            <w:tcW w:w="5360" w:type="dxa"/>
            <w:vAlign w:val="bottom"/>
            <w:gridSpan w:val="10"/>
          </w:tcPr>
          <w:p>
            <w:pPr>
              <w:spacing w:after="0"/>
              <w:rPr>
                <w:sz w:val="18"/>
                <w:szCs w:val="18"/>
                <w:color w:val="auto"/>
              </w:rPr>
            </w:pPr>
          </w:p>
        </w:tc>
        <w:tc>
          <w:tcPr>
            <w:tcW w:w="200" w:type="dxa"/>
            <w:vAlign w:val="bottom"/>
            <w:tcBorders>
              <w:top w:val="single" w:sz="8" w:color="0000FF"/>
            </w:tcBorders>
            <w:gridSpan w:val="2"/>
          </w:tcPr>
          <w:p>
            <w:pPr>
              <w:jc w:val="right"/>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35</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60" w:type="dxa"/>
            <w:vAlign w:val="bottom"/>
            <w:gridSpan w:val="18"/>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980" w:type="dxa"/>
            <w:vAlign w:val="bottom"/>
            <w:gridSpan w:val="30"/>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PART II — OTHER INFORMATION</w:t>
              </w:r>
            </w:hyperlink>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500" w:type="dxa"/>
            <w:vAlign w:val="bottom"/>
            <w:tcBorders>
              <w:top w:val="single" w:sz="8" w:color="0000FF"/>
            </w:tcBorders>
            <w:gridSpan w:val="10"/>
          </w:tcPr>
          <w:p>
            <w:pPr>
              <w:ind w:left="20"/>
              <w:spacing w:after="0"/>
              <w:rPr>
                <w:rFonts w:ascii="Arial" w:cs="Arial" w:eastAsia="Arial" w:hAnsi="Arial"/>
                <w:sz w:val="18"/>
                <w:szCs w:val="18"/>
                <w:color w:val="0000FF"/>
              </w:rPr>
            </w:pPr>
            <w:hyperlink w:anchor="page38">
              <w:r>
                <w:rPr>
                  <w:rFonts w:ascii="Arial" w:cs="Arial" w:eastAsia="Arial" w:hAnsi="Arial"/>
                  <w:sz w:val="18"/>
                  <w:szCs w:val="18"/>
                  <w:color w:val="0000FF"/>
                </w:rPr>
                <w:t>Item 1. Legal Proceedings</w:t>
              </w:r>
            </w:hyperlink>
          </w:p>
        </w:tc>
        <w:tc>
          <w:tcPr>
            <w:tcW w:w="8160" w:type="dxa"/>
            <w:vAlign w:val="bottom"/>
            <w:gridSpan w:val="19"/>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Borders>
              <w:top w:val="single" w:sz="8" w:color="0000FF"/>
            </w:tcBorders>
            <w:gridSpan w:val="8"/>
          </w:tcPr>
          <w:p>
            <w:pPr>
              <w:ind w:left="20"/>
              <w:spacing w:after="0"/>
              <w:rPr>
                <w:rFonts w:ascii="Arial" w:cs="Arial" w:eastAsia="Arial" w:hAnsi="Arial"/>
                <w:sz w:val="18"/>
                <w:szCs w:val="18"/>
                <w:color w:val="0000FF"/>
              </w:rPr>
            </w:pPr>
            <w:hyperlink w:anchor="page38">
              <w:r>
                <w:rPr>
                  <w:rFonts w:ascii="Arial" w:cs="Arial" w:eastAsia="Arial" w:hAnsi="Arial"/>
                  <w:sz w:val="18"/>
                  <w:szCs w:val="18"/>
                  <w:color w:val="0000FF"/>
                </w:rPr>
                <w:t>Item 1A. Risk Factors</w:t>
              </w:r>
            </w:hyperlink>
          </w:p>
        </w:tc>
        <w:tc>
          <w:tcPr>
            <w:tcW w:w="8560" w:type="dxa"/>
            <w:vAlign w:val="bottom"/>
            <w:gridSpan w:val="21"/>
          </w:tcPr>
          <w:p>
            <w:pPr>
              <w:spacing w:after="0"/>
              <w:rPr>
                <w:sz w:val="18"/>
                <w:szCs w:val="18"/>
                <w:color w:val="auto"/>
              </w:rPr>
            </w:pPr>
          </w:p>
        </w:tc>
        <w:tc>
          <w:tcPr>
            <w:tcW w:w="200" w:type="dxa"/>
            <w:vAlign w:val="bottom"/>
            <w:tcBorders>
              <w:top w:val="single" w:sz="8" w:color="0000FF"/>
            </w:tcBorders>
            <w:gridSpan w:val="2"/>
          </w:tcPr>
          <w:p>
            <w:pPr>
              <w:jc w:val="right"/>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0000FF"/>
              <w:bottom w:val="single" w:sz="8" w:color="0000FF"/>
            </w:tcBorders>
            <w:gridSpan w:val="3"/>
          </w:tcPr>
          <w:p>
            <w:pPr>
              <w:ind w:left="20"/>
              <w:spacing w:after="0"/>
              <w:rPr>
                <w:rFonts w:ascii="Arial" w:cs="Arial" w:eastAsia="Arial" w:hAnsi="Arial"/>
                <w:sz w:val="18"/>
                <w:szCs w:val="18"/>
                <w:color w:val="0000FF"/>
                <w:w w:val="97"/>
              </w:rPr>
            </w:pPr>
            <w:hyperlink w:anchor="page38">
              <w:r>
                <w:rPr>
                  <w:rFonts w:ascii="Arial" w:cs="Arial" w:eastAsia="Arial" w:hAnsi="Arial"/>
                  <w:sz w:val="18"/>
                  <w:szCs w:val="18"/>
                  <w:color w:val="0000FF"/>
                  <w:w w:val="97"/>
                </w:rPr>
                <w:t>Item 6. Exhibits</w:t>
              </w:r>
            </w:hyperlink>
          </w:p>
        </w:tc>
        <w:tc>
          <w:tcPr>
            <w:tcW w:w="540" w:type="dxa"/>
            <w:vAlign w:val="bottom"/>
            <w:tcBorders>
              <w:top w:val="single" w:sz="8" w:color="0000FF"/>
            </w:tcBorders>
            <w:gridSpan w:val="2"/>
          </w:tcPr>
          <w:p>
            <w:pPr>
              <w:spacing w:after="0"/>
              <w:rPr>
                <w:sz w:val="18"/>
                <w:szCs w:val="18"/>
                <w:color w:val="auto"/>
              </w:rPr>
            </w:pPr>
          </w:p>
        </w:tc>
        <w:tc>
          <w:tcPr>
            <w:tcW w:w="8880" w:type="dxa"/>
            <w:vAlign w:val="bottom"/>
            <w:gridSpan w:val="24"/>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37</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980" w:type="dxa"/>
            <w:vAlign w:val="bottom"/>
            <w:gridSpan w:val="30"/>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SIGNATURES</w:t>
              </w:r>
            </w:hyperlink>
          </w:p>
        </w:tc>
        <w:tc>
          <w:tcPr>
            <w:tcW w:w="240" w:type="dxa"/>
            <w:vAlign w:val="bottom"/>
            <w:gridSpan w:val="3"/>
          </w:tcPr>
          <w:p>
            <w:pPr>
              <w:jc w:val="right"/>
              <w:ind w:right="4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38</w:t>
              </w:r>
            </w:hyperlink>
          </w:p>
        </w:tc>
        <w:tc>
          <w:tcPr>
            <w:tcW w:w="0" w:type="dxa"/>
            <w:vAlign w:val="bottom"/>
          </w:tcPr>
          <w:p>
            <w:pPr>
              <w:spacing w:after="0"/>
              <w:rPr>
                <w:sz w:val="1"/>
                <w:szCs w:val="1"/>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BALANCE SHEETS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r>
      <w:tr>
        <w:trPr>
          <w:trHeight w:val="21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190"/>
        </w:trPr>
        <w:tc>
          <w:tcPr>
            <w:tcW w:w="6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jc w:val="right"/>
              <w:spacing w:after="0" w:line="170" w:lineRule="exact"/>
              <w:rPr>
                <w:sz w:val="20"/>
                <w:szCs w:val="20"/>
                <w:color w:val="auto"/>
              </w:rPr>
            </w:pPr>
            <w:r>
              <w:rPr>
                <w:rFonts w:ascii="Arial" w:cs="Arial" w:eastAsia="Arial" w:hAnsi="Arial"/>
                <w:sz w:val="16"/>
                <w:szCs w:val="16"/>
                <w:color w:val="auto"/>
              </w:rPr>
              <w:t>(Unaudited)</w:t>
            </w: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3"/>
        </w:trPr>
        <w:tc>
          <w:tcPr>
            <w:tcW w:w="67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222,342</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283,668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253,667</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Restricted cash</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8,614</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9,957</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Pawn loans</w:t>
            </w:r>
          </w:p>
        </w:tc>
        <w:tc>
          <w:tcPr>
            <w:tcW w:w="2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204,155</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157,155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175,901</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Pawn service charges receivable, net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32,000</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29,337</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Inventory, net</w:t>
            </w:r>
          </w:p>
        </w:tc>
        <w:tc>
          <w:tcPr>
            <w:tcW w:w="2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132,713</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92,242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110,989</w:t>
            </w: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29,822</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28,343</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31,010</w:t>
            </w:r>
          </w:p>
        </w:tc>
      </w:tr>
      <w:tr>
        <w:trPr>
          <w:trHeight w:val="210"/>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629,646</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600,168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610,861</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43,384</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37,724</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Other investments</w:t>
            </w:r>
          </w:p>
        </w:tc>
        <w:tc>
          <w:tcPr>
            <w:tcW w:w="2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18,000</w:t>
            </w:r>
          </w:p>
        </w:tc>
        <w:tc>
          <w:tcPr>
            <w:tcW w:w="4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51,505</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53,811</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Right-of-use asset, net</w:t>
            </w:r>
          </w:p>
        </w:tc>
        <w:tc>
          <w:tcPr>
            <w:tcW w:w="2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217,506</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185,467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200,990</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286,798</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285,758</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61,017</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61,922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62,104</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Notes receivable, net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1,207</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Deferred tax asset, net</w:t>
            </w:r>
          </w:p>
        </w:tc>
        <w:tc>
          <w:tcPr>
            <w:tcW w:w="2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15,773</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9,746</w:t>
            </w: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5,991</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4,992</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4,736</w:t>
            </w:r>
          </w:p>
        </w:tc>
      </w:tr>
      <w:tr>
        <w:trPr>
          <w:trHeight w:val="21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1,330,827</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1,238,650</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1,266,911</w:t>
            </w:r>
          </w:p>
        </w:tc>
      </w:tr>
      <w:tr>
        <w:trPr>
          <w:trHeight w:val="203"/>
        </w:trPr>
        <w:tc>
          <w:tcPr>
            <w:tcW w:w="6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Liabilities and stockholders' equity:</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76,566</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84,966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90,268</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Customer layaway deposits</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14,927</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12,557</w:t>
            </w:r>
          </w:p>
        </w:tc>
      </w:tr>
      <w:tr>
        <w:trPr>
          <w:trHeight w:val="21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Lease liability</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53,358</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47,241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52,263</w:t>
            </w:r>
          </w:p>
        </w:tc>
      </w:tr>
      <w:tr>
        <w:trPr>
          <w:trHeight w:val="213"/>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144,851</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155,088</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Long-term debt, net</w:t>
            </w:r>
          </w:p>
        </w:tc>
        <w:tc>
          <w:tcPr>
            <w:tcW w:w="2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312,521</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260,632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264,186</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liability, net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307</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Lease liability</w:t>
            </w:r>
          </w:p>
        </w:tc>
        <w:tc>
          <w:tcPr>
            <w:tcW w:w="2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175,489</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149,342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161,330</w:t>
            </w: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11,905</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10,058</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10,385</w:t>
            </w:r>
          </w:p>
        </w:tc>
      </w:tr>
      <w:tr>
        <w:trPr>
          <w:trHeight w:val="210"/>
        </w:trPr>
        <w:tc>
          <w:tcPr>
            <w:tcW w:w="670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645,073</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565,432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594,673</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Commitments and contingencies (Note 10)</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0"/>
        </w:trPr>
        <w:tc>
          <w:tcPr>
            <w:tcW w:w="6700" w:type="dxa"/>
            <w:vAlign w:val="bottom"/>
            <w:shd w:val="clear" w:color="auto" w:fill="CCEEFF"/>
          </w:tcPr>
          <w:p>
            <w:pPr>
              <w:ind w:left="480"/>
              <w:spacing w:after="0" w:line="181" w:lineRule="exact"/>
              <w:rPr>
                <w:sz w:val="20"/>
                <w:szCs w:val="20"/>
                <w:color w:val="auto"/>
              </w:rPr>
            </w:pPr>
            <w:r>
              <w:rPr>
                <w:rFonts w:ascii="Arial" w:cs="Arial" w:eastAsia="Arial" w:hAnsi="Arial"/>
                <w:sz w:val="16"/>
                <w:szCs w:val="16"/>
                <w:color w:val="auto"/>
              </w:rPr>
              <w:t>Class A Non-voting Common Stock, par value $0.01 per share; shares authorized:</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62"/>
        </w:trPr>
        <w:tc>
          <w:tcPr>
            <w:tcW w:w="6700" w:type="dxa"/>
            <w:vAlign w:val="bottom"/>
            <w:shd w:val="clear" w:color="auto" w:fill="CCEEFF"/>
          </w:tcPr>
          <w:p>
            <w:pPr>
              <w:ind w:left="480"/>
              <w:spacing w:after="0" w:line="162" w:lineRule="exact"/>
              <w:rPr>
                <w:sz w:val="20"/>
                <w:szCs w:val="20"/>
                <w:color w:val="auto"/>
              </w:rPr>
            </w:pPr>
            <w:r>
              <w:rPr>
                <w:rFonts w:ascii="Arial" w:cs="Arial" w:eastAsia="Arial" w:hAnsi="Arial"/>
                <w:sz w:val="16"/>
                <w:szCs w:val="16"/>
                <w:color w:val="auto"/>
              </w:rPr>
              <w:t>100 million; issued and outstanding: 53,685,333 as of June 30, 2022; 53,086,438 as of</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01"/>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June 30, 2021; and 53,086,438 as of September 30, 2021</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537</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r>
      <w:tr>
        <w:trPr>
          <w:trHeight w:val="177"/>
        </w:trPr>
        <w:tc>
          <w:tcPr>
            <w:tcW w:w="6700" w:type="dxa"/>
            <w:vAlign w:val="bottom"/>
          </w:tcPr>
          <w:p>
            <w:pPr>
              <w:ind w:left="480"/>
              <w:spacing w:after="0" w:line="178" w:lineRule="exact"/>
              <w:rPr>
                <w:sz w:val="20"/>
                <w:szCs w:val="20"/>
                <w:color w:val="auto"/>
              </w:rPr>
            </w:pPr>
            <w:r>
              <w:rPr>
                <w:rFonts w:ascii="Arial" w:cs="Arial" w:eastAsia="Arial" w:hAnsi="Arial"/>
                <w:sz w:val="16"/>
                <w:szCs w:val="16"/>
                <w:color w:val="auto"/>
              </w:rPr>
              <w:t>Class B Voting Common Stock, convertible, par value $0.01 per share; shares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8"/>
        </w:trPr>
        <w:tc>
          <w:tcPr>
            <w:tcW w:w="6700" w:type="dxa"/>
            <w:vAlign w:val="bottom"/>
          </w:tcPr>
          <w:p>
            <w:pPr>
              <w:ind w:left="480"/>
              <w:spacing w:after="0"/>
              <w:rPr>
                <w:sz w:val="20"/>
                <w:szCs w:val="20"/>
                <w:color w:val="auto"/>
              </w:rPr>
            </w:pPr>
            <w:r>
              <w:rPr>
                <w:rFonts w:ascii="Arial" w:cs="Arial" w:eastAsia="Arial" w:hAnsi="Arial"/>
                <w:sz w:val="16"/>
                <w:szCs w:val="16"/>
                <w:color w:val="auto"/>
              </w:rPr>
              <w:t>authorized: 3 million; issued and outstanding: 2,970,171</w:t>
            </w:r>
          </w:p>
        </w:tc>
        <w:tc>
          <w:tcPr>
            <w:tcW w:w="24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30</w:t>
            </w:r>
          </w:p>
        </w:tc>
        <w:tc>
          <w:tcPr>
            <w:tcW w:w="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343,763</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402,522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403,312</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396,461</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325,228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326,781</w:t>
            </w: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(55,037)</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(55,092)</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(58,415)</w:t>
            </w:r>
          </w:p>
        </w:tc>
      </w:tr>
      <w:tr>
        <w:trPr>
          <w:trHeight w:val="209"/>
        </w:trPr>
        <w:tc>
          <w:tcPr>
            <w:tcW w:w="67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685,754</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673,218</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672,238</w:t>
            </w:r>
          </w:p>
        </w:tc>
      </w:tr>
      <w:tr>
        <w:trPr>
          <w:trHeight w:val="220"/>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1,330,827</w:t>
            </w:r>
          </w:p>
        </w:tc>
        <w:tc>
          <w:tcPr>
            <w:tcW w:w="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1,238,650</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1,266,911</w:t>
            </w: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3"/>
          </w:tcPr>
          <w:p>
            <w:pPr>
              <w:jc w:val="right"/>
              <w:ind w:right="739"/>
              <w:spacing w:after="0"/>
              <w:rPr>
                <w:sz w:val="20"/>
                <w:szCs w:val="20"/>
                <w:color w:val="auto"/>
              </w:rPr>
            </w:pPr>
            <w:r>
              <w:rPr>
                <w:rFonts w:ascii="Arial" w:cs="Arial" w:eastAsia="Arial" w:hAnsi="Arial"/>
                <w:sz w:val="14"/>
                <w:szCs w:val="14"/>
                <w:b w:val="1"/>
                <w:bCs w:val="1"/>
                <w:color w:val="auto"/>
              </w:rPr>
              <w:t>Nine Months Ended</w:t>
            </w:r>
          </w:p>
        </w:tc>
      </w:tr>
      <w:tr>
        <w:trPr>
          <w:trHeight w:val="176"/>
        </w:trPr>
        <w:tc>
          <w:tcPr>
            <w:tcW w:w="5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ind w:left="20"/>
              <w:spacing w:after="0"/>
              <w:rPr>
                <w:sz w:val="20"/>
                <w:szCs w:val="20"/>
                <w:color w:val="auto"/>
              </w:rPr>
            </w:pPr>
            <w:r>
              <w:rPr>
                <w:rFonts w:ascii="Arial" w:cs="Arial" w:eastAsia="Arial" w:hAnsi="Arial"/>
                <w:sz w:val="14"/>
                <w:szCs w:val="14"/>
                <w:color w:val="auto"/>
              </w:rPr>
              <w:t>(in thousands, except per share amount)</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r>
      <w:tr>
        <w:trPr>
          <w:trHeight w:val="34"/>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128,334</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107,808</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399,610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330,816</w:t>
            </w: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7,168</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19,802</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18,507</w:t>
            </w: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80,291</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60,431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232,999</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187,356</w:t>
            </w:r>
          </w:p>
        </w:tc>
      </w:tr>
      <w:tr>
        <w:trPr>
          <w:trHeight w:val="216"/>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 net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407</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r>
      <w:tr>
        <w:trPr>
          <w:trHeight w:val="209"/>
        </w:trPr>
        <w:tc>
          <w:tcPr>
            <w:tcW w:w="52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215,842</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174,033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652,818</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537,107</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80,167</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245,524</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190,872</w:t>
            </w:r>
          </w:p>
        </w:tc>
      </w:tr>
      <w:tr>
        <w:trPr>
          <w:trHeight w:val="21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6,167</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5,473</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16,747</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16,076</w:t>
            </w:r>
          </w:p>
        </w:tc>
      </w:tr>
      <w:tr>
        <w:trPr>
          <w:trHeight w:val="213"/>
        </w:trPr>
        <w:tc>
          <w:tcPr>
            <w:tcW w:w="52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129,508</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390,547</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330,159</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89,430</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261,944</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242,261</w:t>
            </w: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18,715</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46,487</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40,870</w:t>
            </w: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7,746</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22,770</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23,080</w:t>
            </w: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(Gain) loss on sale or disposal of assets and other</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(692)</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6"/>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charges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r>
      <w:tr>
        <w:trPr>
          <w:trHeight w:val="209"/>
        </w:trPr>
        <w:tc>
          <w:tcPr>
            <w:tcW w:w="52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115,891</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104,308</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330,509</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306,798</w:t>
            </w:r>
          </w:p>
        </w:tc>
      </w:tr>
      <w:tr>
        <w:trPr>
          <w:trHeight w:val="210"/>
        </w:trPr>
        <w:tc>
          <w:tcPr>
            <w:tcW w:w="52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13,617</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3,713</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60,038</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23,361</w:t>
            </w: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2,693</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7,651</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16,542</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Equity in net income of unconsolidated affiliates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(1,758)</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(1,457)</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(2,409)</w:t>
            </w: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41</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13,082</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54,552</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11,535</w:t>
            </w: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867</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11,729</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4,476</w:t>
            </w:r>
          </w:p>
        </w:tc>
      </w:tr>
      <w:tr>
        <w:trPr>
          <w:trHeight w:val="22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12,215</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(2,570)</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42,823</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7,059</w:t>
            </w:r>
          </w:p>
        </w:tc>
      </w:tr>
      <w:tr>
        <w:trPr>
          <w:trHeight w:val="203"/>
        </w:trPr>
        <w:tc>
          <w:tcPr>
            <w:tcW w:w="5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Basic earnings (loss)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0.22</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0.76</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0.13</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(loss) per share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0.17</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0.59</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56,656</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56,465</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55,639</w:t>
            </w: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82,504</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55,898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82,349</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55,653</w:t>
            </w: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COMPREHENSIVE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35"/>
        </w:trPr>
        <w:tc>
          <w:tcPr>
            <w:tcW w:w="5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7,059</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 net of tax</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(3,327)</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3,459</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3,378</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12,976</w:t>
            </w:r>
          </w:p>
        </w:tc>
      </w:tr>
      <w:tr>
        <w:trPr>
          <w:trHeight w:val="21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8,888</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46,201</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20,035</w:t>
            </w: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except for balances as of September 30, 2021 and September 30, 2020)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880" w:type="dxa"/>
            <w:vAlign w:val="bottom"/>
            <w:gridSpan w:val="4"/>
            <w:vMerge w:val="restart"/>
          </w:tcPr>
          <w:p>
            <w:pPr>
              <w:jc w:val="right"/>
              <w:ind w:right="31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92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88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46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3"/>
                <w:szCs w:val="3"/>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3"/>
                <w:szCs w:val="3"/>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1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74"/>
        </w:trPr>
        <w:tc>
          <w:tcPr>
            <w:tcW w:w="46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88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66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7"/>
        </w:trPr>
        <w:tc>
          <w:tcPr>
            <w:tcW w:w="4660" w:type="dxa"/>
            <w:vAlign w:val="bottom"/>
          </w:tcPr>
          <w:p>
            <w:pPr>
              <w:ind w:left="20"/>
              <w:spacing w:after="0"/>
              <w:rPr>
                <w:sz w:val="20"/>
                <w:szCs w:val="20"/>
                <w:color w:val="auto"/>
              </w:rPr>
            </w:pPr>
            <w:r>
              <w:rPr>
                <w:rFonts w:ascii="Arial" w:cs="Arial" w:eastAsia="Arial" w:hAnsi="Arial"/>
                <w:sz w:val="16"/>
                <w:szCs w:val="16"/>
                <w:color w:val="auto"/>
              </w:rPr>
              <w:t>Balances as of September 30, 2021</w:t>
            </w:r>
          </w:p>
        </w:tc>
        <w:tc>
          <w:tcPr>
            <w:tcW w:w="880" w:type="dxa"/>
            <w:vAlign w:val="bottom"/>
          </w:tcPr>
          <w:p>
            <w:pPr>
              <w:jc w:val="right"/>
              <w:spacing w:after="0"/>
              <w:rPr>
                <w:sz w:val="20"/>
                <w:szCs w:val="20"/>
                <w:color w:val="auto"/>
              </w:rPr>
            </w:pPr>
            <w:r>
              <w:rPr>
                <w:rFonts w:ascii="Arial" w:cs="Arial" w:eastAsia="Arial" w:hAnsi="Arial"/>
                <w:sz w:val="16"/>
                <w:szCs w:val="16"/>
                <w:color w:val="auto"/>
              </w:rPr>
              <w:t>56,057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560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403,312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326,781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(58,415)</w:t>
            </w:r>
          </w:p>
        </w:tc>
        <w:tc>
          <w:tcPr>
            <w:tcW w:w="120" w:type="dxa"/>
            <w:vAlign w:val="bottom"/>
          </w:tcPr>
          <w:p>
            <w:pPr>
              <w:spacing w:after="0"/>
              <w:rPr>
                <w:sz w:val="21"/>
                <w:szCs w:val="21"/>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672,238</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compensation</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Release of restricted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Cumulative effect of adoption of ASU 2020-06 (Note 1)</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(64,263)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26,857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(37,406)</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3,039</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15,721</w:t>
            </w:r>
          </w:p>
        </w:tc>
        <w:tc>
          <w:tcPr>
            <w:tcW w:w="0" w:type="dxa"/>
            <w:vAlign w:val="bottom"/>
          </w:tcPr>
          <w:p>
            <w:pPr>
              <w:spacing w:after="0"/>
              <w:rPr>
                <w:sz w:val="1"/>
                <w:szCs w:val="1"/>
                <w:color w:val="auto"/>
              </w:rPr>
            </w:pPr>
          </w:p>
        </w:tc>
      </w:tr>
      <w:tr>
        <w:trPr>
          <w:trHeight w:val="219"/>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December 31, 2021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56,314</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339,955</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369,359</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(55,376)</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654,501</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Transfer of consideration for other investment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Release of restricted stock</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3,666</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14,887</w:t>
            </w:r>
          </w:p>
        </w:tc>
        <w:tc>
          <w:tcPr>
            <w:tcW w:w="0" w:type="dxa"/>
            <w:vAlign w:val="bottom"/>
          </w:tcPr>
          <w:p>
            <w:pPr>
              <w:spacing w:after="0"/>
              <w:rPr>
                <w:sz w:val="1"/>
                <w:szCs w:val="1"/>
                <w:color w:val="auto"/>
              </w:rPr>
            </w:pPr>
          </w:p>
        </w:tc>
      </w:tr>
      <w:tr>
        <w:trPr>
          <w:trHeight w:val="220"/>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March 31, 2022</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56,656</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341,913</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384,246</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(51,710)</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675,016</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1,850</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loss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(3,327)</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12,215</w:t>
            </w:r>
          </w:p>
        </w:tc>
        <w:tc>
          <w:tcPr>
            <w:tcW w:w="0" w:type="dxa"/>
            <w:vAlign w:val="bottom"/>
          </w:tcPr>
          <w:p>
            <w:pPr>
              <w:spacing w:after="0"/>
              <w:rPr>
                <w:sz w:val="1"/>
                <w:szCs w:val="1"/>
                <w:color w:val="auto"/>
              </w:rPr>
            </w:pPr>
          </w:p>
        </w:tc>
      </w:tr>
      <w:tr>
        <w:trPr>
          <w:trHeight w:val="220"/>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June 30, 2022</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56,656</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343,763</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396,461</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(55,037)</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685,754</w:t>
            </w:r>
          </w:p>
        </w:tc>
        <w:tc>
          <w:tcPr>
            <w:tcW w:w="0" w:type="dxa"/>
            <w:vAlign w:val="bottom"/>
          </w:tcPr>
          <w:p>
            <w:pPr>
              <w:spacing w:after="0"/>
              <w:rPr>
                <w:sz w:val="1"/>
                <w:szCs w:val="1"/>
                <w:color w:val="auto"/>
              </w:rPr>
            </w:pPr>
          </w:p>
        </w:tc>
      </w:tr>
      <w:tr>
        <w:trPr>
          <w:trHeight w:val="445"/>
        </w:trPr>
        <w:tc>
          <w:tcPr>
            <w:tcW w:w="4660" w:type="dxa"/>
            <w:vAlign w:val="bottom"/>
          </w:tcPr>
          <w:p>
            <w:pPr>
              <w:spacing w:after="0"/>
              <w:rPr>
                <w:sz w:val="24"/>
                <w:szCs w:val="24"/>
                <w:color w:val="auto"/>
              </w:rPr>
            </w:pPr>
          </w:p>
        </w:tc>
        <w:tc>
          <w:tcPr>
            <w:tcW w:w="1880" w:type="dxa"/>
            <w:vAlign w:val="bottom"/>
            <w:gridSpan w:val="4"/>
            <w:vMerge w:val="restart"/>
          </w:tcPr>
          <w:p>
            <w:pPr>
              <w:jc w:val="right"/>
              <w:ind w:right="31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24"/>
                <w:szCs w:val="24"/>
                <w:color w:val="auto"/>
              </w:rPr>
            </w:pPr>
          </w:p>
        </w:tc>
        <w:tc>
          <w:tcPr>
            <w:tcW w:w="92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88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46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3"/>
                <w:szCs w:val="3"/>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3"/>
                <w:szCs w:val="3"/>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1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75"/>
        </w:trPr>
        <w:tc>
          <w:tcPr>
            <w:tcW w:w="46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6"/>
                <w:szCs w:val="6"/>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66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5"/>
                <w:szCs w:val="15"/>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4"/>
        </w:trPr>
        <w:tc>
          <w:tcPr>
            <w:tcW w:w="466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398,475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649,127</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Release of restricted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11,277</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4,299</w:t>
            </w:r>
          </w:p>
        </w:tc>
        <w:tc>
          <w:tcPr>
            <w:tcW w:w="0" w:type="dxa"/>
            <w:vAlign w:val="bottom"/>
          </w:tcPr>
          <w:p>
            <w:pPr>
              <w:spacing w:after="0"/>
              <w:rPr>
                <w:sz w:val="1"/>
                <w:szCs w:val="1"/>
                <w:color w:val="auto"/>
              </w:rPr>
            </w:pPr>
          </w:p>
        </w:tc>
      </w:tr>
      <w:tr>
        <w:trPr>
          <w:trHeight w:val="220"/>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December 31, 2020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55,599</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398,269</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322,468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(56,791)</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664,502</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Transfer of consideration for acquisition</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Release of restricted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Foreign currency translation loss</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(1,760)</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5,330</w:t>
            </w:r>
          </w:p>
        </w:tc>
        <w:tc>
          <w:tcPr>
            <w:tcW w:w="0" w:type="dxa"/>
            <w:vAlign w:val="bottom"/>
          </w:tcPr>
          <w:p>
            <w:pPr>
              <w:spacing w:after="0"/>
              <w:rPr>
                <w:sz w:val="1"/>
                <w:szCs w:val="1"/>
                <w:color w:val="auto"/>
              </w:rPr>
            </w:pPr>
          </w:p>
        </w:tc>
      </w:tr>
      <w:tr>
        <w:trPr>
          <w:trHeight w:val="220"/>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March 31, 2021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55,844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399,439</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327,798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(58,551)</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669,244</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compensation</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w:t>
            </w:r>
          </w:p>
        </w:tc>
        <w:tc>
          <w:tcPr>
            <w:tcW w:w="0" w:type="dxa"/>
            <w:vAlign w:val="bottom"/>
          </w:tcPr>
          <w:p>
            <w:pPr>
              <w:spacing w:after="0"/>
              <w:rPr>
                <w:sz w:val="1"/>
                <w:szCs w:val="1"/>
                <w:color w:val="auto"/>
              </w:rPr>
            </w:pPr>
          </w:p>
        </w:tc>
      </w:tr>
      <w:tr>
        <w:trPr>
          <w:trHeight w:val="213"/>
        </w:trPr>
        <w:tc>
          <w:tcPr>
            <w:tcW w:w="4660" w:type="dxa"/>
            <w:vAlign w:val="bottom"/>
          </w:tcPr>
          <w:p>
            <w:pPr>
              <w:ind w:left="220"/>
              <w:spacing w:after="0"/>
              <w:rPr>
                <w:sz w:val="20"/>
                <w:szCs w:val="20"/>
                <w:color w:val="auto"/>
              </w:rPr>
            </w:pPr>
            <w:r>
              <w:rPr>
                <w:rFonts w:ascii="Arial" w:cs="Arial" w:eastAsia="Arial" w:hAnsi="Arial"/>
                <w:sz w:val="16"/>
                <w:szCs w:val="16"/>
                <w:color w:val="auto"/>
              </w:rPr>
              <w:t>Transfer of consideration for acquisition</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3,459</w:t>
            </w:r>
          </w:p>
        </w:tc>
        <w:tc>
          <w:tcPr>
            <w:tcW w:w="0" w:type="dxa"/>
            <w:vAlign w:val="bottom"/>
          </w:tcPr>
          <w:p>
            <w:pPr>
              <w:spacing w:after="0"/>
              <w:rPr>
                <w:sz w:val="1"/>
                <w:szCs w:val="1"/>
                <w:color w:val="auto"/>
              </w:rPr>
            </w:pPr>
          </w:p>
        </w:tc>
      </w:tr>
      <w:tr>
        <w:trPr>
          <w:trHeight w:val="213"/>
        </w:trPr>
        <w:tc>
          <w:tcPr>
            <w:tcW w:w="46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loss</w:t>
            </w:r>
          </w:p>
        </w:tc>
        <w:tc>
          <w:tcPr>
            <w:tcW w:w="10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(2,570)</w:t>
            </w:r>
          </w:p>
        </w:tc>
        <w:tc>
          <w:tcPr>
            <w:tcW w:w="0" w:type="dxa"/>
            <w:vAlign w:val="bottom"/>
          </w:tcPr>
          <w:p>
            <w:pPr>
              <w:spacing w:after="0"/>
              <w:rPr>
                <w:sz w:val="1"/>
                <w:szCs w:val="1"/>
                <w:color w:val="auto"/>
              </w:rPr>
            </w:pPr>
          </w:p>
        </w:tc>
      </w:tr>
      <w:tr>
        <w:trPr>
          <w:trHeight w:val="220"/>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June 30, 2021</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56,057</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402,522</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325,228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(55,092)</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673,218</w:t>
            </w:r>
          </w:p>
        </w:tc>
        <w:tc>
          <w:tcPr>
            <w:tcW w:w="0" w:type="dxa"/>
            <w:vAlign w:val="bottom"/>
          </w:tcPr>
          <w:p>
            <w:pPr>
              <w:spacing w:after="0"/>
              <w:rPr>
                <w:sz w:val="1"/>
                <w:szCs w:val="1"/>
                <w:color w:val="auto"/>
              </w:rPr>
            </w:pP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35"/>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42,823</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7,059</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22,770</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23,080</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1,051</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10,243</w:t>
            </w: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Amortization of lease right-of-use asset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39,061</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35,885</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475</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Other adjustments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(734)</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Provision for inventory reserve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(6,812)</w:t>
            </w: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Stock compensation expense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4,008</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3,156</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Equity in net income of unconsolidated affiliates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(2,409)</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Service charges and fees receivable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(2,949)</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(7,837)</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5,382</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2,025</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7,908</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(53,209)</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(51,565)</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Customer layaway deposits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2,265</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Income taxes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(1,068)</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4,423</w:t>
            </w: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Dividends from unconsolidated affiliates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3,366</w:t>
            </w: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40" w:type="dxa"/>
            <w:vAlign w:val="bottom"/>
          </w:tcPr>
          <w:p>
            <w:pPr>
              <w:ind w:left="80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48,494</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33,122</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Loans made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(524,965)</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(423,450)</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Loans repaid</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295,823</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260,536</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191,082</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155,595</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 net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(18,100)</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(14,635)</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(1,850)</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(15,132)</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note receivable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Investment in unconsolidated affiliates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(6,079)</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Investment in other investments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(16,500)</w:t>
            </w: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40" w:type="dxa"/>
            <w:vAlign w:val="bottom"/>
          </w:tcPr>
          <w:p>
            <w:pPr>
              <w:ind w:left="8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(81,589)</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(37,086)</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(792)</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(839)</w:t>
            </w: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Payments on assumed debt and other borrowings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(15,363)</w:t>
            </w:r>
          </w:p>
        </w:tc>
      </w:tr>
      <w:tr>
        <w:trPr>
          <w:trHeight w:val="210"/>
        </w:trPr>
        <w:tc>
          <w:tcPr>
            <w:tcW w:w="8240" w:type="dxa"/>
            <w:vAlign w:val="bottom"/>
          </w:tcPr>
          <w:p>
            <w:pPr>
              <w:ind w:left="80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(792)</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(16,202)</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1,219</w:t>
            </w: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5,076</w:t>
            </w: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(32,668)</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(15,090)</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263,624</w:t>
            </w: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312,553</w:t>
            </w:r>
          </w:p>
        </w:tc>
      </w:tr>
      <w:tr>
        <w:trPr>
          <w:trHeight w:val="265"/>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230,956</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297,463</w:t>
            </w:r>
          </w:p>
        </w:tc>
      </w:tr>
      <w:tr>
        <w:trPr>
          <w:trHeight w:val="213"/>
        </w:trPr>
        <w:tc>
          <w:tcPr>
            <w:tcW w:w="82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222,342</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283,668</w:t>
            </w:r>
          </w:p>
        </w:tc>
      </w:tr>
      <w:tr>
        <w:trPr>
          <w:trHeight w:val="213"/>
        </w:trPr>
        <w:tc>
          <w:tcPr>
            <w:tcW w:w="8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8,614</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13,795</w:t>
            </w:r>
          </w:p>
        </w:tc>
      </w:tr>
      <w:tr>
        <w:trPr>
          <w:trHeight w:val="220"/>
        </w:trPr>
        <w:tc>
          <w:tcPr>
            <w:tcW w:w="8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Total cash and cash equivalents and restricted cash</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230,956</w:t>
            </w:r>
          </w:p>
        </w:tc>
        <w:tc>
          <w:tcPr>
            <w:tcW w:w="4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297,463</w:t>
            </w:r>
          </w:p>
        </w:tc>
      </w:tr>
      <w:tr>
        <w:trPr>
          <w:trHeight w:val="41"/>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Pawn loans forfeited and transferred to inventory</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204,662</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145,839</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Transfer of consideration for other investment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1,500</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Transfer of consideration for acquisition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1,547</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 earn-out contingency</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4,608</w:t>
            </w:r>
          </w:p>
        </w:tc>
      </w:tr>
      <w:tr>
        <w:trPr>
          <w:trHeight w:val="210"/>
        </w:trPr>
        <w:tc>
          <w:tcPr>
            <w:tcW w:w="8240" w:type="dxa"/>
            <w:vAlign w:val="bottom"/>
          </w:tcPr>
          <w:p>
            <w:pPr>
              <w:ind w:left="220"/>
              <w:spacing w:after="0"/>
              <w:rPr>
                <w:sz w:val="20"/>
                <w:szCs w:val="20"/>
                <w:color w:val="auto"/>
              </w:rPr>
            </w:pPr>
            <w:r>
              <w:rPr>
                <w:rFonts w:ascii="Arial" w:cs="Arial" w:eastAsia="Arial" w:hAnsi="Arial"/>
                <w:sz w:val="16"/>
                <w:szCs w:val="16"/>
                <w:color w:val="auto"/>
              </w:rPr>
              <w:t>Accrued acquisition consideration held as restricted cash</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5,824</w:t>
            </w: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780"/>
        <w:spacing w:after="0"/>
        <w:rPr>
          <w:sz w:val="20"/>
          <w:szCs w:val="20"/>
          <w:color w:val="auto"/>
        </w:rPr>
      </w:pPr>
      <w:r>
        <w:rPr>
          <w:rFonts w:ascii="Arial" w:cs="Arial" w:eastAsia="Arial" w:hAnsi="Arial"/>
          <w:sz w:val="25"/>
          <w:szCs w:val="25"/>
          <w:b w:val="1"/>
          <w:bCs w:val="1"/>
          <w:color w:val="00497F"/>
        </w:rPr>
        <w:t>Notes to Interim Condensed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 ORGANIZATION AND 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Business</w:t>
      </w:r>
    </w:p>
    <w:p>
      <w:pPr>
        <w:spacing w:after="0" w:line="18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EZCORP, Inc. (collectively with its subsidiaries, the “Company,” “we,” “us,” or “our”) is a leading provider of pawn loans in the United States ("U.S.") and Latin America. Pawn loans are non-recourse loans collateralized by tangible property. We also sell merchandise, primarily collateral forfeited from pawn lending operations and pre-owned merchandise purchased from customers.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184"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The accompanying interim unaudited condensed consolidated financial statements (“Condensed Consolidated Financial Statements”) have been prepared in accordance with U.S. generally accepted accounting principles (“U.S. GAAP”) for interim financial information and with the instructions to Form 10-Q and Article 10-01 of Regulation S-X. Accordingly, they do not include all of the information and footnotes required by U.S. GAAP for complete financial statements.</w:t>
      </w:r>
    </w:p>
    <w:p>
      <w:pPr>
        <w:spacing w:after="0" w:line="150" w:lineRule="exact"/>
        <w:rPr>
          <w:sz w:val="20"/>
          <w:szCs w:val="20"/>
          <w:color w:val="auto"/>
        </w:rPr>
      </w:pPr>
    </w:p>
    <w:p>
      <w:pPr>
        <w:jc w:val="both"/>
        <w:ind w:right="14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These Condensed Consolidated Financial Statements should be read in conjunction with the audited consolidated financial statements and related notes contained in our </w:t>
      </w:r>
      <w:hyperlink r:id="rId21">
        <w:r>
          <w:rPr>
            <w:rFonts w:ascii="Arial" w:cs="Arial" w:eastAsia="Arial" w:hAnsi="Arial"/>
            <w:sz w:val="18"/>
            <w:szCs w:val="18"/>
            <w:color w:val="auto"/>
          </w:rPr>
          <w:t xml:space="preserve">Annual Report on Form 10-K for the year ended September 30, </w:t>
        </w:r>
      </w:hyperlink>
      <w:r>
        <w:rPr>
          <w:rFonts w:ascii="Arial" w:cs="Arial" w:eastAsia="Arial" w:hAnsi="Arial"/>
          <w:sz w:val="18"/>
          <w:szCs w:val="18"/>
          <w:color w:val="auto"/>
        </w:rPr>
        <w:t>2021, filed with the Securities and Exchange Commission ("SEC") on November 17, 2021 (“2021 Annual Report”).</w:t>
      </w:r>
    </w:p>
    <w:p>
      <w:pPr>
        <w:spacing w:after="0" w:line="148"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In the opinion of management, the accompanying Condensed Consolidated Financial Statements include all adjustments, consisting of normal recurring adjustments, considered necessary for a fair presentation. Financial results for the three and nine-month periods ended June 30, 2022, are not necessarily indicative of results that may be expected for the fiscal year ending September 30, 2022.</w:t>
      </w:r>
    </w:p>
    <w:p>
      <w:pPr>
        <w:spacing w:after="0" w:line="148" w:lineRule="exact"/>
        <w:rPr>
          <w:sz w:val="20"/>
          <w:szCs w:val="20"/>
          <w:color w:val="auto"/>
        </w:rPr>
      </w:pPr>
    </w:p>
    <w:p>
      <w:pPr>
        <w:ind w:right="8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Our business is subject to seasonal variations, and operating results for the three and nine months ended June 30, 2022 and 2021 (the "current quarter" and "prior-year quarter," respectively) are not necessarily indicative of the results of operations for the full fiscal year. There have been no changes that have had a material impact in significant accounting policies as described in our 2021 </w:t>
      </w:r>
      <w:hyperlink r:id="rId21">
        <w:r>
          <w:rPr>
            <w:rFonts w:ascii="Arial" w:cs="Arial" w:eastAsia="Arial" w:hAnsi="Arial"/>
            <w:sz w:val="18"/>
            <w:szCs w:val="18"/>
            <w:color w:val="auto"/>
          </w:rPr>
          <w:t xml:space="preserve">Annual Report </w:t>
        </w:r>
      </w:hyperlink>
      <w:r>
        <w:rPr>
          <w:rFonts w:ascii="Arial" w:cs="Arial" w:eastAsia="Arial" w:hAnsi="Arial"/>
          <w:sz w:val="18"/>
          <w:szCs w:val="18"/>
          <w:color w:val="auto"/>
        </w:rPr>
        <w:t>except for as disclosed below related to the adoption of Accounting Standards Update ("ASU") 2020-06.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accompanying Condensed Consolidated Financial Statements include the accounts of EZCORP, Inc. and its wholly-owned subsidiaries. We use the equity method of accounting for entities in which we have a 50% or less investment and exercise significant influence. We account for equity investments for which we do not have significant influence and without readily determinable fair values at cost with adjustments for observable changes in price in orderly transactions for identical or similar investments of the same issuer or impairments. All inter-company accounts and transactions have been eliminated in consolidation.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the determination of inventory reserves, expected credit losses, useful lives of long-lived and intangible assets, valuation of share-based compensation, valuation of equity investments, valuation of deferred tax assets and liabilities, loss contingencies related to litigation and discount rates used for operating leases. Actual results may result in actual amounts differing from reported amounts.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COVID-19 pandemic adversely affected our gross profit and earnings during the latter half of fiscal 2020 and into fiscal 2021. During the latter part of fiscal 2021, we saw pawn transaction activity start to rebuild. That has continued to date, and our pawn loans outstanding ("PLO") balances now exceed pre-pandemic levels, which will drive accelerating pawn service charges ("PSC") revenue in the coming quarters given the natural lag between pawn originations and related fees. Despite the recovery in pawn transaction activity, the continuing pandemic, driven by the proliferation of various COVID-19 variants, continues to affect portions of our business, such as managing appropriate staffing at the store level. Our estimates, judgments and assumptions related to COVID-19 could vary over time, and there can be no assurance that the continuing pandemic will not have an adverse effect on our results of operations, financial position and cash flows in future periods.</w:t>
      </w:r>
    </w:p>
    <w:p>
      <w:pPr>
        <w:sectPr>
          <w:pgSz w:w="11900" w:h="16838" w:orient="portrait"/>
          <w:cols w:equalWidth="0" w:num="1">
            <w:col w:w="11200"/>
          </w:cols>
          <w:pgMar w:left="320" w:top="144" w:right="37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Policies</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August 2020, the Financial Accounting Standards Board ("FASB") issued its ASU 2020-06, </w:t>
      </w:r>
      <w:r>
        <w:rPr>
          <w:rFonts w:ascii="Arial" w:cs="Arial" w:eastAsia="Arial" w:hAnsi="Arial"/>
          <w:sz w:val="18"/>
          <w:szCs w:val="18"/>
          <w:i w:val="1"/>
          <w:iCs w:val="1"/>
          <w:color w:val="auto"/>
        </w:rPr>
        <w:t>Debt – Debt with Conversion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Options (Subtopic 470-20) and Derivatives and Hedging – Contracts in Entity’s Own Equity (Subtopic 815 – 40)</w:t>
      </w:r>
      <w:r>
        <w:rPr>
          <w:rFonts w:ascii="Arial" w:cs="Arial" w:eastAsia="Arial" w:hAnsi="Arial"/>
          <w:sz w:val="18"/>
          <w:szCs w:val="18"/>
          <w:color w:val="auto"/>
        </w:rPr>
        <w:t>, (“ASU 2020-06”). ASU</w:t>
      </w:r>
      <w:r>
        <w:rPr>
          <w:rFonts w:ascii="Arial" w:cs="Arial" w:eastAsia="Arial" w:hAnsi="Arial"/>
          <w:sz w:val="18"/>
          <w:szCs w:val="18"/>
          <w:i w:val="1"/>
          <w:iCs w:val="1"/>
          <w:color w:val="auto"/>
        </w:rPr>
        <w:t xml:space="preserve"> </w:t>
      </w:r>
      <w:r>
        <w:rPr>
          <w:rFonts w:ascii="Arial" w:cs="Arial" w:eastAsia="Arial" w:hAnsi="Arial"/>
          <w:sz w:val="18"/>
          <w:szCs w:val="18"/>
          <w:color w:val="auto"/>
        </w:rPr>
        <w:t>2020-06 simplifies the accounting for certain financial instruments with characteristics of liabilities and equity, including convertible instruments and contracts on an entity’s own equity. Additionally, ASU 2020-06 eliminates beneficial conversion feature and cash conversion models resulting in more convertible instruments being accounted for as a single unit. The ASU 2020-06 amendments are effective for fiscal years beginning after December 15, 2021, and interim periods within those fiscal years. We early adopted this standard on October 1, 2021 under the modified retrospective basis.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Adoption of ASU 2020-06</w:t>
      </w:r>
    </w:p>
    <w:p>
      <w:pPr>
        <w:spacing w:after="0" w:line="3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On October 1, 2021, we early adopted ASU 2020-06 on a modified retrospective basis. Under ASU 2020-06, we no longer separate the convertible senior notes into liability and equity components. We recognized a cumulative effect of initially applying the ASU as an adjustment to the October 1, 2021 opening balance of retained earnings. The conversion option that was previously accounted for in equity under the cash conversion model was recombined into the convertible debt outstanding, and as a result, additional paid in capital and the related unamortized debt discount on the convertible senior notes were reduced. The removal of the remaining debt discounts recorded for this previous separation has the effect of increasing our net debt balance. The prior period consolidated financial statements have not been retrospectively adjusted and continue to be reported under the accounting standards in effect for those periods.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As Reported</w:t>
            </w:r>
          </w:p>
        </w:tc>
        <w:tc>
          <w:tcPr>
            <w:tcW w:w="220" w:type="dxa"/>
            <w:vAlign w:val="bottom"/>
          </w:tcPr>
          <w:p>
            <w:pPr>
              <w:spacing w:after="0"/>
              <w:rPr>
                <w:sz w:val="16"/>
                <w:szCs w:val="16"/>
                <w:color w:val="auto"/>
              </w:rPr>
            </w:pPr>
          </w:p>
        </w:tc>
        <w:tc>
          <w:tcPr>
            <w:tcW w:w="1420" w:type="dxa"/>
            <w:vAlign w:val="bottom"/>
            <w:vMerge w:val="restart"/>
          </w:tcPr>
          <w:p>
            <w:pPr>
              <w:jc w:val="right"/>
              <w:ind w:right="251"/>
              <w:spacing w:after="0"/>
              <w:rPr>
                <w:sz w:val="20"/>
                <w:szCs w:val="20"/>
                <w:color w:val="auto"/>
              </w:rPr>
            </w:pPr>
            <w:r>
              <w:rPr>
                <w:rFonts w:ascii="Arial" w:cs="Arial" w:eastAsia="Arial" w:hAnsi="Arial"/>
                <w:sz w:val="16"/>
                <w:szCs w:val="16"/>
                <w:b w:val="1"/>
                <w:bCs w:val="1"/>
                <w:color w:val="auto"/>
              </w:rPr>
              <w:t>Adjustments</w:t>
            </w:r>
          </w:p>
        </w:tc>
        <w:tc>
          <w:tcPr>
            <w:tcW w:w="140" w:type="dxa"/>
            <w:vAlign w:val="bottom"/>
            <w:vMerge w:val="restart"/>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Under ASU 2020-06</w:t>
            </w:r>
          </w:p>
        </w:tc>
        <w:tc>
          <w:tcPr>
            <w:tcW w:w="0" w:type="dxa"/>
            <w:vAlign w:val="bottom"/>
          </w:tcPr>
          <w:p>
            <w:pPr>
              <w:spacing w:after="0"/>
              <w:rPr>
                <w:sz w:val="1"/>
                <w:szCs w:val="1"/>
                <w:color w:val="auto"/>
              </w:rPr>
            </w:pPr>
          </w:p>
        </w:tc>
      </w:tr>
      <w:tr>
        <w:trPr>
          <w:trHeight w:val="215"/>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w:t>
            </w: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October 1, 2021</w:t>
            </w:r>
          </w:p>
        </w:tc>
        <w:tc>
          <w:tcPr>
            <w:tcW w:w="0" w:type="dxa"/>
            <w:vAlign w:val="bottom"/>
          </w:tcPr>
          <w:p>
            <w:pPr>
              <w:spacing w:after="0"/>
              <w:rPr>
                <w:sz w:val="1"/>
                <w:szCs w:val="1"/>
                <w:color w:val="auto"/>
              </w:rPr>
            </w:pPr>
          </w:p>
        </w:tc>
      </w:tr>
      <w:tr>
        <w:trPr>
          <w:trHeight w:val="237"/>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316,250</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316,250</w:t>
            </w:r>
          </w:p>
        </w:tc>
        <w:tc>
          <w:tcPr>
            <w:tcW w:w="0" w:type="dxa"/>
            <w:vAlign w:val="bottom"/>
          </w:tcPr>
          <w:p>
            <w:pPr>
              <w:spacing w:after="0"/>
              <w:rPr>
                <w:sz w:val="1"/>
                <w:szCs w:val="1"/>
                <w:color w:val="auto"/>
              </w:rPr>
            </w:pPr>
          </w:p>
        </w:tc>
      </w:tr>
      <w:tr>
        <w:trPr>
          <w:trHeight w:val="236"/>
        </w:trPr>
        <w:tc>
          <w:tcPr>
            <w:tcW w:w="602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(48,785)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48,785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financing costs, net</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236"/>
        </w:trPr>
        <w:tc>
          <w:tcPr>
            <w:tcW w:w="6020" w:type="dxa"/>
            <w:vAlign w:val="bottom"/>
          </w:tcPr>
          <w:p>
            <w:pPr>
              <w:ind w:left="20"/>
              <w:spacing w:after="0"/>
              <w:rPr>
                <w:sz w:val="20"/>
                <w:szCs w:val="20"/>
                <w:color w:val="auto"/>
              </w:rPr>
            </w:pPr>
            <w:r>
              <w:rPr>
                <w:rFonts w:ascii="Arial" w:cs="Arial" w:eastAsia="Arial" w:hAnsi="Arial"/>
                <w:sz w:val="18"/>
                <w:szCs w:val="18"/>
                <w:color w:val="auto"/>
              </w:rPr>
              <w:t>Net carrying amount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264,186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47,285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311,471</w:t>
            </w:r>
          </w:p>
        </w:tc>
        <w:tc>
          <w:tcPr>
            <w:tcW w:w="0" w:type="dxa"/>
            <w:vAlign w:val="bottom"/>
          </w:tcPr>
          <w:p>
            <w:pPr>
              <w:spacing w:after="0"/>
              <w:rPr>
                <w:sz w:val="1"/>
                <w:szCs w:val="1"/>
                <w:color w:val="auto"/>
              </w:rPr>
            </w:pPr>
          </w:p>
        </w:tc>
      </w:tr>
      <w:tr>
        <w:trPr>
          <w:trHeight w:val="277"/>
        </w:trPr>
        <w:tc>
          <w:tcPr>
            <w:tcW w:w="6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9,746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5,839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15,585</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0"/>
        </w:trPr>
        <w:tc>
          <w:tcPr>
            <w:tcW w:w="6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403,312</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339,049</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326,781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26,857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353,638</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impact of adoption on our condensed consolidated statements of operations for the three and nine months ended June 30, 2022 was primarily to decrease interest expense by $ 3.5 million and $10.3 million, respectively. This had the effect of increasing our basic earnings per share for the three and nine months ended June 30, 2022 by $0.05 and $0.14, respectively, and decreasing our diluted earnings per common share for the nine months ended June 30, 2022 by $ 0.02. Additionally, adoption of the standard requires interest charges on the convertible debt to be added to net income as well as the use of the “if-converted” method to calculate diluted earnings per common share. Refer to Note 4: Earnings Per Share for a discussion of the effect of the convertible notes on diluted earnings per common share.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reviewed all recently issued accounting pronouncements and concluded that they were either not applicable or not expected to have a material impact on our Condensed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2: ACQUISITIONS</w:t>
      </w:r>
    </w:p>
    <w:p>
      <w:pPr>
        <w:spacing w:after="0" w:line="201"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On June 8, 2021, we completed the acquisition of 100% of the common shares of PLO del Bajio S. de R.L. de C.V. (“Bajio”) and gained control of the entity, further expanding our geographic footprint within Mexico with the addition of 128 pawn stores. These stores operate under the name "Cash Apoyo Efectivo" and are located principally in the Mexico City metropolitan area.</w:t>
      </w:r>
    </w:p>
    <w:p>
      <w:pPr>
        <w:spacing w:after="0" w:line="148"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At the time of acquisition, the total consideration for Bajio was $23.6 million, consisting of $17.4 million of cash, and 212,870 shares of our Class A Non-Voting Common Stock valued at $1.6 million. In addition, the sellers are entitled to additional payments of up to $4.6 million to be paid in two payments over two years, contingent on the growth of the loan portfolios of the acquired stores. Up to 50% of any future contingent payments can be made in shares of our Class A Non-Voting Common Stock at our discretion. The value of the contingent consideration was included in the total consideration as the metrics were considered achievable on the date of acquisition. Cash paid at closing was $11.6 million and an additional $3.8 million was paid during the fourth quarter of 2021.</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fiscal 2022, both parties completed the formal working capital reconciliation stipulated within the purchase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As part of the working capital reconciliation, the Company and the seller agreed to reduce the purchase price, which was held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as of September 30, 2021, by $1.3 million. As the working capital adjustment was recorded as of September 30, 2021,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reduction to the purchase price is a measurement period adjustment, and resulted in a $1.3 million reduction to goodwill during the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2021. This reduced the total consideration for Bajio to $22.3 million. As the future payments decreased, we released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 million of the previously held $2.0 million in restricted cash to our unrestricted cash. Of the remaining $0.7 million in restricted cash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2022, $0.3 million was paid during July 2022, and the remaining $0.4 million is expected to be paid on or around the fifth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anniversary of the date of acquisition. During the second quarter of fiscal 2022, we obtained new information about the seller's calculation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pawn service charges receivable balance as of the date of acquisition, which resulted in a $0.6 million measurement period adjustment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reduce pawn service charges receivable and increase goodwill.</w:t>
      </w:r>
    </w:p>
    <w:p>
      <w:pPr>
        <w:spacing w:after="0" w:line="17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assets acquired and liabilities assumed are based upon the estimated fair values at the date of acquisition. The excess purchase price over the estimated fair market value of the new assets acquired has been recorded as goodwill.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allocation is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Pawn loans</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4,619</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Pawn service charges receivable</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Inventory</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1,319</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10,651</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25,422</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3,965</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 net</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746</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accrued expenses and other liabilities</w:t>
            </w:r>
          </w:p>
        </w:tc>
        <w:tc>
          <w:tcPr>
            <w:tcW w:w="3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Debt</w:t>
            </w:r>
          </w:p>
        </w:tc>
        <w:tc>
          <w:tcPr>
            <w:tcW w:w="3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(14,931)</w:t>
            </w:r>
          </w:p>
        </w:tc>
      </w:tr>
      <w:tr>
        <w:trPr>
          <w:trHeight w:val="216"/>
        </w:trPr>
        <w:tc>
          <w:tcPr>
            <w:tcW w:w="6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3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(10,651)</w:t>
            </w:r>
          </w:p>
        </w:tc>
      </w:tr>
      <w:tr>
        <w:trPr>
          <w:trHeight w:val="210"/>
        </w:trPr>
        <w:tc>
          <w:tcPr>
            <w:tcW w:w="69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consideration</w:t>
            </w:r>
          </w:p>
        </w:tc>
        <w:tc>
          <w:tcPr>
            <w:tcW w:w="33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22,255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acquired consist of indefinite-lived trade names.</w:t>
      </w:r>
    </w:p>
    <w:p>
      <w:pPr>
        <w:spacing w:after="0" w:line="17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The results of Bajio have been included in our condensed consolidated financial statements from June 9, 2021 through June 30, 2021, and are reported in our Latin America Pawn segment. The acquired business contributed revenues of $1.7 million and net income of $0.1 million to us for the period from June 9, 2021 to June 30, 2021.</w:t>
      </w:r>
    </w:p>
    <w:p>
      <w:pPr>
        <w:spacing w:after="0" w:line="14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following unaudited pro forma summary presents consolidated information for us as if the business combination had occurred on October 1, 2019. The pro forma information is not necessarily indicative of our results of operations had the acquisitions been completed on the above date, nor is it necessarily indicative of our future results. The pro forma information does not reflect any cost savings from operating efficiencies or synergies that could result from the acquisitions, nor does it reflect additional revenue opportunities following the acquisition. The pro forma adjustments reflected in the table below are subject to change as additional analysis is performed.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Three Months</w:t>
            </w:r>
          </w:p>
        </w:tc>
        <w:tc>
          <w:tcPr>
            <w:tcW w:w="180" w:type="dxa"/>
            <w:vAlign w:val="bottom"/>
          </w:tcPr>
          <w:p>
            <w:pPr>
              <w:spacing w:after="0"/>
              <w:rPr>
                <w:sz w:val="16"/>
                <w:szCs w:val="16"/>
                <w:color w:val="auto"/>
              </w:rPr>
            </w:pPr>
          </w:p>
        </w:tc>
        <w:tc>
          <w:tcPr>
            <w:tcW w:w="1260" w:type="dxa"/>
            <w:vAlign w:val="bottom"/>
          </w:tcPr>
          <w:p>
            <w:pPr>
              <w:jc w:val="center"/>
              <w:ind w:right="95"/>
              <w:spacing w:after="0"/>
              <w:rPr>
                <w:sz w:val="20"/>
                <w:szCs w:val="20"/>
                <w:color w:val="auto"/>
              </w:rPr>
            </w:pPr>
            <w:r>
              <w:rPr>
                <w:rFonts w:ascii="Arial" w:cs="Arial" w:eastAsia="Arial" w:hAnsi="Arial"/>
                <w:sz w:val="16"/>
                <w:szCs w:val="16"/>
                <w:b w:val="1"/>
                <w:bCs w:val="1"/>
                <w:color w:val="auto"/>
                <w:w w:val="99"/>
              </w:rPr>
              <w:t>Nine Months</w:t>
            </w:r>
          </w:p>
        </w:tc>
      </w:tr>
      <w:tr>
        <w:trPr>
          <w:trHeight w:val="162"/>
        </w:trPr>
        <w:tc>
          <w:tcPr>
            <w:tcW w:w="8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Ended</w:t>
            </w:r>
          </w:p>
        </w:tc>
        <w:tc>
          <w:tcPr>
            <w:tcW w:w="180" w:type="dxa"/>
            <w:vAlign w:val="bottom"/>
          </w:tcPr>
          <w:p>
            <w:pPr>
              <w:spacing w:after="0"/>
              <w:rPr>
                <w:sz w:val="14"/>
                <w:szCs w:val="14"/>
                <w:color w:val="auto"/>
              </w:rPr>
            </w:pPr>
          </w:p>
        </w:tc>
        <w:tc>
          <w:tcPr>
            <w:tcW w:w="1260" w:type="dxa"/>
            <w:vAlign w:val="bottom"/>
          </w:tcPr>
          <w:p>
            <w:pPr>
              <w:jc w:val="center"/>
              <w:ind w:right="95"/>
              <w:spacing w:after="0" w:line="162" w:lineRule="exact"/>
              <w:rPr>
                <w:sz w:val="20"/>
                <w:szCs w:val="20"/>
                <w:color w:val="auto"/>
              </w:rPr>
            </w:pPr>
            <w:r>
              <w:rPr>
                <w:rFonts w:ascii="Arial" w:cs="Arial" w:eastAsia="Arial" w:hAnsi="Arial"/>
                <w:sz w:val="16"/>
                <w:szCs w:val="16"/>
                <w:b w:val="1"/>
                <w:bCs w:val="1"/>
                <w:color w:val="auto"/>
                <w:w w:val="98"/>
              </w:rPr>
              <w:t>Ended</w:t>
            </w:r>
          </w:p>
        </w:tc>
      </w:tr>
      <w:tr>
        <w:trPr>
          <w:trHeight w:val="215"/>
        </w:trPr>
        <w:tc>
          <w:tcPr>
            <w:tcW w:w="8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June 30,</w:t>
            </w:r>
          </w:p>
        </w:tc>
        <w:tc>
          <w:tcPr>
            <w:tcW w:w="180" w:type="dxa"/>
            <w:vAlign w:val="bottom"/>
          </w:tcPr>
          <w:p>
            <w:pPr>
              <w:spacing w:after="0"/>
              <w:rPr>
                <w:sz w:val="18"/>
                <w:szCs w:val="18"/>
                <w:color w:val="auto"/>
              </w:rPr>
            </w:pPr>
          </w:p>
        </w:tc>
        <w:tc>
          <w:tcPr>
            <w:tcW w:w="1260" w:type="dxa"/>
            <w:vAlign w:val="bottom"/>
          </w:tcPr>
          <w:p>
            <w:pPr>
              <w:jc w:val="center"/>
              <w:ind w:right="95"/>
              <w:spacing w:after="0"/>
              <w:rPr>
                <w:sz w:val="20"/>
                <w:szCs w:val="20"/>
                <w:color w:val="auto"/>
              </w:rPr>
            </w:pPr>
            <w:r>
              <w:rPr>
                <w:rFonts w:ascii="Arial" w:cs="Arial" w:eastAsia="Arial" w:hAnsi="Arial"/>
                <w:sz w:val="16"/>
                <w:szCs w:val="16"/>
                <w:b w:val="1"/>
                <w:bCs w:val="1"/>
                <w:color w:val="auto"/>
                <w:w w:val="99"/>
              </w:rPr>
              <w:t>June 30,</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 except per share amounts)</w:t>
            </w: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rPr>
              <w:t>2021</w:t>
            </w:r>
          </w:p>
        </w:tc>
      </w:tr>
      <w:tr>
        <w:trPr>
          <w:trHeight w:val="35"/>
        </w:trPr>
        <w:tc>
          <w:tcPr>
            <w:tcW w:w="8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558,426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6,775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(loss) earnings per common share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Diluted (loss) earnings per common share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0.12</w:t>
            </w:r>
          </w:p>
        </w:tc>
      </w:tr>
    </w:tbl>
    <w:p>
      <w:pPr>
        <w:spacing w:after="0" w:line="24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did not have any material, nonrecurring pro forma adjustments directly attributable to the business combination included in the reported pro forma net revenue and net income. These pro forma amounts have been calculated after applying the Company's accounting policies and adjusting the results to reflect the additional amortization that would have been incurred assuming the amortization of the trade name had been applied from October 1, 2019.</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During the three and nine months ended June 30, 2021, we incurred total acquisition costs of $0.2 million and $0.4 million, respectively. The acquisition costs were primarily related to legal, accounting and consulting services, were expensed as incurred through June 30, 2021 and are included in general and administrative expenses in the consolidated statements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3: GOODWILL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and in total: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rPr>
              <w:t>Nine Months Ended June 30, 2022</w:t>
            </w:r>
          </w:p>
        </w:tc>
      </w:tr>
      <w:tr>
        <w:trPr>
          <w:trHeight w:val="212"/>
        </w:trPr>
        <w:tc>
          <w:tcPr>
            <w:tcW w:w="60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U.S. Pawn</w:t>
            </w: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Latin America Pawn</w:t>
            </w:r>
          </w:p>
        </w:tc>
        <w:tc>
          <w:tcPr>
            <w:tcW w:w="220" w:type="dxa"/>
            <w:vAlign w:val="bottom"/>
          </w:tcPr>
          <w:p>
            <w:pPr>
              <w:spacing w:after="0"/>
              <w:rPr>
                <w:sz w:val="18"/>
                <w:szCs w:val="18"/>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Consolidated</w:t>
            </w:r>
          </w:p>
        </w:tc>
      </w:tr>
      <w:tr>
        <w:trPr>
          <w:trHeight w:val="35"/>
        </w:trPr>
        <w:tc>
          <w:tcPr>
            <w:tcW w:w="606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244,471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285,758</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1,032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1,032</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Measurement period adjustments</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r>
      <w:tr>
        <w:trPr>
          <w:trHeight w:val="21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foreign currency translation changes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w:t>
            </w:r>
          </w:p>
        </w:tc>
      </w:tr>
      <w:tr>
        <w:trPr>
          <w:trHeight w:val="209"/>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June 30, 2022</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245,503</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41,295</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286,798</w:t>
            </w: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rPr>
              <w:t>Nine Months Ended June 30, 2021</w:t>
            </w:r>
          </w:p>
        </w:tc>
      </w:tr>
      <w:tr>
        <w:trPr>
          <w:trHeight w:val="212"/>
        </w:trPr>
        <w:tc>
          <w:tcPr>
            <w:tcW w:w="60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U.S. Pawn</w:t>
            </w: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Latin America Pawn</w:t>
            </w:r>
          </w:p>
        </w:tc>
        <w:tc>
          <w:tcPr>
            <w:tcW w:w="220" w:type="dxa"/>
            <w:vAlign w:val="bottom"/>
          </w:tcPr>
          <w:p>
            <w:pPr>
              <w:spacing w:after="0"/>
              <w:rPr>
                <w:sz w:val="18"/>
                <w:szCs w:val="18"/>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Consolidated</w:t>
            </w:r>
          </w:p>
        </w:tc>
      </w:tr>
      <w:tr>
        <w:trPr>
          <w:trHeight w:val="35"/>
        </w:trPr>
        <w:tc>
          <w:tcPr>
            <w:tcW w:w="606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2020</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241,928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257,582</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2,394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25,351</w:t>
            </w:r>
          </w:p>
        </w:tc>
      </w:tr>
      <w:tr>
        <w:trPr>
          <w:trHeight w:val="216"/>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foreign currency translation changes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w:t>
            </w:r>
          </w:p>
        </w:tc>
      </w:tr>
      <w:tr>
        <w:trPr>
          <w:trHeight w:val="209"/>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June 30, 2021</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244,322</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39,297</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283,619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4: EARNINGS PER SHARE</w:t>
      </w:r>
    </w:p>
    <w:p>
      <w:pPr>
        <w:spacing w:after="0" w:line="20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 reconciles the number of common shares used to compute basic and diluted earnings per share attributable to EZCORP Inc., shareholders:</w:t>
      </w:r>
    </w:p>
    <w:tbl>
      <w:tblPr>
        <w:tblLayout w:type="fixed"/>
        <w:tblInd w:w="0" w:type="dxa"/>
        <w:tblCellMar>
          <w:top w:w="0" w:type="dxa"/>
          <w:left w:w="0" w:type="dxa"/>
          <w:bottom w:w="0" w:type="dxa"/>
          <w:right w:w="0" w:type="dxa"/>
        </w:tblCellMar>
      </w:tblPr>
      <w:tr>
        <w:trPr>
          <w:trHeight w:val="172"/>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ind w:left="360"/>
              <w:spacing w:after="0" w:line="171" w:lineRule="exact"/>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4"/>
          </w:tcPr>
          <w:p>
            <w:pPr>
              <w:jc w:val="right"/>
              <w:ind w:right="639"/>
              <w:spacing w:after="0" w:line="171" w:lineRule="exact"/>
              <w:rPr>
                <w:sz w:val="20"/>
                <w:szCs w:val="20"/>
                <w:color w:val="auto"/>
              </w:rPr>
            </w:pPr>
            <w:r>
              <w:rPr>
                <w:rFonts w:ascii="Arial" w:cs="Arial" w:eastAsia="Arial" w:hAnsi="Arial"/>
                <w:sz w:val="16"/>
                <w:szCs w:val="16"/>
                <w:b w:val="1"/>
                <w:bCs w:val="1"/>
                <w:color w:val="auto"/>
              </w:rPr>
              <w:t>Nine Months Ended</w:t>
            </w: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35"/>
        </w:trPr>
        <w:tc>
          <w:tcPr>
            <w:tcW w:w="5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common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Net income (loss) - 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12,215</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(2,570)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42,823</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7,059</w:t>
            </w: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 shares outstanding - basic</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56,656</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55,898</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56,465</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55,639</w:t>
            </w:r>
          </w:p>
        </w:tc>
      </w:tr>
      <w:tr>
        <w:trPr>
          <w:trHeight w:val="22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Basic earnings (loss) per common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0.76</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r>
      <w:tr>
        <w:trPr>
          <w:trHeight w:val="203"/>
        </w:trPr>
        <w:tc>
          <w:tcPr>
            <w:tcW w:w="5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Diluted earnings per common share: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 basic</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7,059</w:t>
            </w:r>
          </w:p>
        </w:tc>
      </w:tr>
      <w:tr>
        <w:trPr>
          <w:trHeight w:val="21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Add: Convertible Notes interest expense, net of tax</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1,868</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5,598</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(loss) -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14,083</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(2,570)</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48,421</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7,059</w:t>
            </w: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Weighted shares outstanding - basic</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56,656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55,898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56,465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55,639</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dilution from equity-based compensation awards*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dilution from if-converted Convertible Notes**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25,224</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25,224</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200" w:type="dxa"/>
            <w:vAlign w:val="bottom"/>
            <w:tcBorders>
              <w:bottom w:val="single" w:sz="8" w:color="929292"/>
            </w:tcBorders>
            <w:shd w:val="clear" w:color="auto" w:fill="CCEEFF"/>
          </w:tcPr>
          <w:p>
            <w:pPr>
              <w:ind w:left="20"/>
              <w:spacing w:after="0"/>
              <w:rPr>
                <w:sz w:val="20"/>
                <w:szCs w:val="20"/>
                <w:color w:val="auto"/>
              </w:rPr>
            </w:pPr>
            <w:r>
              <w:rPr>
                <w:rFonts w:ascii="Arial" w:cs="Arial" w:eastAsia="Arial" w:hAnsi="Arial"/>
                <w:sz w:val="16"/>
                <w:szCs w:val="16"/>
                <w:color w:val="auto"/>
              </w:rPr>
              <w:t>Weighted shares outstanding - diluted</w:t>
            </w:r>
          </w:p>
        </w:tc>
        <w:tc>
          <w:tcPr>
            <w:tcW w:w="320" w:type="dxa"/>
            <w:vAlign w:val="bottom"/>
            <w:tcBorders>
              <w:bottom w:val="single" w:sz="8" w:color="929292"/>
            </w:tcBorders>
            <w:shd w:val="clear" w:color="auto" w:fill="CCEEFF"/>
          </w:tcPr>
          <w:p>
            <w:pPr>
              <w:spacing w:after="0"/>
              <w:rPr>
                <w:sz w:val="18"/>
                <w:szCs w:val="18"/>
                <w:color w:val="auto"/>
              </w:rPr>
            </w:pPr>
          </w:p>
        </w:tc>
        <w:tc>
          <w:tcPr>
            <w:tcW w:w="1100" w:type="dxa"/>
            <w:vAlign w:val="bottom"/>
            <w:tcBorders>
              <w:bottom w:val="single" w:sz="8" w:color="929292"/>
            </w:tcBorders>
            <w:shd w:val="clear" w:color="auto" w:fill="CCEEFF"/>
          </w:tcPr>
          <w:p>
            <w:pPr>
              <w:jc w:val="right"/>
              <w:spacing w:after="0"/>
              <w:rPr>
                <w:sz w:val="20"/>
                <w:szCs w:val="20"/>
                <w:color w:val="auto"/>
              </w:rPr>
            </w:pPr>
            <w:r>
              <w:rPr>
                <w:rFonts w:ascii="Arial" w:cs="Arial" w:eastAsia="Arial" w:hAnsi="Arial"/>
                <w:sz w:val="16"/>
                <w:szCs w:val="16"/>
                <w:color w:val="auto"/>
              </w:rPr>
              <w:t>82,504</w:t>
            </w:r>
          </w:p>
        </w:tc>
        <w:tc>
          <w:tcPr>
            <w:tcW w:w="120" w:type="dxa"/>
            <w:vAlign w:val="bottom"/>
            <w:tcBorders>
              <w:bottom w:val="single" w:sz="8" w:color="929292"/>
            </w:tcBorders>
            <w:shd w:val="clear" w:color="auto" w:fill="CCEEFF"/>
          </w:tcPr>
          <w:p>
            <w:pPr>
              <w:spacing w:after="0"/>
              <w:rPr>
                <w:sz w:val="18"/>
                <w:szCs w:val="18"/>
                <w:color w:val="auto"/>
              </w:rPr>
            </w:pPr>
          </w:p>
        </w:tc>
        <w:tc>
          <w:tcPr>
            <w:tcW w:w="400" w:type="dxa"/>
            <w:vAlign w:val="bottom"/>
            <w:tcBorders>
              <w:bottom w:val="single" w:sz="8" w:color="929292"/>
            </w:tcBorders>
            <w:shd w:val="clear" w:color="auto" w:fill="CCEEFF"/>
          </w:tcPr>
          <w:p>
            <w:pPr>
              <w:spacing w:after="0"/>
              <w:rPr>
                <w:sz w:val="18"/>
                <w:szCs w:val="18"/>
                <w:color w:val="auto"/>
              </w:rPr>
            </w:pPr>
          </w:p>
        </w:tc>
        <w:tc>
          <w:tcPr>
            <w:tcW w:w="1020" w:type="dxa"/>
            <w:vAlign w:val="bottom"/>
            <w:tcBorders>
              <w:bottom w:val="single" w:sz="8" w:color="929292"/>
            </w:tcBorders>
            <w:shd w:val="clear" w:color="auto" w:fill="CCEEFF"/>
          </w:tcPr>
          <w:p>
            <w:pPr>
              <w:jc w:val="right"/>
              <w:spacing w:after="0"/>
              <w:rPr>
                <w:sz w:val="20"/>
                <w:szCs w:val="20"/>
                <w:color w:val="auto"/>
              </w:rPr>
            </w:pPr>
            <w:r>
              <w:rPr>
                <w:rFonts w:ascii="Arial" w:cs="Arial" w:eastAsia="Arial" w:hAnsi="Arial"/>
                <w:sz w:val="16"/>
                <w:szCs w:val="16"/>
                <w:color w:val="auto"/>
              </w:rPr>
              <w:t>55,898</w:t>
            </w:r>
          </w:p>
        </w:tc>
        <w:tc>
          <w:tcPr>
            <w:tcW w:w="100" w:type="dxa"/>
            <w:vAlign w:val="bottom"/>
            <w:tcBorders>
              <w:bottom w:val="single" w:sz="8" w:color="929292"/>
            </w:tcBorders>
            <w:shd w:val="clear" w:color="auto" w:fill="CCEEFF"/>
          </w:tcPr>
          <w:p>
            <w:pPr>
              <w:spacing w:after="0"/>
              <w:rPr>
                <w:sz w:val="18"/>
                <w:szCs w:val="18"/>
                <w:color w:val="auto"/>
              </w:rPr>
            </w:pPr>
          </w:p>
        </w:tc>
        <w:tc>
          <w:tcPr>
            <w:tcW w:w="340" w:type="dxa"/>
            <w:vAlign w:val="bottom"/>
            <w:tcBorders>
              <w:bottom w:val="single" w:sz="8" w:color="929292"/>
            </w:tcBorders>
            <w:shd w:val="clear" w:color="auto" w:fill="CCEEFF"/>
          </w:tcPr>
          <w:p>
            <w:pPr>
              <w:spacing w:after="0"/>
              <w:rPr>
                <w:sz w:val="18"/>
                <w:szCs w:val="18"/>
                <w:color w:val="auto"/>
              </w:rPr>
            </w:pPr>
          </w:p>
        </w:tc>
        <w:tc>
          <w:tcPr>
            <w:tcW w:w="1100" w:type="dxa"/>
            <w:vAlign w:val="bottom"/>
            <w:tcBorders>
              <w:bottom w:val="single" w:sz="8" w:color="929292"/>
            </w:tcBorders>
            <w:shd w:val="clear" w:color="auto" w:fill="CCEEFF"/>
          </w:tcPr>
          <w:p>
            <w:pPr>
              <w:jc w:val="right"/>
              <w:spacing w:after="0"/>
              <w:rPr>
                <w:sz w:val="20"/>
                <w:szCs w:val="20"/>
                <w:color w:val="auto"/>
              </w:rPr>
            </w:pPr>
            <w:r>
              <w:rPr>
                <w:rFonts w:ascii="Arial" w:cs="Arial" w:eastAsia="Arial" w:hAnsi="Arial"/>
                <w:sz w:val="16"/>
                <w:szCs w:val="16"/>
                <w:color w:val="auto"/>
              </w:rPr>
              <w:t>82,349</w:t>
            </w:r>
          </w:p>
        </w:tc>
        <w:tc>
          <w:tcPr>
            <w:tcW w:w="100" w:type="dxa"/>
            <w:vAlign w:val="bottom"/>
            <w:tcBorders>
              <w:bottom w:val="single" w:sz="8" w:color="929292"/>
            </w:tcBorders>
            <w:shd w:val="clear" w:color="auto" w:fill="CCEEFF"/>
          </w:tcPr>
          <w:p>
            <w:pPr>
              <w:spacing w:after="0"/>
              <w:rPr>
                <w:sz w:val="18"/>
                <w:szCs w:val="18"/>
                <w:color w:val="auto"/>
              </w:rPr>
            </w:pPr>
          </w:p>
        </w:tc>
        <w:tc>
          <w:tcPr>
            <w:tcW w:w="420" w:type="dxa"/>
            <w:vAlign w:val="bottom"/>
            <w:tcBorders>
              <w:bottom w:val="single" w:sz="8" w:color="929292"/>
            </w:tcBorders>
            <w:shd w:val="clear" w:color="auto" w:fill="CCEEFF"/>
          </w:tcPr>
          <w:p>
            <w:pPr>
              <w:spacing w:after="0"/>
              <w:rPr>
                <w:sz w:val="18"/>
                <w:szCs w:val="18"/>
                <w:color w:val="auto"/>
              </w:rPr>
            </w:pPr>
          </w:p>
        </w:tc>
        <w:tc>
          <w:tcPr>
            <w:tcW w:w="1020" w:type="dxa"/>
            <w:vAlign w:val="bottom"/>
            <w:tcBorders>
              <w:bottom w:val="single" w:sz="8" w:color="929292"/>
            </w:tcBorders>
            <w:shd w:val="clear" w:color="auto" w:fill="CCEEFF"/>
          </w:tcPr>
          <w:p>
            <w:pPr>
              <w:jc w:val="right"/>
              <w:spacing w:after="0"/>
              <w:rPr>
                <w:sz w:val="20"/>
                <w:szCs w:val="20"/>
                <w:color w:val="auto"/>
              </w:rPr>
            </w:pPr>
            <w:r>
              <w:rPr>
                <w:rFonts w:ascii="Arial" w:cs="Arial" w:eastAsia="Arial" w:hAnsi="Arial"/>
                <w:sz w:val="16"/>
                <w:szCs w:val="16"/>
                <w:color w:val="auto"/>
              </w:rPr>
              <w:t>55,653</w:t>
            </w:r>
          </w:p>
        </w:tc>
      </w:tr>
      <w:tr>
        <w:trPr>
          <w:trHeight w:val="21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 earnings (loss) per common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r>
      <w:tr>
        <w:trPr>
          <w:trHeight w:val="95"/>
        </w:trPr>
        <w:tc>
          <w:tcPr>
            <w:tcW w:w="5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r>
      <w:tr>
        <w:trPr>
          <w:trHeight w:val="177"/>
        </w:trPr>
        <w:tc>
          <w:tcPr>
            <w:tcW w:w="5200" w:type="dxa"/>
            <w:vAlign w:val="bottom"/>
          </w:tcPr>
          <w:p>
            <w:pPr>
              <w:ind w:left="20"/>
              <w:spacing w:after="0" w:line="178" w:lineRule="exact"/>
              <w:rPr>
                <w:sz w:val="20"/>
                <w:szCs w:val="20"/>
                <w:color w:val="auto"/>
              </w:rPr>
            </w:pPr>
            <w:r>
              <w:rPr>
                <w:rFonts w:ascii="Arial" w:cs="Arial" w:eastAsia="Arial" w:hAnsi="Arial"/>
                <w:sz w:val="16"/>
                <w:szCs w:val="16"/>
                <w:color w:val="auto"/>
              </w:rPr>
              <w:t>Potential common shares excluded from the calculation of diluted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8"/>
        </w:trPr>
        <w:tc>
          <w:tcPr>
            <w:tcW w:w="5200" w:type="dxa"/>
            <w:vAlign w:val="bottom"/>
          </w:tcPr>
          <w:p>
            <w:pPr>
              <w:ind w:left="20"/>
              <w:spacing w:after="0"/>
              <w:rPr>
                <w:sz w:val="20"/>
                <w:szCs w:val="20"/>
                <w:color w:val="auto"/>
              </w:rPr>
            </w:pPr>
            <w:r>
              <w:rPr>
                <w:rFonts w:ascii="Arial" w:cs="Arial" w:eastAsia="Arial" w:hAnsi="Arial"/>
                <w:sz w:val="16"/>
                <w:szCs w:val="16"/>
                <w:color w:val="auto"/>
              </w:rPr>
              <w:t>earnings per share above:</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r>
    </w:tbl>
    <w:p>
      <w:pPr>
        <w:spacing w:after="0" w:line="99" w:lineRule="exact"/>
        <w:rPr>
          <w:sz w:val="20"/>
          <w:szCs w:val="20"/>
          <w:color w:val="auto"/>
        </w:rPr>
      </w:pPr>
    </w:p>
    <w:p>
      <w:pPr>
        <w:ind w:left="340" w:right="540" w:hanging="332"/>
        <w:spacing w:after="0" w:line="241" w:lineRule="auto"/>
        <w:tabs>
          <w:tab w:leader="none" w:pos="232"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time-based share-based awards and performance based awards for which targets for fiscal year tranches have been achieved and vesting is subject only to achievement of service conditions.</w:t>
      </w:r>
    </w:p>
    <w:p>
      <w:pPr>
        <w:spacing w:after="0" w:line="1"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See Note 8: Debt for conversion price and initial conversion rate of the 2024 Convertible Notes and 2025 Convertible Notes.</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44"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share-based awards that are contingently issuable, but for which the condition for issuance has not been met as of the end of the reporting period.</w:t>
      </w:r>
    </w:p>
    <w:p>
      <w:pPr>
        <w:spacing w:after="0" w:line="13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As a result of our adoption of ASU 2020-06 on October 1, 2021, the dilutive impact of the Convertible Notes for our calculation of diluted net income per share is considered using the if-converted method. During the three and nine months ended June 30, 2022, we increased net income by $1.9 million and $5.6 million, respectively, to arrive at the numerator used to calculate diluted earnings per common share, which represents interest expense recognized on the convertible notes that were subject to this change in methodology. For periods prior to our October 1, 2021 adoption of ASU 2020-06, we applied the treasury stock method to account for the dilutive impact of the 2024 and 2025 Convertible Notes for diluted earnings per share purposes.</w:t>
      </w:r>
    </w:p>
    <w:p>
      <w:pPr>
        <w:spacing w:after="0" w:line="12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5: LEASES</w:t>
      </w:r>
    </w:p>
    <w:p>
      <w:pPr>
        <w:spacing w:after="0" w:line="20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determine if a contract contains a lease at inception. Our lease portfolio consists primarily of operating leases for pawn store locations and corporate offices with lease terms ranging from three to ten years.</w:t>
      </w:r>
    </w:p>
    <w:p>
      <w:pPr>
        <w:spacing w:after="0" w:line="144"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The information below provides a summary of our leasing activities. See Note 12: Leases in our 2021 Annual Report for additional information about our leasing activities. The table below presents balances of our operating leases: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30, 2022</w:t>
            </w:r>
          </w:p>
        </w:tc>
        <w:tc>
          <w:tcPr>
            <w:tcW w:w="160" w:type="dxa"/>
            <w:vAlign w:val="bottom"/>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30, 2021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37"/>
        </w:trPr>
        <w:tc>
          <w:tcPr>
            <w:tcW w:w="67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Right-of-use asset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217,506</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185,467</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200,990</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52,263</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Lease liability, non-current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175,489</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149,342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161,330</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lease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228,847</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196,583</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the composition of our lease costs: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35"/>
        </w:trPr>
        <w:tc>
          <w:tcPr>
            <w:tcW w:w="5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50,415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44,667</w:t>
            </w:r>
          </w:p>
        </w:tc>
      </w:tr>
      <w:tr>
        <w:trPr>
          <w:trHeight w:val="21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Variable lease expense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3,824</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3,601</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11,200</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9,768</w:t>
            </w:r>
          </w:p>
        </w:tc>
      </w:tr>
      <w:tr>
        <w:trPr>
          <w:trHeight w:val="219"/>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lease expense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21,088</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18,455</w:t>
            </w: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61,615</w:t>
            </w: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54,435</w:t>
            </w:r>
          </w:p>
        </w:tc>
      </w:tr>
    </w:tbl>
    <w:p>
      <w:pPr>
        <w:spacing w:after="0" w:line="12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Includes a reduction for sublease rental income.</w:t>
      </w:r>
    </w:p>
    <w:p>
      <w:pPr>
        <w:spacing w:after="0" w:line="10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Lease expense is recognized on a straight-line basis over the lease term with variable lease expense recognized in the period in which the costs are incurred. The components of lease expense are included in "Store" and "General and Administrative" expense, based on the underlying lease use.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supplemental information includes the following for our operating leases:</w:t>
      </w:r>
    </w:p>
    <w:p>
      <w:pPr>
        <w:spacing w:after="0" w:line="30"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Nine Months Ended</w:t>
      </w:r>
    </w:p>
    <w:p>
      <w:pPr>
        <w:jc w:val="center"/>
        <w:ind w:left="8040"/>
        <w:spacing w:after="0"/>
        <w:rPr>
          <w:sz w:val="20"/>
          <w:szCs w:val="20"/>
          <w:color w:val="auto"/>
        </w:rPr>
      </w:pPr>
      <w:r>
        <w:rPr>
          <w:rFonts w:ascii="Arial" w:cs="Arial" w:eastAsia="Arial" w:hAnsi="Arial"/>
          <w:sz w:val="16"/>
          <w:szCs w:val="16"/>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34"/>
        </w:trPr>
        <w:tc>
          <w:tcPr>
            <w:tcW w:w="8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16"/>
        </w:trPr>
        <w:tc>
          <w:tcPr>
            <w:tcW w:w="9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Weighted-average remaining contractual lease term </w:t>
            </w:r>
            <w:r>
              <w:rPr>
                <w:rFonts w:ascii="Arial" w:cs="Arial" w:eastAsia="Arial" w:hAnsi="Arial"/>
                <w:sz w:val="16"/>
                <w:szCs w:val="16"/>
                <w:i w:val="1"/>
                <w:iCs w:val="1"/>
                <w:color w:val="auto"/>
              </w:rPr>
              <w:t>(years)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r>
      <w:tr>
        <w:trPr>
          <w:trHeight w:val="210"/>
        </w:trPr>
        <w:tc>
          <w:tcPr>
            <w:tcW w:w="9040" w:type="dxa"/>
            <w:vAlign w:val="bottom"/>
            <w:gridSpan w:val="2"/>
          </w:tcPr>
          <w:p>
            <w:pPr>
              <w:ind w:left="20"/>
              <w:spacing w:after="0"/>
              <w:rPr>
                <w:sz w:val="20"/>
                <w:szCs w:val="20"/>
                <w:color w:val="auto"/>
              </w:rPr>
            </w:pPr>
            <w:r>
              <w:rPr>
                <w:rFonts w:ascii="Arial" w:cs="Arial" w:eastAsia="Arial" w:hAnsi="Arial"/>
                <w:sz w:val="16"/>
                <w:szCs w:val="16"/>
                <w:color w:val="auto"/>
              </w:rPr>
              <w:t>Weighted-average incremental borrowing rate</w:t>
            </w:r>
          </w:p>
        </w:tc>
        <w:tc>
          <w:tcPr>
            <w:tcW w:w="560" w:type="dxa"/>
            <w:vAlign w:val="bottom"/>
          </w:tcPr>
          <w:p>
            <w:pPr>
              <w:jc w:val="right"/>
              <w:spacing w:after="0"/>
              <w:rPr>
                <w:sz w:val="20"/>
                <w:szCs w:val="20"/>
                <w:color w:val="auto"/>
              </w:rPr>
            </w:pPr>
            <w:r>
              <w:rPr>
                <w:rFonts w:ascii="Arial" w:cs="Arial" w:eastAsia="Arial" w:hAnsi="Arial"/>
                <w:sz w:val="16"/>
                <w:szCs w:val="16"/>
                <w:color w:val="auto"/>
              </w:rPr>
              <w:t>8.20 %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7.86 %</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June 30, 2022 were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Remaining 2022</w:t>
            </w:r>
          </w:p>
        </w:tc>
        <w:tc>
          <w:tcPr>
            <w:tcW w:w="38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17,427</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38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66,988</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38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55,727</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38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44,883</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38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34,908</w:t>
            </w:r>
          </w:p>
        </w:tc>
      </w:tr>
      <w:tr>
        <w:trPr>
          <w:trHeight w:val="21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3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60,419</w:t>
            </w:r>
          </w:p>
        </w:tc>
      </w:tr>
      <w:tr>
        <w:trPr>
          <w:trHeight w:val="213"/>
        </w:trPr>
        <w:tc>
          <w:tcPr>
            <w:tcW w:w="6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lease payments</w:t>
            </w:r>
          </w:p>
        </w:tc>
        <w:tc>
          <w:tcPr>
            <w:tcW w:w="38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280,352</w:t>
            </w:r>
          </w:p>
        </w:tc>
      </w:tr>
      <w:tr>
        <w:trPr>
          <w:trHeight w:val="213"/>
        </w:trPr>
        <w:tc>
          <w:tcPr>
            <w:tcW w:w="6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Less: Portion representing interest</w:t>
            </w:r>
          </w:p>
        </w:tc>
        <w:tc>
          <w:tcPr>
            <w:tcW w:w="3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51,505</w:t>
            </w:r>
          </w:p>
        </w:tc>
      </w:tr>
      <w:tr>
        <w:trPr>
          <w:trHeight w:val="213"/>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38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228,847</w:t>
            </w:r>
          </w:p>
        </w:tc>
      </w:tr>
      <w:tr>
        <w:trPr>
          <w:trHeight w:val="213"/>
        </w:trPr>
        <w:tc>
          <w:tcPr>
            <w:tcW w:w="6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Less: Current portion</w:t>
            </w:r>
          </w:p>
        </w:tc>
        <w:tc>
          <w:tcPr>
            <w:tcW w:w="3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53,358</w:t>
            </w:r>
          </w:p>
        </w:tc>
      </w:tr>
      <w:tr>
        <w:trPr>
          <w:trHeight w:val="219"/>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Non-current portion</w:t>
            </w:r>
          </w:p>
        </w:tc>
        <w:tc>
          <w:tcPr>
            <w:tcW w:w="38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175,489</w:t>
            </w:r>
          </w:p>
        </w:tc>
      </w:tr>
    </w:tbl>
    <w:p>
      <w:pPr>
        <w:spacing w:after="0" w:line="33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recorded $ 55.3 million and $33.5 million in non-cash additions to our right of use assets and lease liabilities for the nine months ended June 30, 2022 and June 30, 2021,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6: STRATEGIC INVESTMENTS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Converters International Limited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On October 1, 2021, we purchased an additional 13 million shares of Cash Converters International Limited ("Cash Converters") for</w:t>
      </w:r>
    </w:p>
    <w:p>
      <w:pPr>
        <w:spacing w:after="0" w:line="9"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$2.5 million. This purchase increased our total ownership in Cash Converters to 236,702,991 shares, representing a 37.72% ownership interest. Additionally, on October 14, 2021, we received a cash dividend of $1.7 million from Cash Converters.</w:t>
      </w:r>
    </w:p>
    <w:p>
      <w:pPr>
        <w:spacing w:after="0" w:line="14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On March 10, 2022, we purchased an additional 5.5 million shares of Cash Converters for $1.0 million. This purchase increased our total ownership in Cash Converters to 242,239,157 shares, representing a 38.60% ownership interest.</w:t>
      </w:r>
    </w:p>
    <w:p>
      <w:pPr>
        <w:spacing w:after="0" w:line="144" w:lineRule="exact"/>
        <w:rPr>
          <w:sz w:val="20"/>
          <w:szCs w:val="20"/>
          <w:color w:val="auto"/>
        </w:rPr>
      </w:pPr>
    </w:p>
    <w:p>
      <w:pPr>
        <w:ind w:right="740"/>
        <w:spacing w:after="0" w:line="256" w:lineRule="auto"/>
        <w:rPr>
          <w:sz w:val="20"/>
          <w:szCs w:val="20"/>
          <w:color w:val="auto"/>
        </w:rPr>
      </w:pPr>
      <w:r>
        <w:rPr>
          <w:rFonts w:ascii="Arial" w:cs="Arial" w:eastAsia="Arial" w:hAnsi="Arial"/>
          <w:sz w:val="18"/>
          <w:szCs w:val="18"/>
          <w:color w:val="auto"/>
        </w:rPr>
        <w:t>On April 5, 2022, we acquired an additional 13 million shares for $2.5 million, bringing our total ownership to 255,239,157 shares, representing an ownership interest of 40.67%. Additionally, on April 14, 2022, we received a cash dividend of $1.7 million from Cash Converters.</w:t>
      </w:r>
    </w:p>
    <w:p>
      <w:pPr>
        <w:spacing w:after="0" w:line="14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following tables present summary financial information for Cash Converters most recently reported results at December 31, 2021 after translation to U.S. dollars: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2"/>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162,558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170,412</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185,780</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189,810</w:t>
            </w:r>
          </w:p>
        </w:tc>
      </w:tr>
      <w:tr>
        <w:trPr>
          <w:trHeight w:val="219"/>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348,338</w:t>
            </w: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360,222</w:t>
            </w:r>
          </w:p>
        </w:tc>
      </w:tr>
      <w:tr>
        <w:trPr>
          <w:trHeight w:val="40"/>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59,701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59,962</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59,915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58,368</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228,722</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241,892</w:t>
            </w:r>
          </w:p>
        </w:tc>
      </w:tr>
      <w:tr>
        <w:trPr>
          <w:trHeight w:val="220"/>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348,338</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360,222</w:t>
            </w: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Half-Year Ended December 31,</w:t>
            </w:r>
          </w:p>
        </w:tc>
      </w:tr>
      <w:tr>
        <w:trPr>
          <w:trHeight w:val="212"/>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8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71,153</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55,280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51,231</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profit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5,561</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212529"/>
        </w:rPr>
        <w:t>See Note 7: Fair Value Measurements for the fair value and carrying value of our investment in Cash Converters.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Founders One, LLC</w:t>
      </w:r>
    </w:p>
    <w:p>
      <w:pPr>
        <w:spacing w:after="0" w:line="153"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In October 2021, we invested $15.0 million in exchange for a non-redeemable voting participating preferred equity interest in Founders One, LLC (“Founders”), a newly-formed entity with one other member. Founders used that $15.0 million to acquire an equity interest in Simple Management Group, Inc. (“SMG”), which owns and operates 20 pawn stores principally in the Caribbean region, with plans to build and acquire more stores in that region. The investment in Founders is a variable interest entity, but because the Company is not the primary beneficiary, we do not consolidate it. Further, as we are not the appointed manager, we do not have the ability to direct the activities of the investment entity that most significantly impact its economic performance. Consequently, our investment in Founders is accounted for utilizing the measurement alternative within Accounting Standards Codification ("ASC") 321, Investments — Equity Securities. Our</w:t>
      </w:r>
    </w:p>
    <w:p>
      <w:pPr>
        <w:spacing w:after="0" w:line="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$15.0 million carrying value of the investment is included in “Other investments” in our consolidated balance sheets. Our maximum exposure for losses in this investment is its contributed investment of $15.0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212529"/>
        </w:rPr>
        <w:t>See Note 7: Fair Value Measurements for the fair value and carrying value of our investment in Founders.</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7: FAIR VALUE MEASUREMENTS</w:t>
      </w:r>
    </w:p>
    <w:p>
      <w:pPr>
        <w:spacing w:after="0" w:line="20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spacing w:after="0" w:line="15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 or liabilities.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Other observable market-based inputs or unobservable inputs that are corroborated by market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not to measure at fair value any eligible items for which fair value measurement is optional.</w:t>
      </w:r>
    </w:p>
    <w:p>
      <w:pPr>
        <w:spacing w:after="0" w:line="17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There were no transfers in or out of Level 1, Level 2 or Level 3 for financial assets or liabilities measured at fair value on a recurring basis during the periods presented.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 Not Measured at Fair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estimates of fair value of financial assets and liabilities that were not measured at fair value: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00" w:type="dxa"/>
            <w:vAlign w:val="bottom"/>
          </w:tcPr>
          <w:p>
            <w:pPr>
              <w:spacing w:after="0"/>
              <w:rPr>
                <w:sz w:val="18"/>
                <w:szCs w:val="18"/>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9"/>
              </w:rPr>
              <w:t>Carrying Value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4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560" w:type="dxa"/>
            <w:vAlign w:val="bottom"/>
            <w:tcBorders>
              <w:top w:val="single" w:sz="8" w:color="auto"/>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June 30, 2022</w:t>
            </w: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June 30, 2022</w:t>
            </w: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35"/>
        </w:trPr>
        <w:tc>
          <w:tcPr>
            <w:tcW w:w="46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1,207</w:t>
            </w: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6,631</w:t>
            </w: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Other investments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18,000</w:t>
            </w: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2024 Convertible Notes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142,404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143,951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143,951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2025 Convertible Notes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20" w:type="dxa"/>
            <w:vAlign w:val="bottom"/>
          </w:tcPr>
          <w:p>
            <w:pPr>
              <w:spacing w:after="0"/>
              <w:rPr>
                <w:sz w:val="18"/>
                <w:szCs w:val="18"/>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Carrying Value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4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560" w:type="dxa"/>
            <w:vAlign w:val="bottom"/>
            <w:tcBorders>
              <w:top w:val="single" w:sz="8" w:color="auto"/>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June 30, 2021</w:t>
            </w:r>
          </w:p>
        </w:tc>
        <w:tc>
          <w:tcPr>
            <w:tcW w:w="14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35"/>
        </w:trPr>
        <w:tc>
          <w:tcPr>
            <w:tcW w:w="46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4620" w:type="dxa"/>
            <w:vAlign w:val="bottom"/>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1,173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1,173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1,173</w:t>
            </w:r>
          </w:p>
        </w:tc>
      </w:tr>
      <w:tr>
        <w:trPr>
          <w:trHeight w:val="219"/>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7,470</w:t>
            </w:r>
          </w:p>
        </w:tc>
      </w:tr>
      <w:tr>
        <w:trPr>
          <w:trHeight w:val="215"/>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62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138,722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154,129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154,129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0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Carrying Value</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3"/>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09"/>
        </w:trPr>
        <w:tc>
          <w:tcPr>
            <w:tcW w:w="46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35"/>
        </w:trPr>
        <w:tc>
          <w:tcPr>
            <w:tcW w:w="46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1,181</w:t>
            </w: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7,316</w:t>
            </w:r>
          </w:p>
        </w:tc>
      </w:tr>
      <w:tr>
        <w:trPr>
          <w:trHeight w:val="215"/>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60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140,643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155,250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155,250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Due to the short-term nature of cash and cash equivalents, pawn loans, pawn service charges receivable and other debt, we estimate that the carrying value approximates fair value. We consider our cash and cash equivalents to be measured using Level 1 inputs and our pawn loans, pawn service charges receivable and other debt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spacing w:after="0" w:line="11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Included in “Accounts payable, accrued expenses and other current liabilities“ in our Consolidated Balance Sheets as of June 30, 2022 is $4.6 million which represents the fair value of acquisition-related contingent consideration as discussed in Note 2: Acquisitions. The key assumptions used to determine the fair value of acquisition-related contingent consideration are estimated by management, not observable in the market and, therefore considered Level 3 inputs within the fair value hierarchy.</w:t>
      </w:r>
    </w:p>
    <w:p>
      <w:pPr>
        <w:spacing w:after="0" w:line="150" w:lineRule="exact"/>
        <w:rPr>
          <w:sz w:val="20"/>
          <w:szCs w:val="20"/>
          <w:color w:val="auto"/>
        </w:rPr>
      </w:pPr>
    </w:p>
    <w:p>
      <w:pPr>
        <w:ind w:right="380"/>
        <w:spacing w:after="0" w:line="278" w:lineRule="auto"/>
        <w:rPr>
          <w:sz w:val="20"/>
          <w:szCs w:val="20"/>
          <w:color w:val="auto"/>
        </w:rPr>
      </w:pPr>
      <w:r>
        <w:rPr>
          <w:rFonts w:ascii="Arial" w:cs="Arial" w:eastAsia="Arial" w:hAnsi="Arial"/>
          <w:sz w:val="17"/>
          <w:szCs w:val="17"/>
          <w:color w:val="auto"/>
        </w:rPr>
        <w:t>In March 2019, we received $1.1 million in previously escrowed seller funds as a result of settling certain indemnification claims with the seller of GPMX. In April 2019, we loaned the $ 1.1 million back to the seller of GPMX in exchange for a promissory note. The note bears interest at the rate of 2.89% per annum and is secured by certain marketable securities owned by the seller and held in a U.S. brokerage</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account. All principal and accrued interest is due and payable in April 2024. The fair value of the note approximated its carrying value as of June 30, 2022.</w:t>
      </w:r>
    </w:p>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use the equity method of accounting to account for our ownership interest in Cash Converters. The inputs used to generate the fair value of the investment in Cash Converters were considered Level 1 inputs. These inputs consist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150"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We use the equity method of accounting to account for our 14.57% ownership in Rich Data Corporation ("RDC"), a previously consolidated variable interest entity for which we no longer have the power to direct the activities that most significantly affect its economic performance. We believe its fair value approximated carrying value although such fair value is highly variable and includes significant unobservable inputs.</w:t>
      </w:r>
    </w:p>
    <w:p>
      <w:pPr>
        <w:spacing w:after="0" w:line="13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Of the $18.0 million included in the table above, $15.0 million is related the investment in Founders. We believe the investment's fair value approximated its carrying value although such fair value is highly variable and includes significant unobservable inputs.</w:t>
      </w:r>
    </w:p>
    <w:p>
      <w:pPr>
        <w:spacing w:after="0" w:line="14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measured the fair value of the 2024 and 2025 Convertible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September 2020, we received the final payment from AlphaCredit on the notes receivable related to the sale of Grupo Finmart and recorded the amount under “Restricted cash” in our consolidated balance sheet as of June 30, 2022. In August 2019, AlphaCredit notified us of an indemnity claim for certain pre-closing taxes, but the nature, extent and validity of such claim has yet to be determined.</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8: DEBT</w:t>
      </w:r>
    </w:p>
    <w:p>
      <w:pPr>
        <w:spacing w:after="0" w:line="20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Company adopted ASU 2020-06 on October 1, 2021. See Note 1: Organization And Summary Of Significant Accounting Policies for further discussion of this recently adopted accounting policy.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debt instruments outstanding: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June 30, 2022</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June 30, 2021</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6"/>
                <w:szCs w:val="16"/>
                <w:b w:val="1"/>
                <w:bCs w:val="1"/>
                <w:color w:val="auto"/>
              </w:rPr>
              <w:t>September 30, 2021</w:t>
            </w:r>
          </w:p>
        </w:tc>
        <w:tc>
          <w:tcPr>
            <w:tcW w:w="0" w:type="dxa"/>
            <w:vAlign w:val="bottom"/>
          </w:tcPr>
          <w:p>
            <w:pPr>
              <w:spacing w:after="0"/>
              <w:rPr>
                <w:sz w:val="1"/>
                <w:szCs w:val="1"/>
                <w:color w:val="auto"/>
              </w:rPr>
            </w:pPr>
          </w:p>
        </w:tc>
      </w:tr>
      <w:tr>
        <w:trPr>
          <w:trHeight w:val="158"/>
        </w:trPr>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Debt</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Debt</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rPr>
              <w:t>Debt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9"/>
              </w:rPr>
              <w:t>Discount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Discount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7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8"/>
              </w:rPr>
              <w:t>and</w:t>
            </w: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and</w:t>
            </w:r>
          </w:p>
        </w:tc>
        <w:tc>
          <w:tcPr>
            <w:tcW w:w="88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Issuance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9"/>
              </w:rPr>
              <w:t>Issuance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Issuance</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Costs</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35"/>
        </w:trPr>
        <w:tc>
          <w:tcPr>
            <w:tcW w:w="224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ind w:left="80"/>
              <w:spacing w:after="0"/>
              <w:rPr>
                <w:sz w:val="20"/>
                <w:szCs w:val="20"/>
                <w:color w:val="auto"/>
              </w:rPr>
            </w:pPr>
            <w:r>
              <w:rPr>
                <w:rFonts w:ascii="Arial" w:cs="Arial" w:eastAsia="Arial" w:hAnsi="Arial"/>
                <w:sz w:val="16"/>
                <w:szCs w:val="16"/>
                <w:color w:val="auto"/>
              </w:rPr>
              <w:t>143,750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ind w:left="80"/>
              <w:spacing w:after="0"/>
              <w:rPr>
                <w:sz w:val="20"/>
                <w:szCs w:val="20"/>
                <w:color w:val="auto"/>
              </w:rPr>
            </w:pPr>
            <w:r>
              <w:rPr>
                <w:rFonts w:ascii="Arial" w:cs="Arial" w:eastAsia="Arial" w:hAnsi="Arial"/>
                <w:sz w:val="16"/>
                <w:szCs w:val="16"/>
                <w:color w:val="auto"/>
              </w:rPr>
              <w:t>143,750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143,750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123,543</w:t>
            </w:r>
          </w:p>
        </w:tc>
        <w:tc>
          <w:tcPr>
            <w:tcW w:w="0" w:type="dxa"/>
            <w:vAlign w:val="bottom"/>
          </w:tcPr>
          <w:p>
            <w:pPr>
              <w:spacing w:after="0"/>
              <w:rPr>
                <w:sz w:val="1"/>
                <w:szCs w:val="1"/>
                <w:color w:val="auto"/>
              </w:rPr>
            </w:pPr>
          </w:p>
        </w:tc>
      </w:tr>
      <w:tr>
        <w:trPr>
          <w:trHeight w:val="21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2025 Convertible Notes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172,500</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170,117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172,500</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(33,778)</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138,722</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172,500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140,643</w:t>
            </w:r>
          </w:p>
        </w:tc>
        <w:tc>
          <w:tcPr>
            <w:tcW w:w="0" w:type="dxa"/>
            <w:vAlign w:val="bottom"/>
          </w:tcPr>
          <w:p>
            <w:pPr>
              <w:spacing w:after="0"/>
              <w:rPr>
                <w:sz w:val="1"/>
                <w:szCs w:val="1"/>
                <w:color w:val="auto"/>
              </w:rPr>
            </w:pPr>
          </w:p>
        </w:tc>
      </w:tr>
      <w:tr>
        <w:trPr>
          <w:trHeight w:val="219"/>
        </w:trPr>
        <w:tc>
          <w:tcPr>
            <w:tcW w:w="2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316,250</w:t>
            </w: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(3,729)</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312,521</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316,250</w:t>
            </w: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(55,618)</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260,632</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316,250</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(52,064)</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264,186</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contractual maturities related to the debt instruments as of June 30,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8"/>
          </w:tcPr>
          <w:p>
            <w:pPr>
              <w:jc w:val="center"/>
              <w:ind w:right="600"/>
              <w:spacing w:after="0"/>
              <w:rPr>
                <w:sz w:val="20"/>
                <w:szCs w:val="20"/>
                <w:color w:val="auto"/>
              </w:rPr>
            </w:pPr>
            <w:r>
              <w:rPr>
                <w:rFonts w:ascii="Arial" w:cs="Arial" w:eastAsia="Arial" w:hAnsi="Arial"/>
                <w:sz w:val="16"/>
                <w:szCs w:val="16"/>
                <w:b w:val="1"/>
                <w:bCs w:val="1"/>
                <w:color w:val="auto"/>
              </w:rPr>
              <w:t>Schedule of Contractual Maturities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15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Less Than 1 Year</w:t>
            </w:r>
          </w:p>
        </w:tc>
        <w:tc>
          <w:tcPr>
            <w:tcW w:w="200" w:type="dxa"/>
            <w:vAlign w:val="bottom"/>
          </w:tcPr>
          <w:p>
            <w:pPr>
              <w:spacing w:after="0"/>
              <w:rPr>
                <w:sz w:val="13"/>
                <w:szCs w:val="13"/>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9"/>
              </w:rPr>
              <w:t>1 - 3 Years</w:t>
            </w:r>
          </w:p>
        </w:tc>
        <w:tc>
          <w:tcPr>
            <w:tcW w:w="220" w:type="dxa"/>
            <w:vAlign w:val="bottom"/>
          </w:tcPr>
          <w:p>
            <w:pPr>
              <w:spacing w:after="0"/>
              <w:rPr>
                <w:sz w:val="13"/>
                <w:szCs w:val="13"/>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3 - 5 Years</w:t>
            </w:r>
          </w:p>
        </w:tc>
        <w:tc>
          <w:tcPr>
            <w:tcW w:w="180" w:type="dxa"/>
            <w:vAlign w:val="bottom"/>
          </w:tcPr>
          <w:p>
            <w:pPr>
              <w:spacing w:after="0"/>
              <w:rPr>
                <w:sz w:val="13"/>
                <w:szCs w:val="13"/>
                <w:color w:val="auto"/>
              </w:rPr>
            </w:pPr>
          </w:p>
        </w:tc>
        <w:tc>
          <w:tcPr>
            <w:tcW w:w="126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rPr>
              <w:t>More Than 5</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35"/>
        </w:trPr>
        <w:tc>
          <w:tcPr>
            <w:tcW w:w="366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2025 Convertible Notes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9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316,250</w:t>
            </w: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316,250</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following table presents the Company's interest expense related to the Convertible Notes for the three and nine months ended June 30, 2022 and 2021:</w:t>
      </w:r>
    </w:p>
    <w:tbl>
      <w:tblPr>
        <w:tblLayout w:type="fixed"/>
        <w:tblInd w:w="0" w:type="dxa"/>
        <w:tblCellMar>
          <w:top w:w="0" w:type="dxa"/>
          <w:left w:w="0" w:type="dxa"/>
          <w:bottom w:w="0" w:type="dxa"/>
          <w:right w:w="0" w:type="dxa"/>
        </w:tblCellMar>
      </w:tblPr>
      <w:tr>
        <w:trPr>
          <w:trHeight w:val="172"/>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ind w:left="360"/>
              <w:spacing w:after="0" w:line="171" w:lineRule="exact"/>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4"/>
          </w:tcPr>
          <w:p>
            <w:pPr>
              <w:jc w:val="right"/>
              <w:ind w:right="639"/>
              <w:spacing w:after="0" w:line="171" w:lineRule="exact"/>
              <w:rPr>
                <w:sz w:val="20"/>
                <w:szCs w:val="20"/>
                <w:color w:val="auto"/>
              </w:rPr>
            </w:pPr>
            <w:r>
              <w:rPr>
                <w:rFonts w:ascii="Arial" w:cs="Arial" w:eastAsia="Arial" w:hAnsi="Arial"/>
                <w:sz w:val="16"/>
                <w:szCs w:val="16"/>
                <w:b w:val="1"/>
                <w:bCs w:val="1"/>
                <w:color w:val="auto"/>
              </w:rPr>
              <w:t>Nine Months Ended</w:t>
            </w: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35"/>
        </w:trPr>
        <w:tc>
          <w:tcPr>
            <w:tcW w:w="5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Contractual interest expense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1,033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1,033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3,099</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3,100</w:t>
            </w: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13"/>
        </w:trPr>
        <w:tc>
          <w:tcPr>
            <w:tcW w:w="52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Amortization of debt discount</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4,381</w:t>
            </w:r>
          </w:p>
        </w:tc>
      </w:tr>
      <w:tr>
        <w:trPr>
          <w:trHeight w:val="219"/>
        </w:trPr>
        <w:tc>
          <w:tcPr>
            <w:tcW w:w="52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2,635</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3,564</w:t>
            </w: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7,816</w:t>
            </w:r>
          </w:p>
        </w:tc>
      </w:tr>
      <w:tr>
        <w:trPr>
          <w:trHeight w:val="203"/>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 Convertible Notes: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Contractual interest expense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3,073</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3,073</w:t>
            </w: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r>
      <w:tr>
        <w:trPr>
          <w:trHeight w:val="213"/>
        </w:trPr>
        <w:tc>
          <w:tcPr>
            <w:tcW w:w="52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Amortization of debt discount</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1,747</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5,138</w:t>
            </w:r>
          </w:p>
        </w:tc>
      </w:tr>
      <w:tr>
        <w:trPr>
          <w:trHeight w:val="219"/>
        </w:trPr>
        <w:tc>
          <w:tcPr>
            <w:tcW w:w="52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w:t>
            </w: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3,659</w:t>
            </w: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8,631</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2.875% Convertible Senior Notes Due 2024</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July 2017, we issued $143.75 million aggregate principal amount of 2.875% Convertible Senior Notes Due 2024 (the “2024 Convertible Notes”). The 2024 Convertible Notes were issued pursuant to an indenture dated July 5, 2017 (the "2017 Indenture") by and between the Company and Wells Fargo Bank, National Association, as the original trustee. Effective October 1, 2019, Truist (formerly BB&amp;T) assumed the duties and responsibilities as trustee under the 2017 Indenture. The 2024 Convertible Notes were issued in a private offering under Rule 144A under the Securities Act of 1933. The 2024 Convertible Notes pay interest semi-annually in arrears at a rate of 2.875% per annum on January 1 and July 1 of each year, commencing January 1, 2018, and mature on July 1, 2024 (the "2024 Maturity Date"), unless converted, redeemed or repurchased in accordance with the terms prior to such date. At maturity, the holders of the 2024 Convertible Notes will be entitled to receive cash equal to the principal of the 2024 Convertible Notes plus accrued interest.</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effective interest rate for the three and nine months ended June 30, 2022 was approximately 3.35%. As of June 30, 2022, the remaining unamortized debt issuance costs will be amortized using the effective interest method through the 2024 Maturity Date assuming no early conversion.</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2024 Convertible Notes are convertible based on an initial conversion rate of 100 shares of Class A Common Stock per $1,000 principal amount (equivalent to an initial conversion price of $ 10.00 per share). The conversion rate will not be adjusted for any accrued and unpaid interest. The 2024 Convertible Notes contain certain make-whole fundamental change premiums and customary anti-dilution adjustments. Upon conversion, we may settle in cash, shares of Class A Common Stock or any combination thereof, at our election.</w:t>
      </w:r>
    </w:p>
    <w:p>
      <w:pPr>
        <w:spacing w:after="0" w:line="15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Prior to January 1, 2024, the 2024 Convertible Notes will be convertible only under the following circumstances: (1) during any fiscal quarter commencing after the fiscal quarter ending on September 30, 2017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2017 Indenture, per $1,000 principal amount of notes for each trading day of the measurement period was less than 98% of the product of the last reported sale price of our Class A Common Stock and the conversion rate on such trading day; (3) if we call any or all of the 2024 Convertible Notes for redemption, at any time prior to the close of business on the business day immediately preceding the redemption date; or (4) upon the occurrence of specified corporate events, as defined in the 2017 Indenture. On or after January 1, 2024 until the close of business on the business day immediately preceding the 2024 Maturity Date, holders of 2024 Convertible Notes may, at their option, convert their 2024 Convertible Notes at any time, regardless of the foregoing circumstances.</w:t>
      </w:r>
    </w:p>
    <w:p>
      <w:pPr>
        <w:spacing w:after="0" w:line="15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At our option, we may redeem for cash all or any portion of the 2024 Convertible Notes on or after July 6, 2021,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2024 Convertible Notes to be redeemed, plus accrued and unpaid interest to, but excluding, the redemption date.</w:t>
      </w:r>
    </w:p>
    <w:p>
      <w:pPr>
        <w:spacing w:after="0" w:line="15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stock trading price condition and other triggers are measured on a quarter-by-quarter basis and were not met as of June 30, 2022. As of June 30, 2022, the if-converted value of the 2024 Convertible Notes did not exceed the principal amount.</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2.375% 2025 Convertible Senior Notes Due 2025</w:t>
      </w:r>
    </w:p>
    <w:p>
      <w:pPr>
        <w:spacing w:after="0" w:line="3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May 2018, we issued $172.5 million aggregate principal amount of 2.375% Convertible Senior Notes Due 2025 (the “2025 Convertible Notes”). The 2025 Convertible Notes were issued pursuant to an indenture dated May 14, 2018 (the "2018 Indenture") by and between the Company and Wells Fargo Bank, National Association, as the original trustee. Effective October 1, 2019, Truist (formerly BB&amp;T) assumed the duties and responsibilities as trustee under the 2018 Indenture. The 2025 Convertible Notes were issued in a private offering under Rule 144A under the Securities Act of 1933. The 2025 Convertible Notes pay interest semi-annually in arrears at a rate of 2.375% per annum on May 1 and November 1 of each year, commencing November 1, 2018, and mature on May 1, 2025 (the "2025 Maturity Date"), unless converted, redeemed or repurchased in accordance with the terms prior to such date.</w:t>
      </w:r>
    </w:p>
    <w:p>
      <w:pPr>
        <w:spacing w:after="0" w:line="23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effective interest rate for the three and nine months ended June 30, 2022 was approximately 2.88% for the 2025 Convertible Notes. As of June 30, 2022, the remaining unamortized debt issuance costs will be amortized using the effective interest method through the 2025 Maturity Date assuming no early conversion.</w:t>
      </w:r>
    </w:p>
    <w:p>
      <w:pPr>
        <w:spacing w:after="0" w:line="23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2025 Convertible Notes are convertible based on an initial conversion rate of 62.8931 shares of Class A Common Stock per $1,000 principal amount (equivalent to an initial conversion price of $15.90 per share). The conversion rate will not be adjusted for any accrued and unpaid interest. The 2025 Convertible Notes contain certain make-whole fundamental change premiums and customary anti-dilution adjustments. Upon conversion, we may settle in cash, shares of Class A Common Stock or any combination thereof, at our election.</w:t>
      </w:r>
    </w:p>
    <w:p>
      <w:pPr>
        <w:spacing w:after="0" w:line="23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Prior to November 1, 2024, the 2025 Convertible Notes are convertible only under the following circumstances: (1) during any fiscal quarter commencing after the fiscal quarter ended on June 30, 2018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2018 Indenture, per $1,000 principal amount of notes for each trading day of the measurement period was less than 98% of the product of the last reported sale price of our Class A Common Stock and the conversion rate on such trading day; (3) if we call any or all of the 2025 Convertible Notes for redemption, at any time prior to the close of business on the business day immediately preceding the redemption date; or (4) upon the occurrence of specified corporate events, as defined in the 2018 Indenture. On or after November 1, 2024 until the close of business on the business day immediately preceding the 2025 Maturity Date, holders of 2025 Convertible Notes may, at their option, convert their 2025 Convertible Notes at any time, regardless of the foregoing circumstances.</w:t>
      </w:r>
    </w:p>
    <w:p>
      <w:pPr>
        <w:spacing w:after="0" w:line="232"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We may not redeem the 2025 Convertible Notes prior to May 1, 2022. At our option, we may redeem for cash all or any portion of the 2025 Convertible Notes on or after May 1, 2022,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2025 Convertible Notes to be redeemed, plus accrued and unpaid interest to, but excluding, the redemption date.</w:t>
      </w:r>
    </w:p>
    <w:p>
      <w:pPr>
        <w:spacing w:after="0" w:line="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stock trading price condition and other triggers are measured on a quarter-by-quarter basis and were not met as of June 30, 2022. As of June 30, 2022, the if-converted value of the 2025 Convertible Notes did not exceed the principal amount.</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9: COMMON STOCK AND STOCK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9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On May 3, 2022, the Company's Board of Directors (the "Board") authorized the repurchase of up to $50 million of our Class A Common Stock over three years. Execution of the program will be responsive to fluctuating market conditions and valuations, liquidity needs and the expected return on investment compared to other opportunities.</w:t>
      </w:r>
    </w:p>
    <w:p>
      <w:pPr>
        <w:spacing w:after="0" w:line="14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 To date, the Company has not repurchased any Class A Common Stock under the May 3, 2022 authorized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maintain a Board-approved incentive plan to retain the services of our valued officers, directors and employees and to incentivize such persons to make contributions to our company and motivate excellent performance (the "Incentive Plan"). Under the Incentive Plan, we grant awards of restricted stock or restricted stock units to employees and non-employee directors. Awards granted to employees are typically subject to performance and service conditions. Awards granted to non-employee directors are time-based awards subject only to service conditions. Awards granted under the Incentive Plan are measured at the grant date fair value with compensation costs associated with the awards recognized over the requisite service period, usually the vesting period, on a straight-line basis.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80" w:type="dxa"/>
            <w:vAlign w:val="bottom"/>
          </w:tcPr>
          <w:p>
            <w:pPr>
              <w:spacing w:after="0"/>
              <w:rPr>
                <w:sz w:val="20"/>
                <w:szCs w:val="20"/>
                <w:color w:val="auto"/>
              </w:rPr>
            </w:pPr>
            <w:r>
              <w:rPr>
                <w:rFonts w:ascii="Arial" w:cs="Arial" w:eastAsia="Arial" w:hAnsi="Arial"/>
                <w:sz w:val="18"/>
                <w:szCs w:val="18"/>
                <w:color w:val="auto"/>
              </w:rPr>
              <w:t>The following table presents a summary of stock compensation activity:</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75"/>
        </w:trPr>
        <w:tc>
          <w:tcPr>
            <w:tcW w:w="8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176"/>
        </w:trPr>
        <w:tc>
          <w:tcPr>
            <w:tcW w:w="8480" w:type="dxa"/>
            <w:vAlign w:val="bottom"/>
          </w:tcPr>
          <w:p>
            <w:pPr>
              <w:spacing w:after="0"/>
              <w:rPr>
                <w:sz w:val="15"/>
                <w:szCs w:val="15"/>
                <w:color w:val="auto"/>
              </w:rPr>
            </w:pPr>
          </w:p>
        </w:tc>
        <w:tc>
          <w:tcPr>
            <w:tcW w:w="142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15"/>
                <w:szCs w:val="15"/>
                <w:color w:val="auto"/>
              </w:rPr>
            </w:pPr>
          </w:p>
        </w:tc>
        <w:tc>
          <w:tcPr>
            <w:tcW w:w="11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229"/>
        </w:trPr>
        <w:tc>
          <w:tcPr>
            <w:tcW w:w="848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34"/>
        </w:trPr>
        <w:tc>
          <w:tcPr>
            <w:tcW w:w="848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2,218,777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1,365,878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Released </w:t>
            </w:r>
            <w:r>
              <w:rPr>
                <w:rFonts w:ascii="Arial" w:cs="Arial" w:eastAsia="Arial" w:hAnsi="Arial"/>
                <w:sz w:val="23"/>
                <w:szCs w:val="23"/>
                <w:color w:val="auto"/>
                <w:vertAlign w:val="superscript"/>
              </w:rPr>
              <w:t>(a)</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Cancelled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(743,299)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June 30,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2,354,729</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 101,103 shares were withheld to satisfy related income tax withholding.</w:t>
      </w:r>
    </w:p>
    <w:p>
      <w:pPr>
        <w:spacing w:after="0" w:line="128"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10: CONTINGENCIES</w:t>
      </w:r>
    </w:p>
    <w:p>
      <w:pPr>
        <w:spacing w:after="0" w:line="20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Currently, and from time to time, we are involved in various claims, disputes, lawsuits, investigations, and legal and regulatory proceedings, including the matter described below. We accrue for contingencies if it is probable that a liability has been incurred and the amount of the loss can be reasonably estimated. Because these matters are inherently unpredictable and unfavorable developments or resolutions can occur, assessing contingencies requires judgments and is highly subjective about future events, and the amount of resulting loss may differ from these estimates. Except as noted below, we do not believe the resolution of any particular matter will have a material adverse effect on our financial condition, results of operations or liquidity.</w:t>
      </w:r>
    </w:p>
    <w:p>
      <w:pPr>
        <w:spacing w:after="0" w:line="15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On October 14, 2021, Andrew Kowlessar filed an action in the Circuit Court of the 17th Judicial Circuit in and for Broward County, Florida styled </w:t>
      </w:r>
      <w:r>
        <w:rPr>
          <w:rFonts w:ascii="Arial" w:cs="Arial" w:eastAsia="Arial" w:hAnsi="Arial"/>
          <w:sz w:val="18"/>
          <w:szCs w:val="18"/>
          <w:i w:val="1"/>
          <w:iCs w:val="1"/>
          <w:color w:val="auto"/>
        </w:rPr>
        <w:t>Andrew Kowlessar, individually and on behalf of all others similarly situated vs. EZCORP, Inc. d/b/a Value Pawn &amp; Jewelry</w:t>
      </w:r>
      <w:r>
        <w:rPr>
          <w:rFonts w:ascii="Arial" w:cs="Arial" w:eastAsia="Arial" w:hAnsi="Arial"/>
          <w:sz w:val="18"/>
          <w:szCs w:val="18"/>
          <w:color w:val="auto"/>
        </w:rPr>
        <w:t xml:space="preserve"> (Case No. CACE-21-018864). The matter subsequently was amended and removed to the United States District Court of the Southern District of Florida as </w:t>
      </w:r>
      <w:r>
        <w:rPr>
          <w:rFonts w:ascii="Arial" w:cs="Arial" w:eastAsia="Arial" w:hAnsi="Arial"/>
          <w:sz w:val="18"/>
          <w:szCs w:val="18"/>
          <w:i w:val="1"/>
          <w:iCs w:val="1"/>
          <w:color w:val="auto"/>
        </w:rPr>
        <w:t>Andrew Kowlessar, individually and on behalf of all others similarly situated vs. EZPAWN Florida, Inc. d/b/a Value Pawn &amp; Jewelry</w:t>
      </w:r>
      <w:r>
        <w:rPr>
          <w:rFonts w:ascii="Arial" w:cs="Arial" w:eastAsia="Arial" w:hAnsi="Arial"/>
          <w:sz w:val="18"/>
          <w:szCs w:val="18"/>
          <w:color w:val="auto"/>
        </w:rPr>
        <w:t xml:space="preserve"> (Case No. 0:21-cv-62362-RKA). In May 2022, the federal court action was dismissed and the case was refiled in the Circuit Court of the Eleventh Judicial Circuit in and for Miami-Dade County, Florida (Case No. 2022-008506-CA-01). The complaint was brought under Section 501.059, Florida Statutes, the Florida Telephone Solicitation Act (“Act”), and alleges certain text messages were sent in violation of the Act. The matter involves claims by a single individual, but alleges a class of persons who may have similar claims of violations of the Act and seeks class certification. On June 16, 2022, following discovery and pre-trial mediation, the parties agreed to a settlement of all asserted claims and entered into a Settlement Agreement and Release. The agreed settlement requires the Company to make available up to $5 million to be used to pay verified claims (not to exceed $70 per verified claimant), as well as attorneys’ fees and costs. The agreed settlement, which was preliminarily approved by the court on July 22, 2022, remains subject to the court's final approval. The Company recorded a charge during the quarter ended June 30, 2022 representing the estimated liability for the settlement of this matter.</w:t>
      </w:r>
    </w:p>
    <w:p>
      <w:pPr>
        <w:spacing w:after="0" w:line="126"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11: SEGMENT INFORMATION</w:t>
      </w:r>
    </w:p>
    <w:p>
      <w:pPr>
        <w:spacing w:after="0" w:line="20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operations are primarily managed on a geographical basis and are comprised of three reportable segments. The factors for determining our reportable segments include the manner in which our chief operating decision maker ("CODM") evaluates performance for purposes of allocating resources and assessing performance.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Pawn —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Latin America Pawn — all pawn activities in Mexico and other parts of Latin America; and</w:t>
      </w:r>
    </w:p>
    <w:p>
      <w:pPr>
        <w:spacing w:after="0" w:line="171" w:lineRule="exact"/>
        <w:rPr>
          <w:rFonts w:ascii="Arial" w:cs="Arial" w:eastAsia="Arial" w:hAnsi="Arial"/>
          <w:sz w:val="18"/>
          <w:szCs w:val="18"/>
          <w:color w:val="auto"/>
        </w:rPr>
      </w:pPr>
    </w:p>
    <w:p>
      <w:pPr>
        <w:ind w:left="660" w:right="620" w:hanging="328"/>
        <w:spacing w:after="0" w:line="261"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Investments — primarily our equity interest in the net results of Cash Converters and RDC along with our investment in Founders.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There are no inter-segment revenues presented below, and the amounts below were determined in accordance with the same accounting</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principles used in our condensed consolidated financial statements.</w:t>
      </w:r>
    </w:p>
    <w:p>
      <w:pPr>
        <w:spacing w:after="0" w:line="171"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following tables present revenue for each reportable segment, disaggregated revenue within our three reportable segments and Corporate, segment profits and segment contribution.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rPr>
              <w:t>Three Months Ended June 30, 2022</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rPr>
              <w:t>Latin America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5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94,005</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34,329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128,334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128,334</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7,168</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59,322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20,969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80,291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80,291</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158,752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57,069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215,842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215,842</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80,167</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4,506</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6,167</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6,167</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129,508</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89,430</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18,715</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7,746</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177"/>
        </w:trPr>
        <w:tc>
          <w:tcPr>
            <w:tcW w:w="3500" w:type="dxa"/>
            <w:vAlign w:val="bottom"/>
          </w:tcPr>
          <w:p>
            <w:pPr>
              <w:ind w:left="220"/>
              <w:spacing w:after="0" w:line="178"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(1,758)</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29,754</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6,097</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37,611</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37,611</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(24,529)</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rPr>
              <w:t>Three Months Ended June 30, 2021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rPr>
              <w:t>Latin America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5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84,465</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23,343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107,808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107,808</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5,673</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44,039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60,431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60,431</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130,444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174,033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174,033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60,539</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5,473</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108,021</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81,803</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14,589</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7,419</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Other Charges</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5,569</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18,149</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3,566</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22,429</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22,429</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(23,195)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Nine Months Ended June 30, 2022</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rPr>
              <w:t>Latin America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5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296,147</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103,463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399,610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399,610</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19,802</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174,651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58,348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232,999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232,999</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10"/>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484,729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167,996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652,818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652,818</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245,524</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11,279</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16,747</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16,747</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301,120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390,547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390,547</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261,944</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46,487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46,487</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22,770</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Gain on sale or disposal of assets and other</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7,651</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expense (income)</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98,037</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17,342</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1,535</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116,914</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116,914</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(62,362)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Nine Months Ended June 30, 2021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rPr>
              <w:t>Latin America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5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260,545</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70,271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330,816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330,816</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18,507</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143,836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43,520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187,356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187,356</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10"/>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413,957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122,812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537,107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537,107</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190,872</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16,076</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16,076</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260,905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330,159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330,159</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242,261</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40,870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40,870</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23,080</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Charges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16,542</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c>
          <w:tcPr>
            <w:tcW w:w="0" w:type="dxa"/>
            <w:vAlign w:val="bottom"/>
          </w:tcPr>
          <w:p>
            <w:pPr>
              <w:spacing w:after="0"/>
              <w:rPr>
                <w:sz w:val="1"/>
                <w:szCs w:val="1"/>
                <w:color w:val="auto"/>
              </w:rPr>
            </w:pPr>
          </w:p>
        </w:tc>
      </w:tr>
      <w:tr>
        <w:trPr>
          <w:trHeight w:val="177"/>
        </w:trPr>
        <w:tc>
          <w:tcPr>
            <w:tcW w:w="3500" w:type="dxa"/>
            <w:vAlign w:val="bottom"/>
          </w:tcPr>
          <w:p>
            <w:pPr>
              <w:ind w:left="220"/>
              <w:spacing w:after="0" w:line="178"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(2,409)</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64,650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11,149</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78,729</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78,729</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(67,194)</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separately identified net earning assets by segment: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3"/>
          </w:tcPr>
          <w:p>
            <w:pPr>
              <w:spacing w:after="0"/>
              <w:rPr>
                <w:sz w:val="20"/>
                <w:szCs w:val="20"/>
                <w:color w:val="auto"/>
              </w:rPr>
            </w:pPr>
            <w:r>
              <w:rPr>
                <w:rFonts w:ascii="Arial" w:cs="Arial" w:eastAsia="Arial" w:hAnsi="Arial"/>
                <w:sz w:val="16"/>
                <w:szCs w:val="16"/>
                <w:b w:val="1"/>
                <w:bCs w:val="1"/>
                <w:color w:val="auto"/>
              </w:rPr>
              <w:t>Latin America</w:t>
            </w:r>
          </w:p>
        </w:tc>
        <w:tc>
          <w:tcPr>
            <w:tcW w:w="160" w:type="dxa"/>
            <w:vAlign w:val="bottom"/>
          </w:tcPr>
          <w:p>
            <w:pPr>
              <w:spacing w:after="0"/>
              <w:rPr>
                <w:sz w:val="16"/>
                <w:szCs w:val="16"/>
                <w:color w:val="auto"/>
              </w:rPr>
            </w:pPr>
          </w:p>
        </w:tc>
        <w:tc>
          <w:tcPr>
            <w:tcW w:w="1300" w:type="dxa"/>
            <w:vAlign w:val="bottom"/>
            <w:gridSpan w:val="2"/>
          </w:tcPr>
          <w:p>
            <w:pPr>
              <w:ind w:left="30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6"/>
                <w:szCs w:val="16"/>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Pawn</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Investments</w:t>
            </w:r>
          </w:p>
        </w:tc>
        <w:tc>
          <w:tcPr>
            <w:tcW w:w="14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Arial" w:cs="Arial" w:eastAsia="Arial" w:hAnsi="Arial"/>
                <w:sz w:val="16"/>
                <w:szCs w:val="16"/>
                <w:b w:val="1"/>
                <w:bCs w:val="1"/>
                <w:color w:val="auto"/>
              </w:rPr>
              <w:t>Items</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50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June 30, 2022</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20"/>
              <w:spacing w:after="0"/>
              <w:rPr>
                <w:sz w:val="20"/>
                <w:szCs w:val="20"/>
                <w:color w:val="auto"/>
              </w:rPr>
            </w:pPr>
            <w:r>
              <w:rPr>
                <w:rFonts w:ascii="Arial" w:cs="Arial" w:eastAsia="Arial" w:hAnsi="Arial"/>
                <w:sz w:val="16"/>
                <w:szCs w:val="16"/>
                <w:color w:val="auto"/>
              </w:rPr>
              <w:t>Pawn loans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159,680</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44,475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204,155</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132,713</w:t>
            </w:r>
          </w:p>
        </w:tc>
        <w:tc>
          <w:tcPr>
            <w:tcW w:w="0" w:type="dxa"/>
            <w:vAlign w:val="bottom"/>
          </w:tcPr>
          <w:p>
            <w:pPr>
              <w:spacing w:after="0"/>
              <w:rPr>
                <w:sz w:val="1"/>
                <w:szCs w:val="1"/>
                <w:color w:val="auto"/>
              </w:rPr>
            </w:pPr>
          </w:p>
        </w:tc>
      </w:tr>
      <w:tr>
        <w:trPr>
          <w:trHeight w:val="108"/>
        </w:trPr>
        <w:tc>
          <w:tcPr>
            <w:tcW w:w="5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June 30, 2021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20"/>
              <w:spacing w:after="0"/>
              <w:rPr>
                <w:sz w:val="20"/>
                <w:szCs w:val="20"/>
                <w:color w:val="auto"/>
              </w:rPr>
            </w:pPr>
            <w:r>
              <w:rPr>
                <w:rFonts w:ascii="Arial" w:cs="Arial" w:eastAsia="Arial" w:hAnsi="Arial"/>
                <w:sz w:val="16"/>
                <w:szCs w:val="16"/>
                <w:color w:val="auto"/>
              </w:rPr>
              <w:t>Pawn loans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117,186</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39,969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157,155</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92,242</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12: SUPPLEMENTAL CONSOLIDATED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information on net amounts included in our condensed consolidated balance sheets: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30, 2022</w:t>
            </w:r>
          </w:p>
        </w:tc>
        <w:tc>
          <w:tcPr>
            <w:tcW w:w="160" w:type="dxa"/>
            <w:vAlign w:val="bottom"/>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30, 2021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5"/>
        </w:trPr>
        <w:tc>
          <w:tcPr>
            <w:tcW w:w="67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pawn service charges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37,360</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uncollectible pawn service charges receivable</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(10,277)</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(8,023)</w:t>
            </w:r>
          </w:p>
        </w:tc>
        <w:tc>
          <w:tcPr>
            <w:tcW w:w="0" w:type="dxa"/>
            <w:vAlign w:val="bottom"/>
          </w:tcPr>
          <w:p>
            <w:pPr>
              <w:spacing w:after="0"/>
              <w:rPr>
                <w:sz w:val="1"/>
                <w:szCs w:val="1"/>
                <w:color w:val="auto"/>
              </w:rPr>
            </w:pPr>
          </w:p>
        </w:tc>
      </w:tr>
      <w:tr>
        <w:trPr>
          <w:trHeight w:val="219"/>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32,000</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24,965</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29,337</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inventory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115,300</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Inventory reserves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(4,311)</w:t>
            </w:r>
          </w:p>
        </w:tc>
        <w:tc>
          <w:tcPr>
            <w:tcW w:w="0" w:type="dxa"/>
            <w:vAlign w:val="bottom"/>
          </w:tcPr>
          <w:p>
            <w:pPr>
              <w:spacing w:after="0"/>
              <w:rPr>
                <w:sz w:val="1"/>
                <w:szCs w:val="1"/>
                <w:color w:val="auto"/>
              </w:rPr>
            </w:pPr>
          </w:p>
        </w:tc>
      </w:tr>
      <w:tr>
        <w:trPr>
          <w:trHeight w:val="219"/>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132,713</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92,242</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110,989</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5,386</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Accounts receivable and other</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7,465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9,322</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taxes receivable</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7,697</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13,954</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16,302</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29,822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28,343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31,010</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Property and equipment, gross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298,502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283,304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284,867</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(246,997)</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(227,674)</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(231,056)</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Property and equipment,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51,505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55,630</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53,811</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19,480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19,325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22,462</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payroll</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9,093</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Incentive accrual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14,128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10,458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16,868</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payroll related expenses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10,695</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Accrued sales and VAT taxes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13,894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10,936</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income taxes payable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16,388</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Accounts payable, accrued expenses and other current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76,566</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84,966</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80"/>
        <w:spacing w:after="0" w:line="288" w:lineRule="auto"/>
        <w:rPr>
          <w:sz w:val="20"/>
          <w:szCs w:val="20"/>
          <w:color w:val="auto"/>
        </w:rPr>
      </w:pPr>
      <w:r>
        <w:rPr>
          <w:rFonts w:ascii="Arial" w:cs="Arial" w:eastAsia="Arial" w:hAnsi="Arial"/>
          <w:sz w:val="25"/>
          <w:szCs w:val="25"/>
          <w:b w:val="1"/>
          <w:bCs w:val="1"/>
          <w:color w:val="00497F"/>
        </w:rPr>
        <w:t>ITEM 2. MANAGEMENT'S DISCUSSION AND ANALYSIS OF FINANCIAL CONDITION AND RESULTS OF OPERATIONS</w:t>
      </w:r>
    </w:p>
    <w:p>
      <w:pPr>
        <w:spacing w:after="0" w:line="96" w:lineRule="exact"/>
        <w:rPr>
          <w:sz w:val="20"/>
          <w:szCs w:val="20"/>
          <w:color w:val="auto"/>
        </w:rPr>
      </w:pPr>
    </w:p>
    <w:p>
      <w:pPr>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Financial Condition and Results of Operations is intended to inform the reader about matters affecting the financial condition and results of operations of EZCORP, Inc. and its subsidiaries (collectively, “we,” “us”, “our”, "EZCORP" or the “Company”). The following discussion should be read together with our condensed consolidated financial statements and related notes included elsewhere within this report. This discussion contains forward-looking statements. Our actual results could differ materially from </w:t>
      </w:r>
      <w:hyperlink r:id="rId21">
        <w:r>
          <w:rPr>
            <w:rFonts w:ascii="Arial" w:cs="Arial" w:eastAsia="Arial" w:hAnsi="Arial"/>
            <w:sz w:val="18"/>
            <w:szCs w:val="18"/>
            <w:color w:val="auto"/>
          </w:rPr>
          <w:t>those anticipated in these forward-looking statements. See "Part I, Item 1A — Risk Factors" of our Annual Report on Form 10-K for the year</w:t>
        </w:r>
      </w:hyperlink>
      <w:r>
        <w:rPr>
          <w:rFonts w:ascii="Arial" w:cs="Arial" w:eastAsia="Arial" w:hAnsi="Arial"/>
          <w:sz w:val="18"/>
          <w:szCs w:val="18"/>
          <w:color w:val="auto"/>
        </w:rPr>
        <w:t xml:space="preserve"> </w:t>
      </w:r>
      <w:hyperlink r:id="rId21">
        <w:r>
          <w:rPr>
            <w:rFonts w:ascii="Arial" w:cs="Arial" w:eastAsia="Arial" w:hAnsi="Arial"/>
            <w:sz w:val="18"/>
            <w:szCs w:val="18"/>
            <w:color w:val="auto"/>
          </w:rPr>
          <w:t>ended September 30, 2021, as supplemented by the information set forth in “Part I, Item 3 — Quantitative and Qualitative Disclosures about</w:t>
        </w:r>
      </w:hyperlink>
      <w:r>
        <w:rPr>
          <w:rFonts w:ascii="Arial" w:cs="Arial" w:eastAsia="Arial" w:hAnsi="Arial"/>
          <w:sz w:val="18"/>
          <w:szCs w:val="18"/>
          <w:color w:val="auto"/>
        </w:rPr>
        <w:t xml:space="preserve"> Market Risk” and "Part II, Item 1A — Risk Factors" of this Report, for a discussion of certain risks, uncertainties and assumptions associated with these statements.</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Business Overview</w:t>
      </w:r>
    </w:p>
    <w:p>
      <w:pPr>
        <w:spacing w:after="0" w:line="20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EZCORP is a Delaware corporation headquartered in Austin, Texas. We are a leading provider of pawn services in the United States and Latin America. Pawn loans are nonrecourse loans collateralized by personal property. We also sell merchandise, primarily collateral forfeited from unpaid loans or goods purchased directly from customers.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exist to serve our customers’ short-term cash needs, helping them to live and enjoy their lives. We are focused on three strategic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194945</wp:posOffset>
            </wp:positionV>
            <wp:extent cx="4732020" cy="1139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4732020" cy="1139825"/>
                    </a:xfrm>
                    <a:prstGeom prst="rect">
                      <a:avLst/>
                    </a:prstGeom>
                    <a:noFill/>
                  </pic:spPr>
                </pic:pic>
              </a:graphicData>
            </a:graphic>
          </wp:anchor>
        </w:drawing>
      </w:r>
    </w:p>
    <w:p>
      <w:pPr>
        <w:spacing w:after="0" w:line="287" w:lineRule="exact"/>
        <w:rPr>
          <w:sz w:val="20"/>
          <w:szCs w:val="20"/>
          <w:color w:val="auto"/>
        </w:rPr>
      </w:pPr>
    </w:p>
    <w:tbl>
      <w:tblPr>
        <w:tblLayout w:type="fixed"/>
        <w:tblInd w:w="1920" w:type="dxa"/>
        <w:tblCellMar>
          <w:top w:w="0" w:type="dxa"/>
          <w:left w:w="0" w:type="dxa"/>
          <w:bottom w:w="0" w:type="dxa"/>
          <w:right w:w="0" w:type="dxa"/>
        </w:tblCellMar>
      </w:tblPr>
      <w:tr>
        <w:trPr>
          <w:trHeight w:val="270"/>
        </w:trPr>
        <w:tc>
          <w:tcPr>
            <w:tcW w:w="2080" w:type="dxa"/>
            <w:vAlign w:val="bottom"/>
            <w:vMerge w:val="restart"/>
            <w:shd w:val="clear" w:color="auto" w:fill="026DCE"/>
          </w:tcPr>
          <w:p>
            <w:pPr>
              <w:ind w:left="20"/>
              <w:spacing w:after="0"/>
              <w:rPr>
                <w:sz w:val="20"/>
                <w:szCs w:val="20"/>
                <w:color w:val="auto"/>
              </w:rPr>
            </w:pPr>
            <w:r>
              <w:rPr>
                <w:rFonts w:ascii="Arial" w:cs="Arial" w:eastAsia="Arial" w:hAnsi="Arial"/>
                <w:sz w:val="18"/>
                <w:szCs w:val="18"/>
                <w:b w:val="1"/>
                <w:bCs w:val="1"/>
                <w:color w:val="FFFFFF"/>
              </w:rPr>
              <w:t>Strengthen the Core</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Relentless focus on superior execution and operational</w:t>
            </w:r>
          </w:p>
        </w:tc>
        <w:tc>
          <w:tcPr>
            <w:tcW w:w="0" w:type="dxa"/>
            <w:vAlign w:val="bottom"/>
          </w:tcPr>
          <w:p>
            <w:pPr>
              <w:spacing w:after="0"/>
              <w:rPr>
                <w:sz w:val="1"/>
                <w:szCs w:val="1"/>
                <w:color w:val="auto"/>
              </w:rPr>
            </w:pPr>
          </w:p>
        </w:tc>
      </w:tr>
      <w:tr>
        <w:trPr>
          <w:trHeight w:val="148"/>
        </w:trPr>
        <w:tc>
          <w:tcPr>
            <w:tcW w:w="2080" w:type="dxa"/>
            <w:vAlign w:val="bottom"/>
            <w:vMerge w:val="continue"/>
            <w:shd w:val="clear" w:color="auto" w:fill="026DCE"/>
          </w:tcPr>
          <w:p>
            <w:pPr>
              <w:spacing w:after="0"/>
              <w:rPr>
                <w:sz w:val="12"/>
                <w:szCs w:val="12"/>
                <w:color w:val="auto"/>
              </w:rPr>
            </w:pPr>
          </w:p>
        </w:tc>
        <w:tc>
          <w:tcPr>
            <w:tcW w:w="5340" w:type="dxa"/>
            <w:vAlign w:val="bottom"/>
            <w:vMerge w:val="restart"/>
            <w:shd w:val="clear" w:color="auto" w:fill="80C9FF"/>
          </w:tcPr>
          <w:p>
            <w:pPr>
              <w:ind w:left="20"/>
              <w:spacing w:after="0"/>
              <w:rPr>
                <w:sz w:val="20"/>
                <w:szCs w:val="20"/>
                <w:color w:val="auto"/>
              </w:rPr>
            </w:pPr>
            <w:r>
              <w:rPr>
                <w:rFonts w:ascii="Arial" w:cs="Arial" w:eastAsia="Arial" w:hAnsi="Arial"/>
                <w:sz w:val="18"/>
                <w:szCs w:val="18"/>
                <w:b w:val="1"/>
                <w:bCs w:val="1"/>
                <w:color w:val="FFFFFF"/>
              </w:rPr>
              <w:t>excellence in our core pawn business</w:t>
            </w:r>
          </w:p>
        </w:tc>
        <w:tc>
          <w:tcPr>
            <w:tcW w:w="0" w:type="dxa"/>
            <w:vAlign w:val="bottom"/>
          </w:tcPr>
          <w:p>
            <w:pPr>
              <w:spacing w:after="0"/>
              <w:rPr>
                <w:sz w:val="1"/>
                <w:szCs w:val="1"/>
                <w:color w:val="auto"/>
              </w:rPr>
            </w:pPr>
          </w:p>
        </w:tc>
      </w:tr>
      <w:tr>
        <w:trPr>
          <w:trHeight w:val="90"/>
        </w:trPr>
        <w:tc>
          <w:tcPr>
            <w:tcW w:w="2080" w:type="dxa"/>
            <w:vAlign w:val="bottom"/>
            <w:shd w:val="clear" w:color="auto" w:fill="026DCE"/>
          </w:tcPr>
          <w:p>
            <w:pPr>
              <w:spacing w:after="0"/>
              <w:rPr>
                <w:sz w:val="7"/>
                <w:szCs w:val="7"/>
                <w:color w:val="auto"/>
              </w:rPr>
            </w:pPr>
          </w:p>
        </w:tc>
        <w:tc>
          <w:tcPr>
            <w:tcW w:w="5340" w:type="dxa"/>
            <w:vAlign w:val="bottom"/>
            <w:vMerge w:val="continue"/>
            <w:shd w:val="clear" w:color="auto" w:fill="80C9FF"/>
          </w:tcPr>
          <w:p>
            <w:pPr>
              <w:spacing w:after="0"/>
              <w:rPr>
                <w:sz w:val="7"/>
                <w:szCs w:val="7"/>
                <w:color w:val="auto"/>
              </w:rPr>
            </w:pPr>
          </w:p>
        </w:tc>
        <w:tc>
          <w:tcPr>
            <w:tcW w:w="0" w:type="dxa"/>
            <w:vAlign w:val="bottom"/>
          </w:tcPr>
          <w:p>
            <w:pPr>
              <w:spacing w:after="0"/>
              <w:rPr>
                <w:sz w:val="1"/>
                <w:szCs w:val="1"/>
                <w:color w:val="auto"/>
              </w:rPr>
            </w:pPr>
          </w:p>
        </w:tc>
      </w:tr>
      <w:tr>
        <w:trPr>
          <w:trHeight w:val="355"/>
        </w:trPr>
        <w:tc>
          <w:tcPr>
            <w:tcW w:w="2080" w:type="dxa"/>
            <w:vAlign w:val="bottom"/>
            <w:shd w:val="clear" w:color="auto" w:fill="026DCE"/>
          </w:tcPr>
          <w:p>
            <w:pPr>
              <w:ind w:left="20"/>
              <w:spacing w:after="0"/>
              <w:rPr>
                <w:sz w:val="20"/>
                <w:szCs w:val="20"/>
                <w:color w:val="auto"/>
              </w:rPr>
            </w:pPr>
            <w:r>
              <w:rPr>
                <w:rFonts w:ascii="Arial" w:cs="Arial" w:eastAsia="Arial" w:hAnsi="Arial"/>
                <w:sz w:val="18"/>
                <w:szCs w:val="18"/>
                <w:b w:val="1"/>
                <w:bCs w:val="1"/>
                <w:color w:val="FFFFFF"/>
              </w:rPr>
              <w:t>Cost Efficiency and</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Shape a culture of cost efficiency through ongoing focus on</w:t>
            </w:r>
          </w:p>
        </w:tc>
        <w:tc>
          <w:tcPr>
            <w:tcW w:w="0" w:type="dxa"/>
            <w:vAlign w:val="bottom"/>
          </w:tcPr>
          <w:p>
            <w:pPr>
              <w:spacing w:after="0"/>
              <w:rPr>
                <w:sz w:val="1"/>
                <w:szCs w:val="1"/>
                <w:color w:val="auto"/>
              </w:rPr>
            </w:pPr>
          </w:p>
        </w:tc>
      </w:tr>
      <w:tr>
        <w:trPr>
          <w:trHeight w:val="239"/>
        </w:trPr>
        <w:tc>
          <w:tcPr>
            <w:tcW w:w="2080" w:type="dxa"/>
            <w:vAlign w:val="bottom"/>
            <w:shd w:val="clear" w:color="auto" w:fill="026DCE"/>
          </w:tcPr>
          <w:p>
            <w:pPr>
              <w:ind w:left="20"/>
              <w:spacing w:after="0"/>
              <w:rPr>
                <w:sz w:val="20"/>
                <w:szCs w:val="20"/>
                <w:color w:val="auto"/>
              </w:rPr>
            </w:pPr>
            <w:r>
              <w:rPr>
                <w:rFonts w:ascii="Arial" w:cs="Arial" w:eastAsia="Arial" w:hAnsi="Arial"/>
                <w:sz w:val="18"/>
                <w:szCs w:val="18"/>
                <w:b w:val="1"/>
                <w:bCs w:val="1"/>
                <w:color w:val="FFFFFF"/>
              </w:rPr>
              <w:t>Simplification</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simplification and optimization</w:t>
            </w:r>
          </w:p>
        </w:tc>
        <w:tc>
          <w:tcPr>
            <w:tcW w:w="0" w:type="dxa"/>
            <w:vAlign w:val="bottom"/>
          </w:tcPr>
          <w:p>
            <w:pPr>
              <w:spacing w:after="0"/>
              <w:rPr>
                <w:sz w:val="1"/>
                <w:szCs w:val="1"/>
                <w:color w:val="auto"/>
              </w:rPr>
            </w:pPr>
          </w:p>
        </w:tc>
      </w:tr>
      <w:tr>
        <w:trPr>
          <w:trHeight w:val="355"/>
        </w:trPr>
        <w:tc>
          <w:tcPr>
            <w:tcW w:w="2080" w:type="dxa"/>
            <w:vAlign w:val="bottom"/>
            <w:vMerge w:val="restart"/>
            <w:shd w:val="clear" w:color="auto" w:fill="026DCE"/>
          </w:tcPr>
          <w:p>
            <w:pPr>
              <w:ind w:left="20"/>
              <w:spacing w:after="0"/>
              <w:rPr>
                <w:sz w:val="20"/>
                <w:szCs w:val="20"/>
                <w:color w:val="auto"/>
              </w:rPr>
            </w:pPr>
            <w:r>
              <w:rPr>
                <w:rFonts w:ascii="Arial" w:cs="Arial" w:eastAsia="Arial" w:hAnsi="Arial"/>
                <w:sz w:val="18"/>
                <w:szCs w:val="18"/>
                <w:b w:val="1"/>
                <w:bCs w:val="1"/>
                <w:color w:val="FFFFFF"/>
              </w:rPr>
              <w:t>Innovate and Grow</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Broaden customer engagement to service more customers</w:t>
            </w:r>
          </w:p>
        </w:tc>
        <w:tc>
          <w:tcPr>
            <w:tcW w:w="0" w:type="dxa"/>
            <w:vAlign w:val="bottom"/>
          </w:tcPr>
          <w:p>
            <w:pPr>
              <w:spacing w:after="0"/>
              <w:rPr>
                <w:sz w:val="1"/>
                <w:szCs w:val="1"/>
                <w:color w:val="auto"/>
              </w:rPr>
            </w:pPr>
          </w:p>
        </w:tc>
      </w:tr>
      <w:tr>
        <w:trPr>
          <w:trHeight w:val="149"/>
        </w:trPr>
        <w:tc>
          <w:tcPr>
            <w:tcW w:w="2080" w:type="dxa"/>
            <w:vAlign w:val="bottom"/>
            <w:vMerge w:val="continue"/>
            <w:shd w:val="clear" w:color="auto" w:fill="026DCE"/>
          </w:tcPr>
          <w:p>
            <w:pPr>
              <w:spacing w:after="0"/>
              <w:rPr>
                <w:sz w:val="12"/>
                <w:szCs w:val="12"/>
                <w:color w:val="auto"/>
              </w:rPr>
            </w:pPr>
          </w:p>
        </w:tc>
        <w:tc>
          <w:tcPr>
            <w:tcW w:w="5340" w:type="dxa"/>
            <w:vAlign w:val="bottom"/>
            <w:vMerge w:val="restart"/>
            <w:shd w:val="clear" w:color="auto" w:fill="80C9FF"/>
          </w:tcPr>
          <w:p>
            <w:pPr>
              <w:ind w:left="20"/>
              <w:spacing w:after="0"/>
              <w:rPr>
                <w:sz w:val="20"/>
                <w:szCs w:val="20"/>
                <w:color w:val="auto"/>
              </w:rPr>
            </w:pPr>
            <w:r>
              <w:rPr>
                <w:rFonts w:ascii="Arial" w:cs="Arial" w:eastAsia="Arial" w:hAnsi="Arial"/>
                <w:sz w:val="18"/>
                <w:szCs w:val="18"/>
                <w:b w:val="1"/>
                <w:bCs w:val="1"/>
                <w:color w:val="FFFFFF"/>
              </w:rPr>
              <w:t>more frequently in more locations</w:t>
            </w:r>
          </w:p>
        </w:tc>
        <w:tc>
          <w:tcPr>
            <w:tcW w:w="0" w:type="dxa"/>
            <w:vAlign w:val="bottom"/>
          </w:tcPr>
          <w:p>
            <w:pPr>
              <w:spacing w:after="0"/>
              <w:rPr>
                <w:sz w:val="1"/>
                <w:szCs w:val="1"/>
                <w:color w:val="auto"/>
              </w:rPr>
            </w:pPr>
          </w:p>
        </w:tc>
      </w:tr>
      <w:tr>
        <w:trPr>
          <w:trHeight w:val="90"/>
        </w:trPr>
        <w:tc>
          <w:tcPr>
            <w:tcW w:w="2080" w:type="dxa"/>
            <w:vAlign w:val="bottom"/>
            <w:shd w:val="clear" w:color="auto" w:fill="026DCE"/>
          </w:tcPr>
          <w:p>
            <w:pPr>
              <w:spacing w:after="0"/>
              <w:rPr>
                <w:sz w:val="7"/>
                <w:szCs w:val="7"/>
                <w:color w:val="auto"/>
              </w:rPr>
            </w:pPr>
          </w:p>
        </w:tc>
        <w:tc>
          <w:tcPr>
            <w:tcW w:w="5340" w:type="dxa"/>
            <w:vAlign w:val="bottom"/>
            <w:vMerge w:val="continue"/>
            <w:shd w:val="clear" w:color="auto" w:fill="80C9FF"/>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80" w:type="dxa"/>
            <w:vAlign w:val="bottom"/>
            <w:shd w:val="clear" w:color="auto" w:fill="026DCE"/>
          </w:tcPr>
          <w:p>
            <w:pPr>
              <w:spacing w:after="0"/>
              <w:rPr>
                <w:sz w:val="7"/>
                <w:szCs w:val="7"/>
                <w:color w:val="auto"/>
              </w:rPr>
            </w:pPr>
          </w:p>
        </w:tc>
        <w:tc>
          <w:tcPr>
            <w:tcW w:w="5340" w:type="dxa"/>
            <w:vAlign w:val="bottom"/>
            <w:shd w:val="clear" w:color="auto" w:fill="80C9FF"/>
          </w:tcPr>
          <w:p>
            <w:pPr>
              <w:spacing w:after="0"/>
              <w:rPr>
                <w:sz w:val="7"/>
                <w:szCs w:val="7"/>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Pawn Activities</w:t>
      </w:r>
    </w:p>
    <w:p>
      <w:pPr>
        <w:spacing w:after="0" w:line="18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At our pawn stores, we advance cash against the value of collateralized tangible personal property. We earn pawn service charges (“PSC”) for those cash advances, and the PSC rate varies by state and transaction size. At the time of the transaction, we take possession of the pawned collateral, which consists of tangible personal property, generally jewelry, consumer electronics, tools, sporting goods and musical instruments. If the customer chooses to redeem their pawn, they will repay the amount advanced plus any accrued PSC. If the customer chooses not to redeem their pawn, the pawned collateral becomes our inventory, which we sell in our retail merchandise sales activities or, in some cases, scrap for its inherent gold or precious stone content. Consequently, the success of our pawn business is largely dependent on our ability to accurately assess the probability of pawn redemption and the estimated resale or scrap value of the collateralized personal property.</w:t>
      </w:r>
    </w:p>
    <w:p>
      <w:pPr>
        <w:spacing w:after="0" w:line="15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ability to offer quality second-hand goods at prices significantly lower than original retail prices attracts value-conscious customers. The gross profit on sales of inventory depends primarily on our assessment of the estimated resale or scrap value at the time the property is either accepted as pawn collateral or purchased and our ability to sell that merchandise in a timely manner. As a significant portion of our inventory and sales involve gold and jewelry, our results can be influenced by the market price of gold and diamonds.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Growth and Expansion</w:t>
      </w:r>
    </w:p>
    <w:p>
      <w:pPr>
        <w:spacing w:after="0" w:line="18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strategy is to expand the number of locations we operate through opening new (“de novo”) locations and through acquisitions and investments in both Latin America, the United States and potential new markets. Our ability to open de novo stores, acquire new stores and make other related investments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the availability of qualified personnel.</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 and Quarterly Results</w:t>
      </w:r>
    </w:p>
    <w:p>
      <w:pPr>
        <w:spacing w:after="0" w:line="184"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In the United States, PSC is historically highest in our fourth fiscal quarter (July through September) due to a higher average loan balance during the summer lending season. PSC is historically lowest in our third fiscal quarter (April through June) following the tax refund season and merchandise sales are highest in our first and second fiscal quarters (October through March) due to the holiday season, jewelry sales</w:t>
      </w:r>
    </w:p>
    <w:p>
      <w:pPr>
        <w:sectPr>
          <w:pgSz w:w="11900" w:h="16838" w:orient="portrait"/>
          <w:cols w:equalWidth="0" w:num="1">
            <w:col w:w="11220"/>
          </w:cols>
          <w:pgMar w:left="320" w:top="144" w:right="3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surrounding Valentine’s Day and the availability of tax refunds. In Latin America, most of our customers receive additional compensation from their employers in December, and many receive additional compensation in June or July, applying downward pressure on loan balances and fueling some merchandise sales in those periods. As a net effect of these and other factors and excluding discrete charges, our consolidated income/loss before tax is generally highest in our first fiscal quarter (October through December) and lowest in our third fiscal quarter (April through June). These historical trends have been impacted by COVID-19, but we expect these historical trends to return in the future.</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Financial Highlights</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remain focused on optimizing our balance of pawn loans outstanding (“PLO”) and the resulting higher PSC. The following chart presents sources of gross profit*, including PSC, merchandise sales gross profit ("Merchandise sales GP") and jewelry scrapping gross profit ("Jewelry Scrapping GP") for the three and nine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59690</wp:posOffset>
            </wp:positionV>
            <wp:extent cx="5743575" cy="27857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74357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chart presents sources of gross profit by geographic disbursement for the three and nine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57785</wp:posOffset>
            </wp:positionV>
            <wp:extent cx="5743575" cy="27857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74357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firstLine="8"/>
        <w:spacing w:after="0" w:line="258" w:lineRule="auto"/>
        <w:tabs>
          <w:tab w:leader="none" w:pos="96"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have relabeled "net revenues" to "gross profit" throughout our filings, which we believe will improve comparability across industries and companies. This change is effective for this and future filings.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Business Developments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COVID-19</w:t>
      </w:r>
    </w:p>
    <w:p>
      <w:pPr>
        <w:spacing w:after="0" w:line="18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COVID-19 pandemic adversely affected our gross profit and earnings during the latter half of fiscal 2020 and into fiscal 2021. During the latter part of fiscal 2021, we saw pawn transaction activity start to rebuild. That has continued to date, and our pawn loans outstanding ("PLO") balances now exceed pre-pandemic levels, which will drive accelerating pawn service charges ("PSC") revenue in the coming quarters given the natural lag between pawn originations and related fees. Despite the recovery in pawn transaction activity, the continuing pandemic, driven by the proliferation of various COVID-19 variants, continues to affect portions of our business, such as managing appropriate staffing at the store level. Our estimates, judgments and assumptions related to COVID-19 could vary over time, and there can be no assurance that the continuing pandemic will not have an adverse effect on our results of operations, financial position and cash flows in future periods.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Repurchase Program</w:t>
      </w:r>
    </w:p>
    <w:p>
      <w:pPr>
        <w:spacing w:after="0" w:line="184"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On May 3, 2022, the Company's Board of Directors approved a new share repurchase program, which will replace the previous program that was suspended in March 2020. Under the new program, the Company is authorized to repurchase up to $50 million of its outstanding Class A Non-Voting common share over the next three years. Refer to "Liquidity and Capital Resources — Sources and Uses of Cash" below.</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 Cash Converters International</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March 10, 2022, we purchased an additional 5.5 million shares of Cash Converters for $1.0 million. This purchase increased our total ownership in Cash Converters to 242,239,157 shares, representing a 38.60% ownership interest. On April 5, 2022, we acquired an additional 13 million shares for $2.5 million, bringing our total ownership to 255,239,157 shares, representing an ownership interest of 40.67%. Additionally, on April 14, 2022, we received a cash dividend of $1.8 million from Cash Converters.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Constant Currency and Same Store Financial Information</w:t>
      </w:r>
    </w:p>
    <w:p>
      <w:pPr>
        <w:spacing w:after="0" w:line="18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GAAP, we provide certain other non-GAAP financial information on a constant currency basis ("constant currency") and "same store" basis. We use constant currency results to evaluate our Latin America Pawn operations, which are denominated primarily in Mexican pesos, Guatemalan quetzales and other Latin American currencies. We analyze results on a same store basis (which is defined as stores open during the entirety of the comparable periods) to better understand existing store performance without the influence of increases or decreases resulting solely from changes in store count. We believe presentation of constant currency and same store results is meaningful and useful in understanding the activities and business metrics of our Latin America Pawn operations and reflect an additional way of viewing aspects of our business that, when viewed with GAAP results, provide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rates below. Constant currency results, where presented, also exclude the foreign currency gain or loss. The end-of-period and approximate average exchange rates for each applicable currency as compared to U.S. dollars as of and for the three and nine months ended June 30, 2022 and June 30, 2021 were as follows: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420" w:type="dxa"/>
            <w:vAlign w:val="bottom"/>
            <w:gridSpan w:val="3"/>
            <w:vMerge w:val="restart"/>
          </w:tcPr>
          <w:p>
            <w:pPr>
              <w:ind w:left="740"/>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3"/>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218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4540" w:type="dxa"/>
            <w:vAlign w:val="bottom"/>
          </w:tcPr>
          <w:p>
            <w:pPr>
              <w:spacing w:after="0"/>
              <w:rPr>
                <w:sz w:val="18"/>
                <w:szCs w:val="18"/>
                <w:color w:val="auto"/>
              </w:rPr>
            </w:pPr>
          </w:p>
        </w:tc>
        <w:tc>
          <w:tcPr>
            <w:tcW w:w="142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5"/>
        </w:trPr>
        <w:tc>
          <w:tcPr>
            <w:tcW w:w="4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Mexican peso</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20.0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Guatemalan quetzal</w:t>
            </w:r>
          </w:p>
        </w:tc>
        <w:tc>
          <w:tcPr>
            <w:tcW w:w="10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440" w:type="dxa"/>
            <w:vAlign w:val="bottom"/>
          </w:tcPr>
          <w:p>
            <w:pPr>
              <w:jc w:val="right"/>
              <w:ind w:right="399"/>
              <w:spacing w:after="0"/>
              <w:rPr>
                <w:sz w:val="20"/>
                <w:szCs w:val="20"/>
                <w:color w:val="auto"/>
              </w:rPr>
            </w:pPr>
            <w:r>
              <w:rPr>
                <w:rFonts w:ascii="Arial" w:cs="Arial" w:eastAsia="Arial" w:hAnsi="Arial"/>
                <w:sz w:val="16"/>
                <w:szCs w:val="16"/>
                <w:color w:val="auto"/>
              </w:rPr>
              <w:t>7.5</w:t>
            </w:r>
          </w:p>
        </w:tc>
        <w:tc>
          <w:tcPr>
            <w:tcW w:w="7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Honduran lempira</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24.2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0"/>
        </w:trPr>
        <w:tc>
          <w:tcPr>
            <w:tcW w:w="4540" w:type="dxa"/>
            <w:vAlign w:val="bottom"/>
          </w:tcPr>
          <w:p>
            <w:pPr>
              <w:ind w:left="20"/>
              <w:spacing w:after="0"/>
              <w:rPr>
                <w:sz w:val="20"/>
                <w:szCs w:val="20"/>
                <w:color w:val="auto"/>
              </w:rPr>
            </w:pPr>
            <w:r>
              <w:rPr>
                <w:rFonts w:ascii="Arial" w:cs="Arial" w:eastAsia="Arial" w:hAnsi="Arial"/>
                <w:sz w:val="16"/>
                <w:szCs w:val="16"/>
                <w:color w:val="auto"/>
              </w:rPr>
              <w:t>Peruvian sol</w:t>
            </w:r>
          </w:p>
        </w:tc>
        <w:tc>
          <w:tcPr>
            <w:tcW w:w="10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440" w:type="dxa"/>
            <w:vAlign w:val="bottom"/>
          </w:tcPr>
          <w:p>
            <w:pPr>
              <w:jc w:val="right"/>
              <w:ind w:right="399"/>
              <w:spacing w:after="0"/>
              <w:rPr>
                <w:sz w:val="20"/>
                <w:szCs w:val="20"/>
                <w:color w:val="auto"/>
              </w:rPr>
            </w:pPr>
            <w:r>
              <w:rPr>
                <w:rFonts w:ascii="Arial" w:cs="Arial" w:eastAsia="Arial" w:hAnsi="Arial"/>
                <w:sz w:val="16"/>
                <w:szCs w:val="16"/>
                <w:color w:val="auto"/>
              </w:rPr>
              <w:t>3.7</w:t>
            </w:r>
          </w:p>
        </w:tc>
        <w:tc>
          <w:tcPr>
            <w:tcW w:w="7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manage our business and report our financial results in three reportable segments;</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Pawn — Represents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Latin America Pawn — Represents all pawn activities in Mexico and other parts of Latin America; and</w:t>
      </w:r>
    </w:p>
    <w:p>
      <w:pPr>
        <w:spacing w:after="0" w:line="171" w:lineRule="exact"/>
        <w:rPr>
          <w:rFonts w:ascii="Arial" w:cs="Arial" w:eastAsia="Arial" w:hAnsi="Arial"/>
          <w:sz w:val="18"/>
          <w:szCs w:val="18"/>
          <w:color w:val="auto"/>
        </w:rPr>
      </w:pPr>
    </w:p>
    <w:p>
      <w:pPr>
        <w:ind w:left="660" w:right="140" w:hanging="328"/>
        <w:spacing w:after="0" w:line="261" w:lineRule="auto"/>
        <w:tabs>
          <w:tab w:leader="none" w:pos="6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Investments — Represents our equity interest in the net income of Cash Converters International and Rich Data Corporation, along with our investment in Founders.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Count by Segment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June 30, 2022</w:t>
            </w:r>
          </w:p>
        </w:tc>
        <w:tc>
          <w:tcPr>
            <w:tcW w:w="0" w:type="dxa"/>
            <w:vAlign w:val="bottom"/>
          </w:tcPr>
          <w:p>
            <w:pPr>
              <w:spacing w:after="0"/>
              <w:rPr>
                <w:sz w:val="1"/>
                <w:szCs w:val="1"/>
                <w:color w:val="auto"/>
              </w:rPr>
            </w:pPr>
          </w:p>
        </w:tc>
      </w:tr>
      <w:tr>
        <w:trPr>
          <w:trHeight w:val="158"/>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March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213"/>
        </w:trPr>
        <w:tc>
          <w:tcPr>
            <w:tcW w:w="674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0"/>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June 30, 2022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w:t>
            </w:r>
          </w:p>
        </w:tc>
        <w:tc>
          <w:tcPr>
            <w:tcW w:w="0" w:type="dxa"/>
            <w:vAlign w:val="bottom"/>
          </w:tcPr>
          <w:p>
            <w:pPr>
              <w:spacing w:after="0"/>
              <w:rPr>
                <w:sz w:val="1"/>
                <w:szCs w:val="1"/>
                <w:color w:val="auto"/>
              </w:rPr>
            </w:pP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June 30, 2021</w:t>
            </w:r>
          </w:p>
        </w:tc>
        <w:tc>
          <w:tcPr>
            <w:tcW w:w="0" w:type="dxa"/>
            <w:vAlign w:val="bottom"/>
          </w:tcPr>
          <w:p>
            <w:pPr>
              <w:spacing w:after="0"/>
              <w:rPr>
                <w:sz w:val="1"/>
                <w:szCs w:val="1"/>
                <w:color w:val="auto"/>
              </w:rPr>
            </w:pPr>
          </w:p>
        </w:tc>
      </w:tr>
      <w:tr>
        <w:trPr>
          <w:trHeight w:val="158"/>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March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13"/>
        </w:trPr>
        <w:tc>
          <w:tcPr>
            <w:tcW w:w="674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0"/>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June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Nine Months Ended June 30, 2022</w:t>
            </w:r>
          </w:p>
        </w:tc>
        <w:tc>
          <w:tcPr>
            <w:tcW w:w="0" w:type="dxa"/>
            <w:vAlign w:val="bottom"/>
          </w:tcPr>
          <w:p>
            <w:pPr>
              <w:spacing w:after="0"/>
              <w:rPr>
                <w:sz w:val="1"/>
                <w:szCs w:val="1"/>
                <w:color w:val="auto"/>
              </w:rPr>
            </w:pPr>
          </w:p>
        </w:tc>
      </w:tr>
      <w:tr>
        <w:trPr>
          <w:trHeight w:val="159"/>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13"/>
        </w:trPr>
        <w:tc>
          <w:tcPr>
            <w:tcW w:w="674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0"/>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June 30, 2022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Nine Months Ended June 30, 2021</w:t>
            </w:r>
          </w:p>
        </w:tc>
        <w:tc>
          <w:tcPr>
            <w:tcW w:w="0" w:type="dxa"/>
            <w:vAlign w:val="bottom"/>
          </w:tcPr>
          <w:p>
            <w:pPr>
              <w:spacing w:after="0"/>
              <w:rPr>
                <w:sz w:val="1"/>
                <w:szCs w:val="1"/>
                <w:color w:val="auto"/>
              </w:rPr>
            </w:pPr>
          </w:p>
        </w:tc>
      </w:tr>
      <w:tr>
        <w:trPr>
          <w:trHeight w:val="158"/>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3"/>
        </w:trPr>
        <w:tc>
          <w:tcPr>
            <w:tcW w:w="674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June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2022 vs. Three Months Ended June 30, 2021</w:t>
      </w:r>
    </w:p>
    <w:p>
      <w:pPr>
        <w:spacing w:after="0" w:line="1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These tables, as well as the discussion that follows, should be read in conjunction with the accompanying condensed consolidated financial statements and related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our U.S. Pawn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5"/>
        </w:trPr>
        <w:tc>
          <w:tcPr>
            <w:tcW w:w="6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59,322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44,039</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35%</w:t>
            </w:r>
          </w:p>
        </w:tc>
      </w:tr>
      <w:tr>
        <w:trPr>
          <w:trHeight w:val="219"/>
        </w:trPr>
        <w:tc>
          <w:tcPr>
            <w:tcW w:w="6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94,005</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84,465</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11%</w:t>
            </w:r>
          </w:p>
        </w:tc>
      </w:tr>
      <w:tr>
        <w:trPr>
          <w:trHeight w:val="213"/>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38,120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39,155</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w:t>
            </w:r>
          </w:p>
        </w:tc>
      </w:tr>
      <w:tr>
        <w:trPr>
          <w:trHeight w:val="213"/>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merchandise sales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(500)bps</w:t>
            </w:r>
          </w:p>
        </w:tc>
      </w:tr>
      <w:tr>
        <w:trPr>
          <w:trHeight w:val="219"/>
        </w:trPr>
        <w:tc>
          <w:tcPr>
            <w:tcW w:w="6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5,404</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1,908</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7"/>
              </w:rPr>
              <w:t>183%</w:t>
            </w:r>
          </w:p>
        </w:tc>
      </w:tr>
      <w:tr>
        <w:trPr>
          <w:trHeight w:val="213"/>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2,893%</w:t>
            </w:r>
          </w:p>
        </w:tc>
      </w:tr>
      <w:tr>
        <w:trPr>
          <w:trHeight w:val="213"/>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jewelry scrapping sales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1,500bps</w:t>
            </w:r>
          </w:p>
        </w:tc>
      </w:tr>
      <w:tr>
        <w:trPr>
          <w:trHeight w:val="219"/>
        </w:trPr>
        <w:tc>
          <w:tcPr>
            <w:tcW w:w="6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32</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(34)%</w:t>
            </w:r>
          </w:p>
        </w:tc>
      </w:tr>
      <w:tr>
        <w:trPr>
          <w:trHeight w:val="213"/>
        </w:trPr>
        <w:tc>
          <w:tcPr>
            <w:tcW w:w="6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98,361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83,256</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18%</w:t>
            </w:r>
          </w:p>
        </w:tc>
      </w:tr>
      <w:tr>
        <w:trPr>
          <w:trHeight w:val="216"/>
        </w:trPr>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2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66,036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62,507</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rPr>
              <w:t>6%</w:t>
            </w:r>
          </w:p>
        </w:tc>
      </w:tr>
      <w:tr>
        <w:trPr>
          <w:trHeight w:val="216"/>
        </w:trPr>
        <w:tc>
          <w:tcPr>
            <w:tcW w:w="6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2,572</w:t>
            </w: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2,600</w:t>
            </w:r>
          </w:p>
        </w:tc>
        <w:tc>
          <w:tcPr>
            <w:tcW w:w="152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w:t>
            </w:r>
          </w:p>
        </w:tc>
      </w:tr>
      <w:tr>
        <w:trPr>
          <w:trHeight w:val="209"/>
        </w:trPr>
        <w:tc>
          <w:tcPr>
            <w:tcW w:w="6520" w:type="dxa"/>
            <w:vAlign w:val="bottom"/>
          </w:tcPr>
          <w:p>
            <w:pPr>
              <w:ind w:left="460"/>
              <w:spacing w:after="0"/>
              <w:rPr>
                <w:sz w:val="20"/>
                <w:szCs w:val="20"/>
                <w:color w:val="auto"/>
              </w:rPr>
            </w:pPr>
            <w:r>
              <w:rPr>
                <w:rFonts w:ascii="Arial" w:cs="Arial" w:eastAsia="Arial" w:hAnsi="Arial"/>
                <w:sz w:val="16"/>
                <w:szCs w:val="16"/>
                <w:color w:val="auto"/>
              </w:rPr>
              <w:t>Segment operating contribution</w:t>
            </w:r>
          </w:p>
        </w:tc>
        <w:tc>
          <w:tcPr>
            <w:tcW w:w="2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29,753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18,149</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64%</w:t>
            </w:r>
          </w:p>
        </w:tc>
      </w:tr>
      <w:tr>
        <w:trPr>
          <w:trHeight w:val="219"/>
        </w:trPr>
        <w:tc>
          <w:tcPr>
            <w:tcW w:w="6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segment income</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5"/>
              </w:rPr>
              <w:t>*</w:t>
            </w:r>
          </w:p>
        </w:tc>
      </w:tr>
      <w:tr>
        <w:trPr>
          <w:trHeight w:val="220"/>
        </w:trPr>
        <w:tc>
          <w:tcPr>
            <w:tcW w:w="65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Segment contribution</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29,754</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18,149</w:t>
            </w:r>
          </w:p>
        </w:tc>
        <w:tc>
          <w:tcPr>
            <w:tcW w:w="152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64%</w:t>
            </w:r>
          </w:p>
        </w:tc>
      </w:tr>
      <w:tr>
        <w:trPr>
          <w:trHeight w:val="203"/>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data:</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Net earning assets (a)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261,511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186,322</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40%</w:t>
            </w: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Inventory turnover</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(11)%</w:t>
            </w: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Average monthly ending pawn loan balance per store (b)</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206</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41%</w:t>
            </w: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—bps</w:t>
            </w:r>
          </w:p>
        </w:tc>
      </w:tr>
      <w:tr>
        <w:trPr>
          <w:trHeight w:val="210"/>
        </w:trPr>
        <w:tc>
          <w:tcPr>
            <w:tcW w:w="6520" w:type="dxa"/>
            <w:vAlign w:val="bottom"/>
          </w:tcPr>
          <w:p>
            <w:pPr>
              <w:ind w:left="220"/>
              <w:spacing w:after="0"/>
              <w:rPr>
                <w:sz w:val="20"/>
                <w:szCs w:val="20"/>
                <w:color w:val="auto"/>
              </w:rPr>
            </w:pPr>
            <w:r>
              <w:rPr>
                <w:rFonts w:ascii="Arial" w:cs="Arial" w:eastAsia="Arial" w:hAnsi="Arial"/>
                <w:sz w:val="16"/>
                <w:szCs w:val="16"/>
                <w:color w:val="auto"/>
              </w:rPr>
              <w:t>Pawn loan redemption rate</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(300)bps</w:t>
            </w:r>
          </w:p>
        </w:tc>
      </w:tr>
    </w:tbl>
    <w:p>
      <w:pPr>
        <w:spacing w:after="0" w:line="146" w:lineRule="exact"/>
        <w:rPr>
          <w:sz w:val="20"/>
          <w:szCs w:val="20"/>
          <w:color w:val="auto"/>
        </w:rPr>
      </w:pPr>
    </w:p>
    <w:p>
      <w:pPr>
        <w:ind w:left="360" w:hanging="334"/>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8" w:lineRule="exact"/>
        <w:rPr>
          <w:sz w:val="20"/>
          <w:szCs w:val="20"/>
          <w:color w:val="auto"/>
        </w:rPr>
      </w:pPr>
    </w:p>
    <w:p>
      <w:pPr>
        <w:ind w:left="360" w:hanging="334"/>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28" w:lineRule="exact"/>
        <w:rPr>
          <w:rFonts w:ascii="Arial" w:cs="Arial" w:eastAsia="Arial" w:hAnsi="Arial"/>
          <w:sz w:val="14"/>
          <w:szCs w:val="14"/>
          <w:color w:val="auto"/>
        </w:rPr>
      </w:pPr>
    </w:p>
    <w:p>
      <w:pPr>
        <w:ind w:left="360" w:hanging="334"/>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306"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PLO increased 36% to $159.7 million (36% on a same store basis), our highest level to-date, due to increased loan demand reflecting a recovery above pre-COVID levels.</w:t>
      </w:r>
    </w:p>
    <w:p>
      <w:pPr>
        <w:spacing w:after="0" w:line="14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Total revenue was up 22%, and gross profit increased 18% driven by increased pawn service charges, which were up 35% as a result of higher average PLO for the quarter.</w:t>
      </w:r>
    </w:p>
    <w:p>
      <w:pPr>
        <w:spacing w:after="0" w:line="144"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Merchandise sales increased 11% due to our improved retail strategy. Offsetting the sales increase, merchandise sales gross margin decreased to 41% from 46% reflecting a return to more normalized margins.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Inventory turnover decreased to 2.5x from 2.8x due to increased inventory levels in the current quarter and stimulus impacts in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Store expenses increased 6% primarily due to increased store count and labor increases in line with business activity.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increased $11.6 million or 64%, due to the changes described above.</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Segment store count increased by three acquired stores during the quarter.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 Pawn</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following table presents selected summary financial data for the Latin America Pawn segment, including constant currency results, after translation to U.S. dollars from its functional currencies noted above under “Results of Operations — Non-GAAP Constant Currency and Same Store Financial Information."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7"/>
          </w:tcPr>
          <w:p>
            <w:pPr>
              <w:ind w:left="780"/>
              <w:spacing w:after="0"/>
              <w:rPr>
                <w:sz w:val="20"/>
                <w:szCs w:val="20"/>
                <w:color w:val="auto"/>
              </w:rPr>
            </w:pPr>
            <w:r>
              <w:rPr>
                <w:rFonts w:ascii="Arial" w:cs="Arial" w:eastAsia="Arial" w:hAnsi="Arial"/>
                <w:sz w:val="16"/>
                <w:szCs w:val="16"/>
                <w:b w:val="1"/>
                <w:bCs w:val="1"/>
                <w:color w:val="auto"/>
              </w:rPr>
              <w:t>Three Months Ended June 30,</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24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2022 (GAAP)</w:t>
            </w:r>
          </w:p>
        </w:tc>
        <w:tc>
          <w:tcPr>
            <w:tcW w:w="16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2021 (GAAP)</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Change (GAAP)</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2022 (Constant</w:t>
            </w:r>
          </w:p>
        </w:tc>
        <w:tc>
          <w:tcPr>
            <w:tcW w:w="1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Change (Constant</w:t>
            </w:r>
          </w:p>
        </w:tc>
        <w:tc>
          <w:tcPr>
            <w:tcW w:w="0" w:type="dxa"/>
            <w:vAlign w:val="bottom"/>
          </w:tcPr>
          <w:p>
            <w:pPr>
              <w:spacing w:after="0"/>
              <w:rPr>
                <w:sz w:val="1"/>
                <w:szCs w:val="1"/>
                <w:color w:val="auto"/>
              </w:rPr>
            </w:pPr>
          </w:p>
        </w:tc>
      </w:tr>
      <w:tr>
        <w:trPr>
          <w:trHeight w:val="175"/>
        </w:trPr>
        <w:tc>
          <w:tcPr>
            <w:tcW w:w="4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20,969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16,392</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20,953</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28%</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34,329</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23,343</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34,315</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47%</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8,114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10,046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24%</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rPr>
              <w:t>(600)bps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(600)bps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1,764</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3,765</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(53)%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1,761</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100bps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100bps</w:t>
            </w:r>
          </w:p>
        </w:tc>
        <w:tc>
          <w:tcPr>
            <w:tcW w:w="0" w:type="dxa"/>
            <w:vAlign w:val="bottom"/>
          </w:tcPr>
          <w:p>
            <w:pPr>
              <w:spacing w:after="0"/>
              <w:rPr>
                <w:sz w:val="1"/>
                <w:szCs w:val="1"/>
                <w:color w:val="auto"/>
              </w:rPr>
            </w:pPr>
          </w:p>
        </w:tc>
      </w:tr>
      <w:tr>
        <w:trPr>
          <w:trHeight w:val="273"/>
        </w:trPr>
        <w:tc>
          <w:tcPr>
            <w:tcW w:w="4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 net</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31,126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24,676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31,109</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26%</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23,394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19,296</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23,383</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21%</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1,806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1,986</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Charges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Segment operating contribution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3,077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5,740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87%</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segment income</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(28)%</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6,097</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3,566</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6,092</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71%</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Other data:</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earning assets (a)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75,357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63,075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76,323</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21%</w:t>
            </w: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Inventory turnover</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Average monthly ending pawn loan balance per store</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loan redemption rate (c)</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—bps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—bps</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60" w:hanging="334"/>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8" w:lineRule="exact"/>
        <w:rPr>
          <w:sz w:val="20"/>
          <w:szCs w:val="20"/>
          <w:color w:val="auto"/>
        </w:rPr>
      </w:pPr>
    </w:p>
    <w:p>
      <w:pPr>
        <w:ind w:left="360" w:hanging="334"/>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28" w:lineRule="exact"/>
        <w:rPr>
          <w:rFonts w:ascii="Arial" w:cs="Arial" w:eastAsia="Arial" w:hAnsi="Arial"/>
          <w:sz w:val="14"/>
          <w:szCs w:val="14"/>
          <w:color w:val="auto"/>
        </w:rPr>
      </w:pPr>
    </w:p>
    <w:p>
      <w:pPr>
        <w:ind w:left="360" w:hanging="334"/>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8" w:lineRule="exact"/>
        <w:rPr>
          <w:rFonts w:ascii="Arial" w:cs="Arial" w:eastAsia="Arial" w:hAnsi="Arial"/>
          <w:sz w:val="14"/>
          <w:szCs w:val="14"/>
          <w:color w:val="auto"/>
        </w:rPr>
      </w:pPr>
    </w:p>
    <w:p>
      <w:pPr>
        <w:ind w:left="360" w:hanging="334"/>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Rate is solely inclusive of results from Mexico Pawn.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00" w:type="dxa"/>
            <w:vAlign w:val="bottom"/>
          </w:tcPr>
          <w:p>
            <w:pPr>
              <w:spacing w:after="0"/>
              <w:rPr>
                <w:sz w:val="15"/>
                <w:szCs w:val="15"/>
                <w:color w:val="auto"/>
              </w:rPr>
            </w:pPr>
          </w:p>
        </w:tc>
        <w:tc>
          <w:tcPr>
            <w:tcW w:w="20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2022 Change</w:t>
            </w:r>
          </w:p>
        </w:tc>
        <w:tc>
          <w:tcPr>
            <w:tcW w:w="160" w:type="dxa"/>
            <w:vAlign w:val="bottom"/>
          </w:tcPr>
          <w:p>
            <w:pPr>
              <w:spacing w:after="0"/>
              <w:rPr>
                <w:sz w:val="15"/>
                <w:szCs w:val="15"/>
                <w:color w:val="auto"/>
              </w:rPr>
            </w:pPr>
          </w:p>
        </w:tc>
        <w:tc>
          <w:tcPr>
            <w:tcW w:w="19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2022 Change</w:t>
            </w:r>
          </w:p>
        </w:tc>
      </w:tr>
      <w:tr>
        <w:trPr>
          <w:trHeight w:val="215"/>
        </w:trPr>
        <w:tc>
          <w:tcPr>
            <w:tcW w:w="7100" w:type="dxa"/>
            <w:vAlign w:val="bottom"/>
          </w:tcPr>
          <w:p>
            <w:pPr>
              <w:spacing w:after="0"/>
              <w:rPr>
                <w:sz w:val="18"/>
                <w:szCs w:val="18"/>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(GAAP)</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(Constant Currency)</w:t>
            </w:r>
          </w:p>
        </w:tc>
      </w:tr>
      <w:tr>
        <w:trPr>
          <w:trHeight w:val="197"/>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Same Store data:</w:t>
            </w:r>
          </w:p>
        </w:tc>
        <w:tc>
          <w:tcPr>
            <w:tcW w:w="2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r>
      <w:tr>
        <w:trPr>
          <w:trHeight w:val="230"/>
        </w:trPr>
        <w:tc>
          <w:tcPr>
            <w:tcW w:w="7100" w:type="dxa"/>
            <w:vAlign w:val="bottom"/>
          </w:tcPr>
          <w:p>
            <w:pPr>
              <w:ind w:left="220"/>
              <w:spacing w:after="0"/>
              <w:rPr>
                <w:sz w:val="20"/>
                <w:szCs w:val="20"/>
                <w:color w:val="auto"/>
              </w:rPr>
            </w:pPr>
            <w:r>
              <w:rPr>
                <w:rFonts w:ascii="Arial" w:cs="Arial" w:eastAsia="Arial" w:hAnsi="Arial"/>
                <w:sz w:val="16"/>
                <w:szCs w:val="16"/>
                <w:color w:val="auto"/>
              </w:rPr>
              <w:t>PLO</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10%</w:t>
            </w:r>
          </w:p>
        </w:tc>
      </w:tr>
      <w:tr>
        <w:trPr>
          <w:trHeight w:val="229"/>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PSC</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17%</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17%</w:t>
            </w:r>
          </w:p>
        </w:tc>
      </w:tr>
      <w:tr>
        <w:trPr>
          <w:trHeight w:val="229"/>
        </w:trPr>
        <w:tc>
          <w:tcPr>
            <w:tcW w:w="71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29%</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29%</w:t>
            </w: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r>
      <w:tr>
        <w:trPr>
          <w:trHeight w:val="229"/>
        </w:trPr>
        <w:tc>
          <w:tcPr>
            <w:tcW w:w="71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6%</w:t>
            </w: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In the current quarter, we opened eight de novo stores, bringing total segment store-count to 644.</w:t>
      </w:r>
    </w:p>
    <w:p>
      <w:pPr>
        <w:spacing w:after="0" w:line="158"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PLO increased 11% to $ 44.5 million (13% on constant currency basis). On a same store basis, PLO increased 9% (10% on a constant currency basis), also the highest level to-date, due to increased loan demand reflecting a recovery above pre-COVID levels.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Total revenue was up 31% (31% on a constant currency basis), while gross profit increased 26% (26% on a constant currency basis).</w:t>
      </w:r>
    </w:p>
    <w:p>
      <w:pPr>
        <w:spacing w:after="0" w:line="171"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PSC increased 28% in the current quarter to $21.0 million (up 28% to $21.0 million on a constant currency basis) as a result of higher average PLO for the quarter.</w:t>
      </w:r>
    </w:p>
    <w:p>
      <w:pPr>
        <w:spacing w:after="0" w:line="14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Merchandise sales increased 47% (47% on a constant currency basis) and 29% on a same store basis (29% on a constant currency basis) reflecting a renewed focus on customer engagement. Offsetting the sales increase, merchandise sales gross margin decreased from 35% to 29% reflecting a return to more normalized margins.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Net inventory increased 34% (35% on a constant currency basis). Inventory turnover remains strong at 3.7x, down from 4.0x.</w:t>
      </w:r>
    </w:p>
    <w:p>
      <w:pPr>
        <w:spacing w:after="0" w:line="17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Store expenses increased $4.1 million or 21% (21% on a constant currency basis) primarily due to growth in labor and year-over-year store count in line with increased business activity. On a same-store basis, store expenses increased by $0.2 million or 4% (6% on a constant currency basis).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increased $2.5 million, or 71%, to $6.1 million ($2.5 million or 71% on a constant currency basis).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9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following table presents selected financial data for our Other Investments segment after translation to U.S. dollars from its functional currency of primarily Australian dollars: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Change</w:t>
            </w:r>
          </w:p>
        </w:tc>
      </w:tr>
      <w:tr>
        <w:trPr>
          <w:trHeight w:val="35"/>
        </w:trPr>
        <w:tc>
          <w:tcPr>
            <w:tcW w:w="6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Consumer loan fees, interest and other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(76)%</w:t>
            </w:r>
          </w:p>
        </w:tc>
      </w:tr>
      <w:tr>
        <w:trPr>
          <w:trHeight w:val="212"/>
        </w:trPr>
        <w:tc>
          <w:tcPr>
            <w:tcW w:w="6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(76)%</w:t>
            </w:r>
          </w:p>
        </w:tc>
      </w:tr>
      <w:tr>
        <w:trPr>
          <w:trHeight w:val="216"/>
        </w:trPr>
        <w:tc>
          <w:tcPr>
            <w:tcW w:w="6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Equity in net income of unconsolidated affiliates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(1,758)</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173%</w:t>
            </w:r>
          </w:p>
        </w:tc>
      </w:tr>
      <w:tr>
        <w:trPr>
          <w:trHeight w:val="213"/>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Segment operating contribution</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143%</w:t>
            </w:r>
          </w:p>
        </w:tc>
      </w:tr>
      <w:tr>
        <w:trPr>
          <w:trHeight w:val="216"/>
        </w:trPr>
        <w:tc>
          <w:tcPr>
            <w:tcW w:w="6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3"/>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segment expense</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6%</w:t>
            </w:r>
          </w:p>
        </w:tc>
      </w:tr>
      <w:tr>
        <w:trPr>
          <w:trHeight w:val="220"/>
        </w:trPr>
        <w:tc>
          <w:tcPr>
            <w:tcW w:w="670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Segment contribution</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1,760</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146%</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was $1.8 million, an increase of $1.0 million due to the increase in equity income for our unconsolidated affiliates.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9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5"/>
        </w:trPr>
        <w:tc>
          <w:tcPr>
            <w:tcW w:w="6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22,429</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68%</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Corporate expenses (income):</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14,589</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28%</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3,013</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6%</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5,569</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(52)%</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(100)%</w:t>
            </w: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Other (income) expense</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r>
      <w:tr>
        <w:trPr>
          <w:trHeight w:val="209"/>
        </w:trPr>
        <w:tc>
          <w:tcPr>
            <w:tcW w:w="6700" w:type="dxa"/>
            <w:vAlign w:val="bottom"/>
          </w:tcPr>
          <w:p>
            <w:pPr>
              <w:ind w:left="680"/>
              <w:spacing w:after="0"/>
              <w:rPr>
                <w:sz w:val="20"/>
                <w:szCs w:val="20"/>
                <w:color w:val="auto"/>
              </w:rPr>
            </w:pPr>
            <w:r>
              <w:rPr>
                <w:rFonts w:ascii="Arial" w:cs="Arial" w:eastAsia="Arial" w:hAnsi="Arial"/>
                <w:sz w:val="16"/>
                <w:szCs w:val="16"/>
                <w:color w:val="auto"/>
              </w:rPr>
              <w:t>Income (loss) before income taxes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(766)</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1,808%</w:t>
            </w: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1,804</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(52)%</w:t>
            </w:r>
          </w:p>
        </w:tc>
      </w:tr>
      <w:tr>
        <w:trPr>
          <w:trHeight w:val="21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12,215</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(2,570)</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575%</w:t>
            </w:r>
          </w:p>
        </w:tc>
      </w:tr>
    </w:tbl>
    <w:p>
      <w:pPr>
        <w:spacing w:after="0" w:line="140" w:lineRule="exact"/>
        <w:rPr>
          <w:sz w:val="20"/>
          <w:szCs w:val="20"/>
          <w:color w:val="auto"/>
        </w:rPr>
      </w:pPr>
    </w:p>
    <w:p>
      <w:pPr>
        <w:ind w:left="360" w:hanging="334"/>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38" w:lineRule="exact"/>
        <w:rPr>
          <w:sz w:val="20"/>
          <w:szCs w:val="20"/>
          <w:color w:val="auto"/>
        </w:rPr>
      </w:pPr>
    </w:p>
    <w:p>
      <w:pPr>
        <w:ind w:right="640"/>
        <w:spacing w:after="0" w:line="235" w:lineRule="auto"/>
        <w:rPr>
          <w:sz w:val="20"/>
          <w:szCs w:val="20"/>
          <w:color w:val="auto"/>
        </w:rPr>
      </w:pPr>
      <w:r>
        <w:rPr>
          <w:rFonts w:ascii="Arial" w:cs="Arial" w:eastAsia="Arial" w:hAnsi="Arial"/>
          <w:sz w:val="18"/>
          <w:szCs w:val="18"/>
          <w:color w:val="auto"/>
        </w:rPr>
        <w:t>Segment contribution increased $15.2 million or 68% over the prior year quarter primarily due to the improved operating results of the segments above.</w:t>
      </w:r>
    </w:p>
    <w:p>
      <w:pPr>
        <w:spacing w:after="0" w:line="14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General and administrative expenses increased $4.1 million or 28%, primarily due to a litigation accrual and increased performance-based incentive compensation.</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Interest expense decreased $2.9 million primarily driven by the ASU 2020-06 accounting policy change which no longer requires debt discount be included on our balance sheet effective October 1, 2021. The policy change eliminates the non-cash interest amortization of that debt discount. See Note 1: Organization And Summary Of Significant Accounting Policies to the consolidated financials for further discussion of this recently adopted accounting policy.</w:t>
      </w:r>
    </w:p>
    <w:p>
      <w:pPr>
        <w:spacing w:after="0" w:line="15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Income tax expense decreased $0.9 million primarily due to the expiration of the statute of limitations on certain FIN 48 reserves this quarter, partially offset by an increase in income before income taxes of $13.8 million this quarter compared to the prior year quarter.</w:t>
      </w:r>
    </w:p>
    <w:p>
      <w:pPr>
        <w:spacing w:after="0" w:line="14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Income tax expense includes other items that do not necessarily correspond to pre-tax earnings and create volatility in our effective tax rate. These items include the net effect of state taxes, non-deductible items and changes in valuation allowances for certain foreign operations. See Annual Report on Form 10-K for the year ended September 30, 2021 Note 11: Income Taxes of Notes to Consolidated Financial Statements included in “Part II, Item 8 — Financial Statements and Supplemental Data” for quantification of these items.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June 30, 2022 vs. Nine Months Ended June 30, 2021</w:t>
      </w:r>
    </w:p>
    <w:p>
      <w:pPr>
        <w:spacing w:after="0" w:line="193"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The tables below and discussion that follows should be read in conjunction with the accompanying condensed consolidated financial statements and related notes.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Pawn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the U.S. Pawn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June 30,</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5"/>
        </w:trPr>
        <w:tc>
          <w:tcPr>
            <w:tcW w:w="6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174,651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143,836</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21%</w:t>
            </w:r>
          </w:p>
        </w:tc>
      </w:tr>
      <w:tr>
        <w:trPr>
          <w:trHeight w:val="219"/>
        </w:trPr>
        <w:tc>
          <w:tcPr>
            <w:tcW w:w="6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296,147</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260,545</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14%</w:t>
            </w:r>
          </w:p>
        </w:tc>
      </w:tr>
      <w:tr>
        <w:trPr>
          <w:trHeight w:val="213"/>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123,817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115,364</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7%</w:t>
            </w:r>
          </w:p>
        </w:tc>
      </w:tr>
      <w:tr>
        <w:trPr>
          <w:trHeight w:val="213"/>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merchandise sales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(200)bps</w:t>
            </w:r>
          </w:p>
        </w:tc>
      </w:tr>
      <w:tr>
        <w:trPr>
          <w:trHeight w:val="219"/>
        </w:trPr>
        <w:tc>
          <w:tcPr>
            <w:tcW w:w="6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13,864</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9,493</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46%</w:t>
            </w:r>
          </w:p>
        </w:tc>
      </w:tr>
      <w:tr>
        <w:trPr>
          <w:trHeight w:val="213"/>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2,585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1,622</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59%</w:t>
            </w:r>
          </w:p>
        </w:tc>
      </w:tr>
      <w:tr>
        <w:trPr>
          <w:trHeight w:val="213"/>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jewelry scrapping sales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200bps</w:t>
            </w:r>
          </w:p>
        </w:tc>
      </w:tr>
      <w:tr>
        <w:trPr>
          <w:trHeight w:val="219"/>
        </w:trPr>
        <w:tc>
          <w:tcPr>
            <w:tcW w:w="6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83</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(19)%</w:t>
            </w:r>
          </w:p>
        </w:tc>
      </w:tr>
      <w:tr>
        <w:trPr>
          <w:trHeight w:val="213"/>
        </w:trPr>
        <w:tc>
          <w:tcPr>
            <w:tcW w:w="6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301,120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260,905</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15%</w:t>
            </w:r>
          </w:p>
        </w:tc>
      </w:tr>
      <w:tr>
        <w:trPr>
          <w:trHeight w:val="216"/>
        </w:trPr>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3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195,217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188,256</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rPr>
              <w:t>4%</w:t>
            </w:r>
          </w:p>
        </w:tc>
      </w:tr>
      <w:tr>
        <w:trPr>
          <w:trHeight w:val="216"/>
        </w:trPr>
        <w:tc>
          <w:tcPr>
            <w:tcW w:w="6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7,867</w:t>
            </w: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7,972</w:t>
            </w:r>
          </w:p>
        </w:tc>
        <w:tc>
          <w:tcPr>
            <w:tcW w:w="152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w:t>
            </w:r>
          </w:p>
        </w:tc>
      </w:tr>
      <w:tr>
        <w:trPr>
          <w:trHeight w:val="210"/>
        </w:trPr>
        <w:tc>
          <w:tcPr>
            <w:tcW w:w="6520" w:type="dxa"/>
            <w:vAlign w:val="bottom"/>
          </w:tcPr>
          <w:p>
            <w:pPr>
              <w:ind w:left="460"/>
              <w:spacing w:after="0"/>
              <w:rPr>
                <w:sz w:val="20"/>
                <w:szCs w:val="20"/>
                <w:color w:val="auto"/>
              </w:rPr>
            </w:pPr>
            <w:r>
              <w:rPr>
                <w:rFonts w:ascii="Arial" w:cs="Arial" w:eastAsia="Arial" w:hAnsi="Arial"/>
                <w:sz w:val="16"/>
                <w:szCs w:val="16"/>
                <w:color w:val="auto"/>
              </w:rPr>
              <w:t>Segment operating contribution</w:t>
            </w:r>
          </w:p>
        </w:tc>
        <w:tc>
          <w:tcPr>
            <w:tcW w:w="3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98,036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64,677</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52%</w:t>
            </w:r>
          </w:p>
        </w:tc>
      </w:tr>
      <w:tr>
        <w:trPr>
          <w:trHeight w:val="219"/>
        </w:trPr>
        <w:tc>
          <w:tcPr>
            <w:tcW w:w="6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segment (income) expense</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w:t>
            </w:r>
          </w:p>
        </w:tc>
        <w:tc>
          <w:tcPr>
            <w:tcW w:w="15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5"/>
              </w:rPr>
              <w:t>*</w:t>
            </w:r>
          </w:p>
        </w:tc>
      </w:tr>
      <w:tr>
        <w:trPr>
          <w:trHeight w:val="220"/>
        </w:trPr>
        <w:tc>
          <w:tcPr>
            <w:tcW w:w="65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Segment contribution</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98,037</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64,650</w:t>
            </w:r>
          </w:p>
        </w:tc>
        <w:tc>
          <w:tcPr>
            <w:tcW w:w="152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52%</w:t>
            </w:r>
          </w:p>
        </w:tc>
      </w:tr>
      <w:tr>
        <w:trPr>
          <w:trHeight w:val="202"/>
        </w:trPr>
        <w:tc>
          <w:tcPr>
            <w:tcW w:w="6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data:</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Average monthly ending pawn loan balance per store (a)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218</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33%</w:t>
            </w: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—bps</w:t>
            </w:r>
          </w:p>
        </w:tc>
      </w:tr>
      <w:tr>
        <w:trPr>
          <w:trHeight w:val="210"/>
        </w:trPr>
        <w:tc>
          <w:tcPr>
            <w:tcW w:w="6520" w:type="dxa"/>
            <w:vAlign w:val="bottom"/>
          </w:tcPr>
          <w:p>
            <w:pPr>
              <w:ind w:left="220"/>
              <w:spacing w:after="0"/>
              <w:rPr>
                <w:sz w:val="20"/>
                <w:szCs w:val="20"/>
                <w:color w:val="auto"/>
              </w:rPr>
            </w:pPr>
            <w:r>
              <w:rPr>
                <w:rFonts w:ascii="Arial" w:cs="Arial" w:eastAsia="Arial" w:hAnsi="Arial"/>
                <w:sz w:val="16"/>
                <w:szCs w:val="16"/>
                <w:color w:val="auto"/>
              </w:rPr>
              <w:t>Pawn loan redemption rate</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(300)bps</w:t>
            </w:r>
          </w:p>
        </w:tc>
      </w:tr>
    </w:tbl>
    <w:p>
      <w:pPr>
        <w:spacing w:after="0" w:line="213" w:lineRule="exact"/>
        <w:rPr>
          <w:sz w:val="20"/>
          <w:szCs w:val="20"/>
          <w:color w:val="auto"/>
        </w:rPr>
      </w:pPr>
    </w:p>
    <w:p>
      <w:pPr>
        <w:ind w:left="360" w:hanging="334"/>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8" w:lineRule="exact"/>
        <w:rPr>
          <w:sz w:val="20"/>
          <w:szCs w:val="20"/>
          <w:color w:val="auto"/>
        </w:rPr>
      </w:pPr>
    </w:p>
    <w:p>
      <w:pPr>
        <w:ind w:left="360" w:hanging="334"/>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Pawn service charges increased 21% as a result of higher average PLO for the year.</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Merchandise sales increased 14% compared to the prior year. Offsetting the sales increase, merchandise sales gross margin decreased 200 bps reflecting a return to more normalized margins.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Store expenses increased by 4% primarily due to increased store count and labor expenses associated with increased business activity.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increased $33.4 million primarily due to the changes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Latin America Pawn</w:t>
      </w:r>
    </w:p>
    <w:p>
      <w:pPr>
        <w:spacing w:after="0" w:line="1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following table presents selected summary financial data our Latin America Pawn segment, including constant currency results, after translation to U.S. dollars from functional currencies. See “Results of Operations — Non-GAAP Constant Currency and Same Store Financial Information”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7"/>
          </w:tcPr>
          <w:p>
            <w:pPr>
              <w:ind w:left="840"/>
              <w:spacing w:after="0"/>
              <w:rPr>
                <w:sz w:val="20"/>
                <w:szCs w:val="20"/>
                <w:color w:val="auto"/>
              </w:rPr>
            </w:pPr>
            <w:r>
              <w:rPr>
                <w:rFonts w:ascii="Arial" w:cs="Arial" w:eastAsia="Arial" w:hAnsi="Arial"/>
                <w:sz w:val="16"/>
                <w:szCs w:val="16"/>
                <w:b w:val="1"/>
                <w:bCs w:val="1"/>
                <w:color w:val="auto"/>
              </w:rPr>
              <w:t>Nine Months Ended June 30,</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24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2022 (GAAP)</w:t>
            </w:r>
          </w:p>
        </w:tc>
        <w:tc>
          <w:tcPr>
            <w:tcW w:w="16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2021 (GAAP)</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Change (GAAP)</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2022 (Constant</w:t>
            </w:r>
          </w:p>
        </w:tc>
        <w:tc>
          <w:tcPr>
            <w:tcW w:w="1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Change (Constant</w:t>
            </w:r>
          </w:p>
        </w:tc>
        <w:tc>
          <w:tcPr>
            <w:tcW w:w="0" w:type="dxa"/>
            <w:vAlign w:val="bottom"/>
          </w:tcPr>
          <w:p>
            <w:pPr>
              <w:spacing w:after="0"/>
              <w:rPr>
                <w:sz w:val="1"/>
                <w:szCs w:val="1"/>
                <w:color w:val="auto"/>
              </w:rPr>
            </w:pPr>
          </w:p>
        </w:tc>
      </w:tr>
      <w:tr>
        <w:trPr>
          <w:trHeight w:val="175"/>
        </w:trPr>
        <w:tc>
          <w:tcPr>
            <w:tcW w:w="4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58,348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43,520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58,497</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34%</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103,463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70,271</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104,031</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48%</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30,269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24,580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30,436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24%</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rPr>
              <w:t>(600)bps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(600)bps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5,938</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9,014</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(34)%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5,948</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472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rPr>
              <w:t>(100)bps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(100)bps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 net</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248</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89,334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68,916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89,653</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66,727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54,005</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67,029</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24%</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5,459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5,883</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Charges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Segment operating contribution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16,749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8,955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16,741</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87%</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segment income (a)</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(593)</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(2,194)</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(73)%</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(696)</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20"/>
        </w:trPr>
        <w:tc>
          <w:tcPr>
            <w:tcW w:w="4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17,342</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11,149</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17,437</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56%</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Other data:</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Average monthly ending pawn loan balance per store</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loan redemption rate (b)</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81 %</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(100)bps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(100)bps</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60" w:hanging="334"/>
        <w:spacing w:after="0"/>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8" w:lineRule="exact"/>
        <w:rPr>
          <w:sz w:val="20"/>
          <w:szCs w:val="20"/>
          <w:color w:val="auto"/>
        </w:rPr>
      </w:pPr>
    </w:p>
    <w:p>
      <w:pPr>
        <w:ind w:left="360" w:hanging="334"/>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8" w:lineRule="exact"/>
        <w:rPr>
          <w:rFonts w:ascii="Arial" w:cs="Arial" w:eastAsia="Arial" w:hAnsi="Arial"/>
          <w:sz w:val="14"/>
          <w:szCs w:val="14"/>
          <w:color w:val="auto"/>
        </w:rPr>
      </w:pPr>
    </w:p>
    <w:p>
      <w:pPr>
        <w:ind w:left="360" w:hanging="334"/>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Rate is solely inclusive of results from Mexico Pawn.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100" w:type="dxa"/>
            <w:vAlign w:val="bottom"/>
          </w:tcPr>
          <w:p>
            <w:pPr>
              <w:spacing w:after="0"/>
              <w:rPr>
                <w:sz w:val="15"/>
                <w:szCs w:val="15"/>
                <w:color w:val="auto"/>
              </w:rPr>
            </w:pPr>
          </w:p>
        </w:tc>
        <w:tc>
          <w:tcPr>
            <w:tcW w:w="20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2022 Change</w:t>
            </w:r>
          </w:p>
        </w:tc>
        <w:tc>
          <w:tcPr>
            <w:tcW w:w="160" w:type="dxa"/>
            <w:vAlign w:val="bottom"/>
          </w:tcPr>
          <w:p>
            <w:pPr>
              <w:spacing w:after="0"/>
              <w:rPr>
                <w:sz w:val="15"/>
                <w:szCs w:val="15"/>
                <w:color w:val="auto"/>
              </w:rPr>
            </w:pPr>
          </w:p>
        </w:tc>
        <w:tc>
          <w:tcPr>
            <w:tcW w:w="198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2022 Change</w:t>
            </w:r>
          </w:p>
        </w:tc>
      </w:tr>
      <w:tr>
        <w:trPr>
          <w:trHeight w:val="215"/>
        </w:trPr>
        <w:tc>
          <w:tcPr>
            <w:tcW w:w="7100" w:type="dxa"/>
            <w:vAlign w:val="bottom"/>
          </w:tcPr>
          <w:p>
            <w:pPr>
              <w:spacing w:after="0"/>
              <w:rPr>
                <w:sz w:val="18"/>
                <w:szCs w:val="18"/>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(GAAP)</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(Constant Currency)</w:t>
            </w:r>
          </w:p>
        </w:tc>
      </w:tr>
      <w:tr>
        <w:trPr>
          <w:trHeight w:val="197"/>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Same Store data:</w:t>
            </w:r>
          </w:p>
        </w:tc>
        <w:tc>
          <w:tcPr>
            <w:tcW w:w="2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r>
      <w:tr>
        <w:trPr>
          <w:trHeight w:val="230"/>
        </w:trPr>
        <w:tc>
          <w:tcPr>
            <w:tcW w:w="7100" w:type="dxa"/>
            <w:vAlign w:val="bottom"/>
          </w:tcPr>
          <w:p>
            <w:pPr>
              <w:ind w:left="220"/>
              <w:spacing w:after="0"/>
              <w:rPr>
                <w:sz w:val="20"/>
                <w:szCs w:val="20"/>
                <w:color w:val="auto"/>
              </w:rPr>
            </w:pPr>
            <w:r>
              <w:rPr>
                <w:rFonts w:ascii="Arial" w:cs="Arial" w:eastAsia="Arial" w:hAnsi="Arial"/>
                <w:sz w:val="16"/>
                <w:szCs w:val="16"/>
                <w:color w:val="auto"/>
              </w:rPr>
              <w:t>PLO</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10%</w:t>
            </w: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PSC</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21%</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21%</w:t>
            </w:r>
          </w:p>
        </w:tc>
      </w:tr>
      <w:tr>
        <w:trPr>
          <w:trHeight w:val="230"/>
        </w:trPr>
        <w:tc>
          <w:tcPr>
            <w:tcW w:w="71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24%</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25%</w:t>
            </w:r>
          </w:p>
        </w:tc>
      </w:tr>
      <w:tr>
        <w:trPr>
          <w:trHeight w:val="229"/>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30"/>
        </w:trPr>
        <w:tc>
          <w:tcPr>
            <w:tcW w:w="71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6%</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June 30, 2022, our Latin America pawn segment opened twelve de novo stores.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PSC increased 34% to $58.3 million (34% to $58.5 million on a constant currency basis) as a result of higher average PLO for the year.</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Merchandise sales increased 47% (48% on a constant currency basis) and 21% on a same store basis (21% on a constant currency basis). Offsetting the sales increase, merchandise sales gross margin decreased 600 bps from 35% to 29% (29% on a constant currency basis) reflecting a return to more normalized margins.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Store expenses increased by 24% (24% on a constant currency basis) primarily due to growth in store count. On a same-store basis, store expenses increased by $0.9 million or 4% (6% on a constant currency basis) due to rising labor costs resulting from growing transaction volume.</w:t>
      </w:r>
    </w:p>
    <w:p>
      <w:pPr>
        <w:spacing w:after="0" w:line="14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Segment contribution increased $6.2 million, or 56%, to $17.3 million. This increase was primarily due to the changes in revenue and store expenses described above.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Investments</w:t>
      </w:r>
    </w:p>
    <w:p>
      <w:pPr>
        <w:spacing w:after="0" w:line="18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following table presents selected financial data for our Other Investments segment after translation to U.S. dollars from its functional currency of primarily Australian dollars: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Nine Months Ended June 30,</w:t>
            </w:r>
          </w:p>
        </w:tc>
        <w:tc>
          <w:tcPr>
            <w:tcW w:w="100" w:type="dxa"/>
            <w:vAlign w:val="bottom"/>
          </w:tcPr>
          <w:p>
            <w:pPr>
              <w:spacing w:after="0"/>
              <w:rPr>
                <w:sz w:val="18"/>
                <w:szCs w:val="18"/>
                <w:color w:val="auto"/>
              </w:rPr>
            </w:pPr>
          </w:p>
        </w:tc>
        <w:tc>
          <w:tcPr>
            <w:tcW w:w="144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2"/>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Consumer loan fees, interest and other</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Equity in net income of unconsolidated affiliates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(2,409)</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3"/>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Segment operating contribution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2,747</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segment loss (income)</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9"/>
        </w:trPr>
        <w:tc>
          <w:tcPr>
            <w:tcW w:w="670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Segment contribution</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2,930</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Segment income was $1.5 million, a decrease of $1.4 million from the prior-year nine months ended June 30, 2022, primarily due to the decrease in equity income for our unconsolidated affiliates. The decrease in equity in net income in the current nine months ended June 30, 2022 was primarily due to our equity pickup of Cash Converters' net results which included an impairment, primarily of its ROU leased assets, that was attributed to COVID-19.</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Items</w:t>
      </w:r>
    </w:p>
    <w:p>
      <w:pPr>
        <w:spacing w:after="0" w:line="18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Nine Months Ended June 30,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5"/>
        </w:trPr>
        <w:tc>
          <w:tcPr>
            <w:tcW w:w="6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78,729</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49%</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Corporate expenses (income):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40,870</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14%</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9,045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9,649</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rPr>
              <w:t>(6)%</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(Gain) loss on sale or disposal of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16,542</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(54)%</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23%</w:t>
            </w:r>
          </w:p>
        </w:tc>
      </w:tr>
      <w:tr>
        <w:trPr>
          <w:trHeight w:val="21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Other (income) expense</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(107)%</w:t>
            </w:r>
          </w:p>
        </w:tc>
      </w:tr>
      <w:tr>
        <w:trPr>
          <w:trHeight w:val="213"/>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from continuing operations before income taxes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11,535</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373%</w:t>
            </w:r>
          </w:p>
        </w:tc>
      </w:tr>
      <w:tr>
        <w:trPr>
          <w:trHeight w:val="21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11,729</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4,476</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162%</w:t>
            </w:r>
          </w:p>
        </w:tc>
      </w:tr>
      <w:tr>
        <w:trPr>
          <w:trHeight w:val="209"/>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42,823</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7,059</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507%</w:t>
            </w:r>
          </w:p>
        </w:tc>
      </w:tr>
    </w:tbl>
    <w:p>
      <w:pPr>
        <w:spacing w:after="0" w:line="140" w:lineRule="exact"/>
        <w:rPr>
          <w:sz w:val="20"/>
          <w:szCs w:val="20"/>
          <w:color w:val="auto"/>
        </w:rPr>
      </w:pPr>
    </w:p>
    <w:p>
      <w:pPr>
        <w:ind w:left="360" w:hanging="334"/>
        <w:spacing w:after="0"/>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306"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Segment contribution increased $ 38.2 million or 49% over the prior year 9 months ended June 30, 2021, primarily due to the improved operating results of the segments above.</w:t>
      </w:r>
    </w:p>
    <w:p>
      <w:pPr>
        <w:spacing w:after="0" w:line="14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General and administrative expenses increased $5.6 million or 14%, primarily due to a litigation accrual and increased salaries, including performance-based incentive compensation.</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Interest expense decreased $8.9 million primarily driven by the ASU 2020-06 accounting policy change which no longer requires debt discount be included on our balance sheet effective October 1, 2021. The policy change eliminates the non-cash interest amortization of that debt discount. See Note 1: Organization And Summary Of Significant Accounting Policies to the consolidated financials for further discussion of this recently adopted accounting policy.</w:t>
      </w:r>
    </w:p>
    <w:p>
      <w:pPr>
        <w:spacing w:after="0" w:line="15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Income tax expense increased $ 7.3 million primarily due to an increase in income before income taxes of $43.0 million for the nine months ended June 30, 2022 compared to the same prior year nine month period.</w:t>
      </w:r>
    </w:p>
    <w:p>
      <w:pPr>
        <w:spacing w:after="0" w:line="14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Income tax expense includes other items that do not necessarily correspond to pre-tax earnings and create volatility in our effective tax rate. These items include the net effect of state taxes, non-deductible items and changes in valuation allowances for certain foreign operations. See Annual Report on Form 10-K for the year ended September 30, 2021 Note 11: Income Taxes of Notes to Consolidated Financial Statements included in “Part II, Item 8 — Financial Statements and Supplemental Data” for quantification of these items.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Liquidity and Capital Resources</w:t>
      </w:r>
    </w:p>
    <w:p>
      <w:pPr>
        <w:spacing w:after="0" w:line="201"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We currently believe that, based on available capital resources and projected operating cash flow, we have adequate capital resources to fund working capital needs, currently anticipated capital expenditures, currently anticipated business growth and expansion, tax payments, and current and projected debt service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184"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Our cash and equivalents balance was $222.3 million at June 30, 2022 compared to $253.7 million at September 30, 2021. At June 30, 2022, our cash and equivalents were held in cash depository accounts with major banks or invested in high quality, short-term liquid investments.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presents a summary of the selected sources and uses of our cash:</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7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9"/>
              </w:rPr>
              <w:t>Percentage</w:t>
            </w:r>
          </w:p>
        </w:tc>
      </w:tr>
      <w:tr>
        <w:trPr>
          <w:trHeight w:val="209"/>
        </w:trPr>
        <w:tc>
          <w:tcPr>
            <w:tcW w:w="70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5"/>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provided by operating activities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48,494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33,122</w:t>
            </w:r>
          </w:p>
        </w:tc>
        <w:tc>
          <w:tcPr>
            <w:tcW w:w="12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46%</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Cash flows used in investing activities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(81,589)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(37,086)</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rPr>
              <w:t>120%</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used in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(16,202)</w:t>
            </w:r>
          </w:p>
        </w:tc>
        <w:tc>
          <w:tcPr>
            <w:tcW w:w="12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(95)%</w:t>
            </w:r>
          </w:p>
        </w:tc>
      </w:tr>
      <w:tr>
        <w:trPr>
          <w:trHeight w:val="213"/>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5,076</w:t>
            </w:r>
          </w:p>
        </w:tc>
        <w:tc>
          <w:tcPr>
            <w:tcW w:w="12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8"/>
              </w:rPr>
              <w:t>(76)%</w:t>
            </w:r>
          </w:p>
        </w:tc>
      </w:tr>
      <w:tr>
        <w:trPr>
          <w:trHeight w:val="219"/>
        </w:trPr>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decrease in cash, cash equivalents and restricted cash</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(32,668)</w:t>
            </w: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(15,090)</w:t>
            </w:r>
          </w:p>
        </w:tc>
        <w:tc>
          <w:tcPr>
            <w:tcW w:w="12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116%</w:t>
            </w:r>
          </w:p>
        </w:tc>
      </w:tr>
    </w:tbl>
    <w:p>
      <w:pPr>
        <w:spacing w:after="0" w:line="310"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increase in cash flows provided by operating activities year-over-year was primarily due to a $35.8 million increase in net income, partially offset by cash outflows used to purchase inventory and other changes to working capital.</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$44.5 million increase in cash flows used in investing activities year-over-year was primarily due to $16.5 million in outgoing cash flows used to fund other investments and an increase of $ 66.2 million in net pawn lending, partially offset by an $35.5 million increase in the sale of forfeited collateral. Of the $16.5 million used to fund other investments, $15.0 million was invested in Founders, as discussed in Note 6: Strategic Investments in Part I, Item 1 - Notes to Interim Condensed Consolidated Financial Statements.</w:t>
      </w:r>
    </w:p>
    <w:p>
      <w:pPr>
        <w:spacing w:after="0" w:line="150"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The net effect of these changes was a $32.7 million decrease in cash on hand during the current year to date period, resulting in a $231.0 million ending cash and restricted cash balance.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Sources and Uses of Cash</w:t>
      </w:r>
    </w:p>
    <w:p>
      <w:pPr>
        <w:spacing w:after="0" w:line="184"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On May 3, 2022, our Board of Directors approved a new share repurchase program, which replaced the previous program that was suspended in March 2020. Under the new program, the Company is authorized to repurchase up to $50 million of our Class A Non-Voting common shares over the next three years. Execution of the program will be responsive to fluctuating market conditions and valuations, liquidity needs and the expected return on investment compared to other opportunities.</w:t>
      </w:r>
    </w:p>
    <w:p>
      <w:pPr>
        <w:spacing w:after="0" w:line="15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Under the stock repurchase program, we may purchase Class A Non-Voting common stock from time to time at management’s discretion in accordance with applicable securities laws, including through open market transactions, block or privately negotiated transactions, or any combination thereof. In addition, we may purchase shares pursuant to a trading plan meeting the requirements of Rule 10b5-1 under the Securities Exchange Act of 1934.</w:t>
      </w:r>
    </w:p>
    <w:p>
      <w:pPr>
        <w:spacing w:after="0" w:line="1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To date, there were no stock repurchases under the new program.</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anticipate that cash flows from operations and cash on hand will be adequate to fund any future stock repurchases, our contractual obligations, planned de novo store growth, capital expenditures and working capital requirements through fiscal 2022. We continue to explore acquisition opportunities, both large and small, and may choose to pursue additional debt, equity or equity-linked financings in the future should the need arise. </w:t>
      </w:r>
      <w:r>
        <w:rPr>
          <w:rFonts w:ascii="Arial" w:cs="Arial" w:eastAsia="Arial" w:hAnsi="Arial"/>
          <w:sz w:val="18"/>
          <w:szCs w:val="18"/>
          <w:color w:val="212529"/>
        </w:rPr>
        <w:t>Given the current uncertainty related to the COVID-19 pandemic, we may adjust our capital or other expenditures.</w:t>
      </w:r>
      <w:r>
        <w:rPr>
          <w:rFonts w:ascii="Arial" w:cs="Arial" w:eastAsia="Arial" w:hAnsi="Arial"/>
          <w:sz w:val="18"/>
          <w:szCs w:val="18"/>
          <w:color w:val="auto"/>
        </w:rPr>
        <w:t xml:space="preserve"> </w:t>
      </w:r>
      <w:r>
        <w:rPr>
          <w:rFonts w:ascii="Arial" w:cs="Arial" w:eastAsia="Arial" w:hAnsi="Arial"/>
          <w:sz w:val="18"/>
          <w:szCs w:val="18"/>
          <w:color w:val="212529"/>
        </w:rPr>
        <w:t>Depending on the level of acquisition activity and other factors, our ability to repay our longer term debt obligations, including the convertible debt maturing in 2024 and 2025, may require us to refinance these obligations through the issuance of new debt securities, equity securities, convertible securities or through new credit facilities.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84" w:lineRule="exact"/>
        <w:rPr>
          <w:sz w:val="20"/>
          <w:szCs w:val="20"/>
          <w:color w:val="auto"/>
        </w:rPr>
      </w:pPr>
    </w:p>
    <w:p>
      <w:pPr>
        <w:ind w:right="40"/>
        <w:spacing w:after="0" w:line="253" w:lineRule="auto"/>
        <w:rPr>
          <w:rFonts w:ascii="Arial" w:cs="Arial" w:eastAsia="Arial" w:hAnsi="Arial"/>
          <w:sz w:val="18"/>
          <w:szCs w:val="18"/>
          <w:color w:val="auto"/>
        </w:rPr>
      </w:pPr>
      <w:hyperlink r:id="rId21">
        <w:r>
          <w:rPr>
            <w:rFonts w:ascii="Arial" w:cs="Arial" w:eastAsia="Arial" w:hAnsi="Arial"/>
            <w:sz w:val="18"/>
            <w:szCs w:val="18"/>
            <w:color w:val="auto"/>
          </w:rPr>
          <w:t>In "Part II, Item 7 — Management's Discussion and Analysis of Financial Condition and Results of Operations" of our Annual Report on Form</w:t>
        </w:r>
      </w:hyperlink>
      <w:r>
        <w:rPr>
          <w:rFonts w:ascii="Arial" w:cs="Arial" w:eastAsia="Arial" w:hAnsi="Arial"/>
          <w:sz w:val="18"/>
          <w:szCs w:val="18"/>
          <w:color w:val="auto"/>
        </w:rPr>
        <w:t xml:space="preserve"> </w:t>
      </w:r>
      <w:hyperlink r:id="rId21">
        <w:r>
          <w:rPr>
            <w:rFonts w:ascii="Arial" w:cs="Arial" w:eastAsia="Arial" w:hAnsi="Arial"/>
            <w:sz w:val="18"/>
            <w:szCs w:val="18"/>
            <w:color w:val="auto"/>
          </w:rPr>
          <w:t>10-K for the year ended September 30, 2021, we reported that we had $ 602.6 million in total contractual obligations as of September 30,</w:t>
        </w:r>
      </w:hyperlink>
      <w:r>
        <w:rPr>
          <w:rFonts w:ascii="Arial" w:cs="Arial" w:eastAsia="Arial" w:hAnsi="Arial"/>
          <w:sz w:val="18"/>
          <w:szCs w:val="18"/>
          <w:color w:val="auto"/>
        </w:rPr>
        <w:t xml:space="preserve"> 2021. There have been no material changes to this total obligation since September 30, 2021, other than changes as the result of adoption of accounting standards as further discussed in Note 1: Organization And Summary Of Significant Accounting Policies of Notes to Interim Condensed Consolidated Financial Statements included in "Part I, Item 1 — Financial Statements."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2021, these collectively amounted to $25.5 million.</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Recently Adopted Accounting Policies and Recently Issued Accounting Pronouncements</w:t>
      </w:r>
    </w:p>
    <w:p>
      <w:pPr>
        <w:spacing w:after="0" w:line="18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August 2020, the FASB issued its Accounting Standards Update (“ASU”) 2020-06, </w:t>
      </w:r>
      <w:r>
        <w:rPr>
          <w:rFonts w:ascii="Arial" w:cs="Arial" w:eastAsia="Arial" w:hAnsi="Arial"/>
          <w:sz w:val="18"/>
          <w:szCs w:val="18"/>
          <w:i w:val="1"/>
          <w:iCs w:val="1"/>
          <w:color w:val="auto"/>
        </w:rPr>
        <w:t>Debt – Debt with Conversion and Other Options</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470-20) and Derivatives and Hedging – Contracts in Entity’s Own Equity (Subtopic 815 – 40)</w:t>
      </w:r>
      <w:r>
        <w:rPr>
          <w:rFonts w:ascii="Arial" w:cs="Arial" w:eastAsia="Arial" w:hAnsi="Arial"/>
          <w:sz w:val="18"/>
          <w:szCs w:val="18"/>
          <w:color w:val="auto"/>
        </w:rPr>
        <w:t>, (“ASU 2020-06”). ASU 2020-06</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simplifies the accounting for certain financial instruments with characteristics of liabilities and equity, including convertible instruments and contracts on an entity’s own equity. Additionally, ASU 2020-06 eliminates beneficial conversion feature and cash conversion models resulting in more convertible instruments being accounted for as a single unit. We early adopted this standard on October 1, 2021 under the modified retrospective basis. The effect of eliminating our debt discount on the 2024 and 2025 Convertible Notes will decrease non-cash interest expense amortization on our Condensed Consolidated Statement of Operations, and the reduction of interest expense will affect our basic earnings per common share. When calculating net income per share of common stock attributable to common shareholders, the Company uses the if-converted method as required under ASU 2020-06 to determine the dilutive effect of the Convertible Notes. The Company did not incur any impact to liquidity or cash flows with recently adopted accounting policy.</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Cautionary Statement Regarding Risks and Uncertainties that May Affect Future Results</w:t>
      </w:r>
    </w:p>
    <w:p>
      <w:pPr>
        <w:spacing w:after="0" w:line="201" w:lineRule="exact"/>
        <w:rPr>
          <w:sz w:val="20"/>
          <w:szCs w:val="20"/>
          <w:color w:val="auto"/>
        </w:rPr>
      </w:pPr>
    </w:p>
    <w:p>
      <w:pPr>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w:t>
      </w:r>
      <w:hyperlink r:id="rId21">
        <w:r>
          <w:rPr>
            <w:rFonts w:ascii="Arial" w:cs="Arial" w:eastAsia="Arial" w:hAnsi="Arial"/>
            <w:sz w:val="18"/>
            <w:szCs w:val="18"/>
            <w:color w:val="auto"/>
          </w:rPr>
          <w:t>achieved. Important risk factors that could cause results or events to differ from current expectations are identified and described in "Part I,</w:t>
        </w:r>
      </w:hyperlink>
      <w:r>
        <w:rPr>
          <w:rFonts w:ascii="Arial" w:cs="Arial" w:eastAsia="Arial" w:hAnsi="Arial"/>
          <w:sz w:val="18"/>
          <w:szCs w:val="18"/>
          <w:color w:val="auto"/>
        </w:rPr>
        <w:t xml:space="preserve"> </w:t>
      </w:r>
      <w:hyperlink r:id="rId21">
        <w:r>
          <w:rPr>
            <w:rFonts w:ascii="Arial" w:cs="Arial" w:eastAsia="Arial" w:hAnsi="Arial"/>
            <w:sz w:val="18"/>
            <w:szCs w:val="18"/>
            <w:color w:val="auto"/>
          </w:rPr>
          <w:t xml:space="preserve">Item 1A — Risk Factors" of our Annual Report on Form 10-K for the year ended September 30, 2021 and "Part II, Item 1A — Risk Factors" </w:t>
        </w:r>
      </w:hyperlink>
      <w:r>
        <w:rPr>
          <w:rFonts w:ascii="Arial" w:cs="Arial" w:eastAsia="Arial" w:hAnsi="Arial"/>
          <w:sz w:val="18"/>
          <w:szCs w:val="18"/>
          <w:color w:val="auto"/>
        </w:rPr>
        <w:t>of this Report.</w:t>
      </w:r>
    </w:p>
    <w:p>
      <w:pPr>
        <w:spacing w:after="0" w:line="15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3. QUANTITATIVE AND QUALITATIVE DISCLOSURES ABOUT MARKET RISK</w:t>
      </w:r>
    </w:p>
    <w:p>
      <w:pPr>
        <w:spacing w:after="0" w:line="20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2021. With the exception of the impacts of COVID-19, which are discussed elsewhere in this Report, there have been no material changes in our reported market risks or risk management policies since the filing of our Annual Report on Form 10-K for the year ended September 30, 2021.</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4. CONTROLS AND PROCEDURES</w:t>
      </w:r>
    </w:p>
    <w:p>
      <w:pPr>
        <w:spacing w:after="0" w:line="20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51"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Under the supervision and with the participation of our Chief Executive Officer and Chief Financial Officer, our management evaluated the effectiveness of the design and operation of our disclosure controls and procedures as of June 30, 2022. Our principal executive officer and</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principal financial officer have concluded that as of June 30, 2022, our disclosure controls and procedures were effective to provide reasonable assurance that information required to be disclosed in our reports under the Exchange Act is recorded, processed, summarized, and reported within the time periods specified in the SEC rules and forms and that such information is accumulated and communicated to management as appropriate to allow timely decisions regarding required disclosure.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2022 that have materially affected, or are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Internal Controls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or our internal controls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all control issues and instances of fraud, if any, within the Company have been detected.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associated policies or procedures. Because of the inherent limitations in a cost-effective control system, misstatements due to error or fraud may occur and not be detected.</w:t>
      </w:r>
    </w:p>
    <w:p>
      <w:pPr>
        <w:spacing w:after="0" w:line="128" w:lineRule="exact"/>
        <w:rPr>
          <w:sz w:val="20"/>
          <w:szCs w:val="20"/>
          <w:color w:val="auto"/>
        </w:rPr>
      </w:pPr>
    </w:p>
    <w:p>
      <w:pPr>
        <w:ind w:right="3480" w:firstLine="3627"/>
        <w:spacing w:after="0" w:line="395" w:lineRule="auto"/>
        <w:rPr>
          <w:sz w:val="20"/>
          <w:szCs w:val="20"/>
          <w:color w:val="auto"/>
        </w:rPr>
      </w:pPr>
      <w:r>
        <w:rPr>
          <w:rFonts w:ascii="Arial" w:cs="Arial" w:eastAsia="Arial" w:hAnsi="Arial"/>
          <w:sz w:val="25"/>
          <w:szCs w:val="25"/>
          <w:b w:val="1"/>
          <w:bCs w:val="1"/>
          <w:color w:val="00497F"/>
        </w:rPr>
        <w:t>PART II — OTHER INFORMATION ITEM 1. LEGAL PROCEEDINGS</w:t>
      </w:r>
    </w:p>
    <w:p>
      <w:pPr>
        <w:spacing w:after="0" w:line="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See Note 10: Contingencies of Notes to Interim Condensed Consolidated Financial Statements included in "Part I, Item 1 —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1A. RISK FACTORS</w:t>
      </w:r>
    </w:p>
    <w:p>
      <w:pPr>
        <w:spacing w:after="0" w:line="201" w:lineRule="exact"/>
        <w:rPr>
          <w:sz w:val="20"/>
          <w:szCs w:val="20"/>
          <w:color w:val="auto"/>
        </w:rPr>
      </w:pPr>
    </w:p>
    <w:p>
      <w:pPr>
        <w:spacing w:after="0" w:line="291" w:lineRule="auto"/>
        <w:rPr>
          <w:rFonts w:ascii="Arial" w:cs="Arial" w:eastAsia="Arial" w:hAnsi="Arial"/>
          <w:sz w:val="17"/>
          <w:szCs w:val="17"/>
          <w:color w:val="auto"/>
        </w:rPr>
      </w:pPr>
      <w:r>
        <w:rPr>
          <w:rFonts w:ascii="Arial" w:cs="Arial" w:eastAsia="Arial" w:hAnsi="Arial"/>
          <w:sz w:val="17"/>
          <w:szCs w:val="17"/>
          <w:color w:val="auto"/>
        </w:rPr>
        <w:t xml:space="preserve">Important risk factors that could affect our operations and financial performance, or that could cause results or events to differ from current expectations, are described in </w:t>
      </w:r>
      <w:hyperlink r:id="rId21">
        <w:r>
          <w:rPr>
            <w:rFonts w:ascii="Arial" w:cs="Arial" w:eastAsia="Arial" w:hAnsi="Arial"/>
            <w:sz w:val="17"/>
            <w:szCs w:val="17"/>
            <w:color w:val="auto"/>
          </w:rPr>
          <w:t xml:space="preserve">"Part I, Item 1A — Risk Factors" of our Annual Report on Form 10-K for the year ended September 30, </w:t>
        </w:r>
      </w:hyperlink>
      <w:r>
        <w:rPr>
          <w:rFonts w:ascii="Arial" w:cs="Arial" w:eastAsia="Arial" w:hAnsi="Arial"/>
          <w:sz w:val="17"/>
          <w:szCs w:val="17"/>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 w:right="47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6. EXHIBITS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194"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23495</wp:posOffset>
            </wp:positionV>
            <wp:extent cx="27260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6" w:lineRule="exact"/>
        <w:rPr>
          <w:sz w:val="20"/>
          <w:szCs w:val="20"/>
          <w:color w:val="auto"/>
        </w:rPr>
      </w:pPr>
    </w:p>
    <w:p>
      <w:pPr>
        <w:ind w:left="120"/>
        <w:spacing w:after="0"/>
        <w:tabs>
          <w:tab w:leader="none" w:pos="6000" w:val="left"/>
          <w:tab w:leader="none" w:pos="6780" w:val="left"/>
          <w:tab w:leader="none" w:pos="7780" w:val="left"/>
          <w:tab w:leader="none" w:pos="8900" w:val="left"/>
        </w:tabs>
        <w:rPr>
          <w:sz w:val="20"/>
          <w:szCs w:val="20"/>
          <w:color w:val="auto"/>
        </w:rPr>
      </w:pPr>
      <w:r>
        <w:rPr>
          <w:rFonts w:ascii="Arial" w:cs="Arial" w:eastAsia="Arial" w:hAnsi="Arial"/>
          <w:sz w:val="16"/>
          <w:szCs w:val="16"/>
          <w:b w:val="1"/>
          <w:bCs w:val="1"/>
          <w:color w:val="auto"/>
        </w:rPr>
        <w:t>Exhibit  Description of Exhibit</w:t>
      </w:r>
      <w:r>
        <w:rPr>
          <w:sz w:val="20"/>
          <w:szCs w:val="20"/>
          <w:color w:val="auto"/>
        </w:rPr>
        <w:tab/>
      </w: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File No.</w:t>
      </w:r>
      <w:r>
        <w:rPr>
          <w:sz w:val="20"/>
          <w:szCs w:val="20"/>
          <w:color w:val="auto"/>
        </w:rPr>
        <w:tab/>
      </w: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6"/>
          <w:szCs w:val="16"/>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64719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471920" cy="8255"/>
                    </a:xfrm>
                    <a:prstGeom prst="rect">
                      <a:avLst/>
                    </a:prstGeom>
                    <a:noFill/>
                  </pic:spPr>
                </pic:pic>
              </a:graphicData>
            </a:graphic>
          </wp:anchor>
        </w:drawing>
      </w:r>
    </w:p>
    <w:p>
      <w:pPr>
        <w:spacing w:after="0" w:line="64" w:lineRule="exact"/>
        <w:rPr>
          <w:sz w:val="20"/>
          <w:szCs w:val="20"/>
          <w:color w:val="auto"/>
        </w:rPr>
      </w:pPr>
    </w:p>
    <w:p>
      <w:pPr>
        <w:ind w:left="24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31.1</w:t>
      </w:r>
      <w:r>
        <w:rPr>
          <w:sz w:val="20"/>
          <w:szCs w:val="20"/>
          <w:color w:val="auto"/>
        </w:rPr>
        <w:tab/>
      </w:r>
      <w:hyperlink w:anchor="page41">
        <w:r>
          <w:rPr>
            <w:rFonts w:ascii="Arial" w:cs="Arial" w:eastAsia="Arial" w:hAnsi="Arial"/>
            <w:sz w:val="16"/>
            <w:szCs w:val="16"/>
            <w:u w:val="single" w:color="auto"/>
            <w:color w:val="0000FF"/>
          </w:rPr>
          <w:t>Certification of Principal Executive Officer, pursuant to Rule 13a-</w:t>
        </w:r>
      </w:hyperlink>
    </w:p>
    <w:p>
      <w:pPr>
        <w:ind w:left="800"/>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14(a) under the Securities Exchange Act of 1934</w:t>
        </w:r>
      </w:hyperlink>
    </w:p>
    <w:p>
      <w:pPr>
        <w:spacing w:after="0" w:line="10" w:lineRule="exact"/>
        <w:rPr>
          <w:sz w:val="20"/>
          <w:szCs w:val="20"/>
          <w:color w:val="auto"/>
        </w:rPr>
      </w:pPr>
    </w:p>
    <w:p>
      <w:pPr>
        <w:ind w:left="24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31.2</w:t>
      </w:r>
      <w:r>
        <w:rPr>
          <w:sz w:val="20"/>
          <w:szCs w:val="20"/>
          <w:color w:val="auto"/>
        </w:rPr>
        <w:tab/>
      </w:r>
      <w:hyperlink w:anchor="page42">
        <w:r>
          <w:rPr>
            <w:rFonts w:ascii="Arial" w:cs="Arial" w:eastAsia="Arial" w:hAnsi="Arial"/>
            <w:sz w:val="16"/>
            <w:szCs w:val="16"/>
            <w:u w:val="single" w:color="auto"/>
            <w:color w:val="0000FF"/>
          </w:rPr>
          <w:t>Certification of Principal Financial Officer, pursuant to Rule 13a-14(a)</w:t>
        </w:r>
      </w:hyperlink>
    </w:p>
    <w:p>
      <w:pPr>
        <w:ind w:left="800"/>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under the Securities Exchange Act of 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2" w:lineRule="exact"/>
        <w:rPr>
          <w:sz w:val="20"/>
          <w:szCs w:val="20"/>
          <w:color w:val="auto"/>
        </w:rPr>
      </w:pPr>
    </w:p>
    <w:p>
      <w:pPr>
        <w:ind w:left="800" w:right="4240" w:hanging="604"/>
        <w:spacing w:after="0" w:line="232" w:lineRule="auto"/>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32.1†</w:t>
      </w:r>
      <w:r>
        <w:rPr>
          <w:sz w:val="20"/>
          <w:szCs w:val="20"/>
          <w:color w:val="auto"/>
        </w:rPr>
        <w:tab/>
      </w:r>
      <w:hyperlink w:anchor="page43">
        <w:r>
          <w:rPr>
            <w:rFonts w:ascii="Arial" w:cs="Arial" w:eastAsia="Arial" w:hAnsi="Arial"/>
            <w:sz w:val="16"/>
            <w:szCs w:val="16"/>
            <w:u w:val="single" w:color="auto"/>
            <w:color w:val="0000FF"/>
          </w:rPr>
          <w:t>Certifications of Principal Executive Officer and Principal Financial</w:t>
        </w:r>
      </w:hyperlink>
      <w:r>
        <w:rPr>
          <w:rFonts w:ascii="Arial" w:cs="Arial" w:eastAsia="Arial" w:hAnsi="Arial"/>
          <w:sz w:val="16"/>
          <w:szCs w:val="16"/>
          <w:u w:val="single" w:color="auto"/>
          <w:color w:val="0000FF"/>
        </w:rPr>
        <w:t xml:space="preserve"> </w:t>
      </w:r>
      <w:hyperlink w:anchor="page43">
        <w:r>
          <w:rPr>
            <w:rFonts w:ascii="Arial" w:cs="Arial" w:eastAsia="Arial" w:hAnsi="Arial"/>
            <w:sz w:val="16"/>
            <w:szCs w:val="16"/>
            <w:u w:val="single" w:color="auto"/>
            <w:color w:val="0000FF"/>
          </w:rPr>
          <w:t>Officer, pursuant to 18 U.S.C. Section 1350</w:t>
        </w:r>
      </w:hyperlink>
    </w:p>
    <w:p>
      <w:pPr>
        <w:spacing w:after="0" w:line="22" w:lineRule="exact"/>
        <w:rPr>
          <w:sz w:val="20"/>
          <w:szCs w:val="20"/>
          <w:color w:val="auto"/>
        </w:rPr>
      </w:pPr>
    </w:p>
    <w:p>
      <w:pPr>
        <w:ind w:left="800" w:right="4280" w:hanging="694"/>
        <w:spacing w:after="0" w:line="225" w:lineRule="auto"/>
        <w:rPr>
          <w:sz w:val="20"/>
          <w:szCs w:val="20"/>
          <w:color w:val="auto"/>
        </w:rPr>
      </w:pPr>
      <w:r>
        <w:rPr>
          <w:rFonts w:ascii="Arial" w:cs="Arial" w:eastAsia="Arial" w:hAnsi="Arial"/>
          <w:sz w:val="16"/>
          <w:szCs w:val="16"/>
          <w:color w:val="auto"/>
        </w:rPr>
        <w:t>101.INS Inline XBRL Instance Document (the instance document does not appear in the interactive data files because the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101.SCH Inline XBRL Taxonomy Extension Schema Document</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101.CAL 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101.DEF Inline XBRL Taxonomy Extension Definition Linkbase Document</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101.LAB Inline XBRL Taxonomy Extension Labels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101.PRE Inline XBRL Taxonomy Extension Presentation Linkbase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Filed</w:t>
      </w:r>
    </w:p>
    <w:p>
      <w:pPr>
        <w:jc w:val="center"/>
        <w:spacing w:after="0"/>
        <w:rPr>
          <w:sz w:val="20"/>
          <w:szCs w:val="20"/>
          <w:color w:val="auto"/>
        </w:rPr>
      </w:pPr>
      <w:r>
        <w:rPr>
          <w:rFonts w:ascii="Arial" w:cs="Arial" w:eastAsia="Arial" w:hAnsi="Arial"/>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10795</wp:posOffset>
            </wp:positionV>
            <wp:extent cx="5740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sectPr>
          <w:pgSz w:w="11900" w:h="16838" w:orient="portrait"/>
          <w:cols w:equalWidth="0" w:num="2">
            <w:col w:w="9760" w:space="680"/>
            <w:col w:w="680"/>
          </w:cols>
          <w:pgMar w:left="320" w:top="144" w:right="459" w:bottom="1440" w:gutter="0" w:footer="0" w:header="0"/>
        </w:sectPr>
      </w:pPr>
    </w:p>
    <w:p>
      <w:pPr>
        <w:ind w:left="800" w:right="5440" w:hanging="542"/>
        <w:spacing w:after="0" w:line="232" w:lineRule="auto"/>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Cover Page Interactive Data File in Inline XBRL format (contained in Exhibit 101)</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17" w:lineRule="exact"/>
        <w:rPr>
          <w:sz w:val="20"/>
          <w:szCs w:val="20"/>
          <w:color w:val="auto"/>
        </w:rPr>
      </w:pPr>
    </w:p>
    <w:p>
      <w:pPr>
        <w:ind w:left="800" w:right="180" w:hanging="774"/>
        <w:spacing w:after="0" w:line="219" w:lineRule="auto"/>
        <w:tabs>
          <w:tab w:leader="none" w:pos="800" w:val="left"/>
        </w:tabs>
        <w:numPr>
          <w:ilvl w:val="0"/>
          <w:numId w:val="22"/>
        </w:numPr>
        <w:rPr>
          <w:rFonts w:ascii="Arial" w:cs="Arial" w:eastAsia="Arial" w:hAnsi="Arial"/>
          <w:sz w:val="16"/>
          <w:szCs w:val="16"/>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 w:right="45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EZCORP, INC.</w:t>
      </w:r>
    </w:p>
    <w:p>
      <w:pPr>
        <w:spacing w:after="0" w:line="293" w:lineRule="exact"/>
        <w:rPr>
          <w:sz w:val="20"/>
          <w:szCs w:val="20"/>
          <w:color w:val="auto"/>
        </w:rPr>
      </w:pPr>
    </w:p>
    <w:p>
      <w:pPr>
        <w:ind w:left="160"/>
        <w:spacing w:after="0"/>
        <w:tabs>
          <w:tab w:leader="none" w:pos="5940" w:val="left"/>
        </w:tabs>
        <w:rPr>
          <w:sz w:val="20"/>
          <w:szCs w:val="20"/>
          <w:color w:val="auto"/>
        </w:rPr>
      </w:pPr>
      <w:r>
        <w:rPr>
          <w:rFonts w:ascii="Arial" w:cs="Arial" w:eastAsia="Arial" w:hAnsi="Arial"/>
          <w:sz w:val="18"/>
          <w:szCs w:val="18"/>
          <w:color w:val="auto"/>
        </w:rPr>
        <w:t>Date: August 3, 2022</w:t>
      </w:r>
      <w:r>
        <w:rPr>
          <w:sz w:val="20"/>
          <w:szCs w:val="20"/>
          <w:color w:val="auto"/>
        </w:rPr>
        <w:tab/>
      </w:r>
      <w:r>
        <w:rPr>
          <w:rFonts w:ascii="Arial" w:cs="Arial" w:eastAsia="Arial" w:hAnsi="Arial"/>
          <w:sz w:val="17"/>
          <w:szCs w:val="17"/>
          <w:color w:val="auto"/>
        </w:rPr>
        <w:t>/s/Timothy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6350</wp:posOffset>
            </wp:positionV>
            <wp:extent cx="33343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Timothy K. Jugmans,</w:t>
      </w:r>
    </w:p>
    <w:p>
      <w:pPr>
        <w:ind w:left="59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144" w:right="4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Lachlan P. Given, Chief Executive Officer,</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Lachlan P. Given, certify that:</w:t>
      </w:r>
    </w:p>
    <w:p>
      <w:pPr>
        <w:spacing w:after="0" w:line="6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2022</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004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Lachlan P. Given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Timothy K. Jugmans, Chief Financial Officer,</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Timothy K. Jugmans, certify that:</w:t>
      </w:r>
    </w:p>
    <w:p>
      <w:pPr>
        <w:spacing w:after="0" w:line="6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2022</w:t>
      </w:r>
    </w:p>
    <w:p>
      <w:pPr>
        <w:spacing w:after="0" w:line="200" w:lineRule="exact"/>
        <w:rPr>
          <w:sz w:val="20"/>
          <w:szCs w:val="20"/>
          <w:color w:val="auto"/>
        </w:rPr>
      </w:pP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14605</wp:posOffset>
            </wp:positionV>
            <wp:extent cx="36258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Timothy K. Jugmans</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Lachlan P. Given, Chief Executive Officer, and Timothy K. Jugmans, Chief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undersigned officers of EZCORP, Inc. hereby certify that (a) EZCORP’s Quarterly Report on Form 10-Q for the quarter ended June 30, 2022,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3, 2022</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Lachlan P. Given</w:t>
            </w:r>
          </w:p>
        </w:tc>
      </w:tr>
      <w:tr>
        <w:trPr>
          <w:trHeight w:val="222"/>
        </w:trPr>
        <w:tc>
          <w:tcPr>
            <w:tcW w:w="550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Lachlan P. Given</w:t>
            </w:r>
          </w:p>
        </w:tc>
      </w:tr>
      <w:tr>
        <w:trPr>
          <w:trHeight w:val="230"/>
        </w:trPr>
        <w:tc>
          <w:tcPr>
            <w:tcW w:w="55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769"/>
        </w:trPr>
        <w:tc>
          <w:tcPr>
            <w:tcW w:w="5500" w:type="dxa"/>
            <w:vAlign w:val="bottom"/>
          </w:tcPr>
          <w:p>
            <w:pPr>
              <w:ind w:left="60"/>
              <w:spacing w:after="0"/>
              <w:rPr>
                <w:sz w:val="20"/>
                <w:szCs w:val="20"/>
                <w:color w:val="auto"/>
              </w:rPr>
            </w:pPr>
            <w:r>
              <w:rPr>
                <w:rFonts w:ascii="Arial" w:cs="Arial" w:eastAsia="Arial" w:hAnsi="Arial"/>
                <w:sz w:val="18"/>
                <w:szCs w:val="18"/>
                <w:color w:val="auto"/>
              </w:rPr>
              <w:t>Date: August 3, 2022</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K. Jugmans</w:t>
            </w:r>
          </w:p>
        </w:tc>
      </w:tr>
      <w:tr>
        <w:trPr>
          <w:trHeight w:val="222"/>
        </w:trPr>
        <w:tc>
          <w:tcPr>
            <w:tcW w:w="550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Timothy K. Jugmans</w:t>
            </w:r>
          </w:p>
        </w:tc>
      </w:tr>
      <w:tr>
        <w:trPr>
          <w:trHeight w:val="230"/>
        </w:trPr>
        <w:tc>
          <w:tcPr>
            <w:tcW w:w="55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04"/>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21" Type="http://schemas.openxmlformats.org/officeDocument/2006/relationships/hyperlink" Target="http://www.sec.gov/ix?doc=/Archives/edgar/data/876523/000087652321000068/ezpw-2021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2022-08-03T15:44:30Z</dcterms:created>
  <dcterms:modified xsi:type="dcterms:W3CDTF">2022-08-03T15:44:30Z</dcterms:modified>
</cp:coreProperties>
</file>