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63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630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2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ROTUNDA JOSEPH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1901 CAPITAL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10/02/2006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Exectuive Officer</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823"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6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Line)</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840" w:type="dxa"/>
            <w:vAlign w:val="bottom"/>
          </w:tcPr>
          <w:p>
            <w:pPr>
              <w:ind w:left="60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78746</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8"/>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3"/>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jc w:val="center"/>
              <w:ind w:left="58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Class A Non-Voting Common Stock</w:t>
            </w:r>
          </w:p>
        </w:tc>
        <w:tc>
          <w:tcPr>
            <w:tcW w:w="1680" w:type="dxa"/>
            <w:vAlign w:val="bottom"/>
            <w:tcBorders>
              <w:bottom w:val="single" w:sz="8" w:color="2C2C2C"/>
            </w:tcBorders>
            <w:gridSpan w:val="2"/>
          </w:tcPr>
          <w:p>
            <w:pPr>
              <w:jc w:val="center"/>
              <w:ind w:left="606"/>
              <w:spacing w:after="0"/>
              <w:rPr>
                <w:sz w:val="20"/>
                <w:szCs w:val="20"/>
                <w:color w:val="auto"/>
              </w:rPr>
            </w:pPr>
            <w:r>
              <w:rPr>
                <w:rFonts w:ascii="Arial" w:cs="Arial" w:eastAsia="Arial" w:hAnsi="Arial"/>
                <w:sz w:val="18"/>
                <w:szCs w:val="18"/>
                <w:color w:val="0000FF"/>
                <w:w w:val="88"/>
              </w:rPr>
              <w:t>10/02/2006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4"/>
              </w:rPr>
              <w:t>315,000</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380" w:type="dxa"/>
            <w:vAlign w:val="bottom"/>
            <w:tcBorders>
              <w:bottom w:val="single" w:sz="8" w:color="2C2C2C"/>
            </w:tcBorders>
          </w:tcPr>
          <w:p>
            <w:pPr>
              <w:jc w:val="center"/>
              <w:ind w:left="145"/>
              <w:spacing w:after="0"/>
              <w:rPr>
                <w:sz w:val="20"/>
                <w:szCs w:val="20"/>
                <w:color w:val="auto"/>
              </w:rPr>
            </w:pPr>
            <w:r>
              <w:rPr>
                <w:rFonts w:ascii="Arial" w:cs="Arial" w:eastAsia="Arial" w:hAnsi="Arial"/>
                <w:sz w:val="11"/>
                <w:szCs w:val="11"/>
                <w:color w:val="008000"/>
                <w:w w:val="88"/>
              </w:rPr>
              <w:t>(2)</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652,411</w:t>
            </w:r>
          </w:p>
        </w:tc>
        <w:tc>
          <w:tcPr>
            <w:tcW w:w="940" w:type="dxa"/>
            <w:vAlign w:val="bottom"/>
            <w:tcBorders>
              <w:bottom w:val="single" w:sz="8" w:color="2C2C2C"/>
            </w:tcBorders>
          </w:tcPr>
          <w:p>
            <w:pPr>
              <w:jc w:val="center"/>
              <w:ind w:right="1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w w:val="94"/>
              </w:rPr>
              <w:t>EZCORP,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w w:val="89"/>
              </w:rPr>
              <w:t>Class A Non-Voting Common Stock</w:t>
            </w:r>
          </w:p>
        </w:tc>
        <w:tc>
          <w:tcPr>
            <w:tcW w:w="1680" w:type="dxa"/>
            <w:vAlign w:val="bottom"/>
            <w:gridSpan w:val="2"/>
          </w:tcPr>
          <w:p>
            <w:pPr>
              <w:jc w:val="center"/>
              <w:ind w:left="606"/>
              <w:spacing w:after="0"/>
              <w:rPr>
                <w:sz w:val="20"/>
                <w:szCs w:val="20"/>
                <w:color w:val="auto"/>
              </w:rPr>
            </w:pPr>
            <w:r>
              <w:rPr>
                <w:rFonts w:ascii="Arial" w:cs="Arial" w:eastAsia="Arial" w:hAnsi="Arial"/>
                <w:sz w:val="18"/>
                <w:szCs w:val="18"/>
                <w:color w:val="0000FF"/>
                <w:w w:val="88"/>
              </w:rPr>
              <w:t>03/10/2006</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740" w:type="dxa"/>
            <w:vAlign w:val="bottom"/>
          </w:tcPr>
          <w:p>
            <w:pPr>
              <w:jc w:val="center"/>
              <w:ind w:left="86"/>
              <w:spacing w:after="0"/>
              <w:rPr>
                <w:sz w:val="20"/>
                <w:szCs w:val="20"/>
                <w:color w:val="auto"/>
              </w:rPr>
            </w:pPr>
            <w:r>
              <w:rPr>
                <w:rFonts w:ascii="Arial" w:cs="Arial" w:eastAsia="Arial" w:hAnsi="Arial"/>
                <w:sz w:val="18"/>
                <w:szCs w:val="18"/>
                <w:color w:val="0000FF"/>
                <w:w w:val="84"/>
              </w:rPr>
              <w:t>0.669</w:t>
            </w:r>
          </w:p>
        </w:tc>
        <w:tc>
          <w:tcPr>
            <w:tcW w:w="3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25.42</w:t>
            </w: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496.425</w:t>
            </w:r>
            <w:r>
              <w:rPr>
                <w:rFonts w:ascii="Arial" w:cs="Arial" w:eastAsia="Arial" w:hAnsi="Arial"/>
                <w:sz w:val="22"/>
                <w:szCs w:val="22"/>
                <w:color w:val="008000"/>
                <w:w w:val="84"/>
                <w:vertAlign w:val="superscript"/>
              </w:rPr>
              <w:t>(3)</w:t>
            </w:r>
          </w:p>
        </w:tc>
        <w:tc>
          <w:tcPr>
            <w:tcW w:w="940" w:type="dxa"/>
            <w:vAlign w:val="bottom"/>
          </w:tcPr>
          <w:p>
            <w:pPr>
              <w:jc w:val="center"/>
              <w:ind w:right="1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w w:val="94"/>
              </w:rPr>
              <w:t>EZCORP,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w w:val="89"/>
              </w:rPr>
              <w:t>Class A Non-Voting Common Stock</w:t>
            </w:r>
          </w:p>
        </w:tc>
        <w:tc>
          <w:tcPr>
            <w:tcW w:w="1680" w:type="dxa"/>
            <w:vAlign w:val="bottom"/>
            <w:gridSpan w:val="2"/>
          </w:tcPr>
          <w:p>
            <w:pPr>
              <w:jc w:val="center"/>
              <w:ind w:left="606"/>
              <w:spacing w:after="0"/>
              <w:rPr>
                <w:sz w:val="20"/>
                <w:szCs w:val="20"/>
                <w:color w:val="auto"/>
              </w:rPr>
            </w:pPr>
            <w:r>
              <w:rPr>
                <w:rFonts w:ascii="Arial" w:cs="Arial" w:eastAsia="Arial" w:hAnsi="Arial"/>
                <w:sz w:val="18"/>
                <w:szCs w:val="18"/>
                <w:color w:val="0000FF"/>
                <w:w w:val="88"/>
              </w:rPr>
              <w:t>03/10/2006</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740" w:type="dxa"/>
            <w:vAlign w:val="bottom"/>
          </w:tcPr>
          <w:p>
            <w:pPr>
              <w:jc w:val="center"/>
              <w:ind w:left="66"/>
              <w:spacing w:after="0"/>
              <w:rPr>
                <w:sz w:val="20"/>
                <w:szCs w:val="20"/>
                <w:color w:val="auto"/>
              </w:rPr>
            </w:pPr>
            <w:r>
              <w:rPr>
                <w:rFonts w:ascii="Arial" w:cs="Arial" w:eastAsia="Arial" w:hAnsi="Arial"/>
                <w:sz w:val="18"/>
                <w:szCs w:val="18"/>
                <w:color w:val="0000FF"/>
                <w:w w:val="87"/>
              </w:rPr>
              <w:t>12.345</w:t>
            </w:r>
          </w:p>
        </w:tc>
        <w:tc>
          <w:tcPr>
            <w:tcW w:w="3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0000FF"/>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25.42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484.08</w:t>
            </w:r>
          </w:p>
        </w:tc>
        <w:tc>
          <w:tcPr>
            <w:tcW w:w="940" w:type="dxa"/>
            <w:vAlign w:val="bottom"/>
          </w:tcPr>
          <w:p>
            <w:pPr>
              <w:jc w:val="center"/>
              <w:ind w:right="1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w w:val="94"/>
              </w:rPr>
              <w:t>EZCORP,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w w:val="89"/>
              </w:rPr>
              <w:t>Class A Non-Voting Common Stock</w:t>
            </w:r>
          </w:p>
        </w:tc>
        <w:tc>
          <w:tcPr>
            <w:tcW w:w="1680" w:type="dxa"/>
            <w:vAlign w:val="bottom"/>
            <w:gridSpan w:val="2"/>
          </w:tcPr>
          <w:p>
            <w:pPr>
              <w:jc w:val="center"/>
              <w:ind w:left="586"/>
              <w:spacing w:after="0"/>
              <w:rPr>
                <w:sz w:val="20"/>
                <w:szCs w:val="20"/>
                <w:color w:val="auto"/>
              </w:rPr>
            </w:pPr>
            <w:r>
              <w:rPr>
                <w:rFonts w:ascii="Arial" w:cs="Arial" w:eastAsia="Arial" w:hAnsi="Arial"/>
                <w:sz w:val="18"/>
                <w:szCs w:val="18"/>
                <w:color w:val="0000FF"/>
                <w:w w:val="86"/>
              </w:rPr>
              <w:t>05/11/2006</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740" w:type="dxa"/>
            <w:vAlign w:val="bottom"/>
          </w:tcPr>
          <w:p>
            <w:pPr>
              <w:jc w:val="center"/>
              <w:ind w:left="66"/>
              <w:spacing w:after="0"/>
              <w:rPr>
                <w:sz w:val="20"/>
                <w:szCs w:val="20"/>
                <w:color w:val="auto"/>
              </w:rPr>
            </w:pPr>
            <w:r>
              <w:rPr>
                <w:rFonts w:ascii="Arial" w:cs="Arial" w:eastAsia="Arial" w:hAnsi="Arial"/>
                <w:sz w:val="18"/>
                <w:szCs w:val="18"/>
                <w:color w:val="0000FF"/>
                <w:w w:val="87"/>
              </w:rPr>
              <w:t>14.984</w:t>
            </w:r>
          </w:p>
        </w:tc>
        <w:tc>
          <w:tcPr>
            <w:tcW w:w="3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31.95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499.064</w:t>
            </w:r>
          </w:p>
        </w:tc>
        <w:tc>
          <w:tcPr>
            <w:tcW w:w="940" w:type="dxa"/>
            <w:vAlign w:val="bottom"/>
          </w:tcPr>
          <w:p>
            <w:pPr>
              <w:jc w:val="center"/>
              <w:ind w:right="1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w w:val="94"/>
              </w:rPr>
              <w:t>EZCORP,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w w:val="89"/>
              </w:rPr>
              <w:t>Class A Non-Voting Common Stock</w:t>
            </w:r>
          </w:p>
        </w:tc>
        <w:tc>
          <w:tcPr>
            <w:tcW w:w="1680" w:type="dxa"/>
            <w:vAlign w:val="bottom"/>
            <w:gridSpan w:val="2"/>
          </w:tcPr>
          <w:p>
            <w:pPr>
              <w:jc w:val="center"/>
              <w:ind w:left="606"/>
              <w:spacing w:after="0"/>
              <w:rPr>
                <w:sz w:val="20"/>
                <w:szCs w:val="20"/>
                <w:color w:val="auto"/>
              </w:rPr>
            </w:pPr>
            <w:r>
              <w:rPr>
                <w:rFonts w:ascii="Arial" w:cs="Arial" w:eastAsia="Arial" w:hAnsi="Arial"/>
                <w:sz w:val="18"/>
                <w:szCs w:val="18"/>
                <w:color w:val="0000FF"/>
                <w:w w:val="88"/>
              </w:rPr>
              <w:t>05/15/2006</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J</w:t>
            </w:r>
          </w:p>
        </w:tc>
        <w:tc>
          <w:tcPr>
            <w:tcW w:w="740" w:type="dxa"/>
            <w:vAlign w:val="bottom"/>
          </w:tcPr>
          <w:p>
            <w:pPr>
              <w:jc w:val="center"/>
              <w:ind w:left="66"/>
              <w:spacing w:after="0"/>
              <w:rPr>
                <w:sz w:val="20"/>
                <w:szCs w:val="20"/>
                <w:color w:val="auto"/>
              </w:rPr>
            </w:pPr>
            <w:r>
              <w:rPr>
                <w:rFonts w:ascii="Arial" w:cs="Arial" w:eastAsia="Arial" w:hAnsi="Arial"/>
                <w:sz w:val="18"/>
                <w:szCs w:val="18"/>
                <w:color w:val="0000FF"/>
                <w:w w:val="87"/>
              </w:rPr>
              <w:t>16.706</w:t>
            </w:r>
          </w:p>
        </w:tc>
        <w:tc>
          <w:tcPr>
            <w:tcW w:w="3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31.95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515.77</w:t>
            </w:r>
          </w:p>
        </w:tc>
        <w:tc>
          <w:tcPr>
            <w:tcW w:w="940" w:type="dxa"/>
            <w:vAlign w:val="bottom"/>
          </w:tcPr>
          <w:p>
            <w:pPr>
              <w:jc w:val="center"/>
              <w:ind w:right="1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2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jc w:val="center"/>
              <w:ind w:right="10"/>
              <w:spacing w:after="0" w:line="135" w:lineRule="exact"/>
              <w:rPr>
                <w:sz w:val="20"/>
                <w:szCs w:val="20"/>
                <w:color w:val="auto"/>
              </w:rPr>
            </w:pPr>
            <w:r>
              <w:rPr>
                <w:rFonts w:ascii="Arial" w:cs="Arial" w:eastAsia="Arial" w:hAnsi="Arial"/>
                <w:sz w:val="12"/>
                <w:szCs w:val="12"/>
                <w:b w:val="1"/>
                <w:bCs w:val="1"/>
                <w:color w:val="auto"/>
                <w:w w:val="99"/>
              </w:rPr>
              <w:t>Form:</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2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single grant covering a ten-year period with no additional grants intended. Vesting occurs in 2 fiscal year increments based on established performance criteria.</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Closing market value on date of award is $38.80. However, no consideration was paid for the award other than services rendered and to be rendered by the Reporting Person.</w:t>
      </w:r>
    </w:p>
    <w:p>
      <w:pPr>
        <w:spacing w:after="0" w:line="41" w:lineRule="exact"/>
        <w:rPr>
          <w:rFonts w:ascii="Arial" w:cs="Arial" w:eastAsia="Arial" w:hAnsi="Arial"/>
          <w:sz w:val="14"/>
          <w:szCs w:val="14"/>
          <w:color w:val="008000"/>
        </w:rPr>
      </w:pPr>
    </w:p>
    <w:p>
      <w:pPr>
        <w:ind w:left="40" w:right="2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report on the 401(k) transaction is voluntary. The sole purpose is to disclose EZCORP'S matching contributions pursuant to EZCORP, Inc. 401(k) Plan and Trust (the "Plan"). The disposition of stock reflects a forfeiture of shares of stock pursuant to the terms of the Plan. The information in this reports is based on a plan statement dated as of May 16, 2006.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10/03/2006</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74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2020-02-09T23:37:46Z</dcterms:created>
  <dcterms:modified xsi:type="dcterms:W3CDTF">2020-02-09T23:37:46Z</dcterms:modified>
</cp:coreProperties>
</file>