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both"/>
        <w:rPr>
          <w:rFonts w:ascii="inherit" w:hAnsi="inherit"/>
          <w:sz w:val="17"/>
        </w:rPr>
      </w:pPr>
      <w:r>
        <w:rPr>
          <w:rFonts w:ascii="inherit" w:hAnsi="inherit"/>
          <w:sz w:val="17"/>
        </w:rPr>
      </w:r>
      <w:bookmarkStart w:id="0" w:name="sED37E19DA908834E2FBA95F1F16B9DC1"/>
      <w:bookmarkStart w:id="1" w:name="fosseresignation.htm"/>
      <w:bookmarkStart w:id="2" w:name="ksfosseresignation"/>
      <w:bookmarkStart w:id="3" w:name="sED37E19DA908834E2FBA95F1F16B9DC1"/>
      <w:bookmarkStart w:id="4" w:name="fosseresignation.htm"/>
      <w:bookmarkStart w:id="5" w:name="ksfosseresignation"/>
      <w:bookmarkEnd w:id="3"/>
      <w:bookmarkEnd w:id="4"/>
      <w:bookmarkEnd w:id="5"/>
    </w:p>
    <w:p>
      <w:pPr>
        <w:pStyle w:val="TextBody"/>
        <w:spacing w:before="0" w:after="0"/>
        <w:rPr/>
      </w:pPr>
      <w:r>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sz w:val="20"/>
        </w:rPr>
      </w:pPr>
      <w:r>
        <w:rPr>
          <w:rFonts w:ascii="inherit" w:hAnsi="inherit"/>
          <w:sz w:val="20"/>
        </w:rPr>
        <w:t xml:space="preserve">UNITED STATES </w:t>
        <w:br/>
        <w:t>SECURITIES AND EXCHANGE COMMISSION</w:t>
      </w:r>
      <w:r>
        <w:rPr>
          <w:sz w:val="20"/>
        </w:rPr>
        <w:t xml:space="preserve"> </w:t>
      </w:r>
      <w:r>
        <w:rPr>
          <w:rFonts w:ascii="inherit" w:hAnsi="inherit"/>
          <w:sz w:val="17"/>
        </w:rPr>
        <w:br/>
        <w:t>Washington, D.C. 20549</w:t>
      </w:r>
      <w:r>
        <w:rPr>
          <w:sz w:val="20"/>
        </w:rPr>
        <w:t xml:space="preserve"> </w:t>
      </w:r>
    </w:p>
    <w:p>
      <w:pPr>
        <w:pStyle w:val="TextBody"/>
        <w:spacing w:lineRule="auto" w:line="288" w:before="0" w:after="0"/>
        <w:jc w:val="center"/>
        <w:rPr/>
      </w:pPr>
      <w:r>
        <w:rPr>
          <w:u w:val="single"/>
        </w:rPr>
        <w:t>                  </w:t>
      </w:r>
      <w:r>
        <w:rPr/>
        <w:t xml:space="preserve"> </w:t>
      </w:r>
    </w:p>
    <w:p>
      <w:pPr>
        <w:pStyle w:val="TextBody"/>
        <w:spacing w:lineRule="auto" w:line="288" w:before="0" w:after="0"/>
        <w:jc w:val="center"/>
        <w:rPr>
          <w:sz w:val="30"/>
        </w:rPr>
      </w:pPr>
      <w:r>
        <w:rPr>
          <w:rFonts w:ascii="inherit" w:hAnsi="inherit"/>
          <w:b/>
          <w:sz w:val="30"/>
        </w:rPr>
        <w:t>FORM 8-K</w:t>
      </w:r>
      <w:r>
        <w:rPr>
          <w:sz w:val="30"/>
        </w:rPr>
        <w:t xml:space="preserve"> </w:t>
      </w:r>
    </w:p>
    <w:p>
      <w:pPr>
        <w:pStyle w:val="TextBody"/>
        <w:spacing w:lineRule="auto" w:line="288" w:before="0" w:after="0"/>
        <w:jc w:val="center"/>
        <w:rPr>
          <w:sz w:val="20"/>
        </w:rPr>
      </w:pPr>
      <w:r>
        <w:rPr>
          <w:rFonts w:ascii="inherit" w:hAnsi="inherit"/>
          <w:b/>
          <w:sz w:val="20"/>
        </w:rPr>
        <w:t>CURRENT REPORT</w:t>
      </w:r>
      <w:r>
        <w:rPr>
          <w:sz w:val="20"/>
        </w:rPr>
        <w:t xml:space="preserve"> </w:t>
      </w:r>
      <w:r>
        <w:rPr>
          <w:rFonts w:ascii="inherit" w:hAnsi="inherit"/>
          <w:sz w:val="17"/>
        </w:rPr>
        <w:br/>
      </w:r>
      <w:r>
        <w:rPr>
          <w:rFonts w:ascii="inherit" w:hAnsi="inherit"/>
          <w:b/>
          <w:sz w:val="17"/>
        </w:rPr>
        <w:t>PURSUANT TO SECTION 13 OR 15(d) OF THE SECURITIES EXCHANGE ACT OF 1934</w:t>
      </w:r>
      <w:r>
        <w:rPr>
          <w:sz w:val="20"/>
        </w:rPr>
        <w:t xml:space="preserve"> </w:t>
      </w:r>
    </w:p>
    <w:p>
      <w:pPr>
        <w:pStyle w:val="TextBody"/>
        <w:spacing w:lineRule="auto" w:line="288" w:before="0" w:after="0"/>
        <w:jc w:val="center"/>
        <w:rPr/>
      </w:pPr>
      <w:r>
        <w:rPr>
          <w:u w:val="single"/>
        </w:rPr>
        <w:t>                  </w:t>
      </w:r>
      <w:r>
        <w:rPr/>
        <w:t xml:space="preserve"> </w:t>
      </w:r>
    </w:p>
    <w:p>
      <w:pPr>
        <w:pStyle w:val="TextBody"/>
        <w:spacing w:lineRule="auto" w:line="288" w:before="0" w:after="0"/>
        <w:jc w:val="center"/>
        <w:rPr>
          <w:sz w:val="17"/>
        </w:rPr>
      </w:pPr>
      <w:r>
        <w:rPr>
          <w:rFonts w:ascii="inherit" w:hAnsi="inherit"/>
          <w:sz w:val="17"/>
        </w:rPr>
        <w:t xml:space="preserve">Date of Report (Date of earliest event reported): </w:t>
      </w:r>
      <w:r>
        <w:rPr>
          <w:rFonts w:ascii="inherit" w:hAnsi="inherit"/>
          <w:b/>
          <w:sz w:val="17"/>
        </w:rPr>
        <w:t>December 7, 2012</w:t>
      </w:r>
      <w:r>
        <w:rPr>
          <w:sz w:val="17"/>
        </w:rPr>
        <w:t xml:space="preserve"> </w:t>
      </w:r>
    </w:p>
    <w:p>
      <w:pPr>
        <w:pStyle w:val="TextBody"/>
        <w:spacing w:lineRule="auto" w:line="288" w:before="0" w:after="0"/>
        <w:jc w:val="center"/>
        <w:rPr/>
      </w:pPr>
      <w:r>
        <w:rPr>
          <w:u w:val="single"/>
        </w:rPr>
        <w:t>                  </w:t>
      </w:r>
      <w:r>
        <w:rPr/>
        <w:t xml:space="preserve"> </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66" w:before="0" w:after="0"/>
        <w:jc w:val="center"/>
        <w:rPr>
          <w:rFonts w:ascii="inherit" w:hAnsi="inherit"/>
          <w:b/>
          <w:sz w:val="30"/>
        </w:rPr>
      </w:pPr>
      <w:r>
        <w:rPr>
          <w:rFonts w:ascii="inherit" w:hAnsi="inherit"/>
          <w:b/>
          <w:sz w:val="30"/>
        </w:rPr>
        <w:t xml:space="preserve">EZCORP, Inc.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5"/>
        </w:rPr>
      </w:pPr>
      <w:r>
        <w:rPr>
          <w:rFonts w:ascii="inherit" w:hAnsi="inherit"/>
          <w:sz w:val="15"/>
        </w:rPr>
      </w:r>
    </w:p>
    <w:tbl>
      <w:tblPr>
        <w:tblW w:w="8257" w:type="dxa"/>
        <w:jc w:val="left"/>
        <w:tblInd w:w="0" w:type="dxa"/>
        <w:tblCellMar>
          <w:top w:w="0" w:type="dxa"/>
          <w:left w:w="0" w:type="dxa"/>
          <w:bottom w:w="0" w:type="dxa"/>
          <w:right w:w="0" w:type="dxa"/>
        </w:tblCellMar>
      </w:tblPr>
      <w:tblGrid>
        <w:gridCol w:w="3303"/>
        <w:gridCol w:w="2477"/>
        <w:gridCol w:w="2477"/>
      </w:tblGrid>
      <w:tr>
        <w:trPr/>
        <w:tc>
          <w:tcPr>
            <w:tcW w:w="8257" w:type="dxa"/>
            <w:gridSpan w:val="3"/>
            <w:tcBorders/>
            <w:shd w:fill="auto" w:val="clear"/>
            <w:vAlign w:val="center"/>
          </w:tcPr>
          <w:p>
            <w:pPr>
              <w:pStyle w:val="TableContents"/>
              <w:spacing w:before="0" w:after="283"/>
              <w:rPr>
                <w:sz w:val="4"/>
                <w:szCs w:val="4"/>
              </w:rPr>
            </w:pPr>
            <w:r>
              <w:rPr>
                <w:sz w:val="4"/>
                <w:szCs w:val="4"/>
              </w:rPr>
            </w:r>
          </w:p>
        </w:tc>
      </w:tr>
      <w:tr>
        <w:trPr/>
        <w:tc>
          <w:tcPr>
            <w:tcW w:w="3303"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3" w:type="dxa"/>
            <w:tcBorders/>
            <w:shd w:fill="auto" w:val="clear"/>
            <w:vAlign w:val="center"/>
          </w:tcPr>
          <w:p>
            <w:pPr>
              <w:pStyle w:val="TableContents"/>
              <w:spacing w:before="0" w:after="0"/>
              <w:jc w:val="center"/>
              <w:rPr>
                <w:rFonts w:ascii="inherit" w:hAnsi="inherit"/>
                <w:b/>
                <w:sz w:val="15"/>
              </w:rPr>
            </w:pPr>
            <w:r>
              <w:rPr>
                <w:rFonts w:ascii="inherit" w:hAnsi="inherit"/>
                <w:b/>
                <w:sz w:val="15"/>
              </w:rPr>
              <w:t>Delaware</w:t>
            </w:r>
          </w:p>
          <w:p>
            <w:pPr>
              <w:pStyle w:val="TableContents"/>
              <w:spacing w:before="0" w:after="0"/>
              <w:ind w:left="0" w:right="0" w:firstLine="30"/>
              <w:jc w:val="center"/>
              <w:rPr>
                <w:rFonts w:ascii="inherit" w:hAnsi="inherit"/>
                <w:sz w:val="15"/>
              </w:rPr>
            </w:pPr>
            <w:r>
              <w:rPr>
                <w:rFonts w:ascii="inherit" w:hAnsi="inherit"/>
                <w:sz w:val="15"/>
              </w:rPr>
              <w:t>(State or other jurisdiction of incorporation)</w:t>
            </w:r>
          </w:p>
        </w:tc>
        <w:tc>
          <w:tcPr>
            <w:tcW w:w="2477" w:type="dxa"/>
            <w:tcBorders/>
            <w:shd w:fill="auto" w:val="clear"/>
            <w:vAlign w:val="center"/>
          </w:tcPr>
          <w:p>
            <w:pPr>
              <w:pStyle w:val="TableContents"/>
              <w:spacing w:before="0" w:after="0"/>
              <w:jc w:val="center"/>
              <w:rPr>
                <w:rFonts w:ascii="inherit" w:hAnsi="inherit"/>
                <w:b/>
                <w:sz w:val="15"/>
              </w:rPr>
            </w:pPr>
            <w:r>
              <w:rPr>
                <w:rFonts w:ascii="inherit" w:hAnsi="inherit"/>
                <w:b/>
                <w:sz w:val="15"/>
              </w:rPr>
              <w:t>0-19424</w:t>
            </w:r>
          </w:p>
          <w:p>
            <w:pPr>
              <w:pStyle w:val="TableContents"/>
              <w:spacing w:before="0" w:after="0"/>
              <w:ind w:left="0" w:right="0" w:firstLine="30"/>
              <w:jc w:val="center"/>
              <w:rPr>
                <w:rFonts w:ascii="inherit" w:hAnsi="inherit"/>
                <w:sz w:val="15"/>
              </w:rPr>
            </w:pPr>
            <w:r>
              <w:rPr>
                <w:rFonts w:ascii="inherit" w:hAnsi="inherit"/>
                <w:sz w:val="15"/>
              </w:rPr>
              <w:t xml:space="preserve">(Commission File Number) </w:t>
            </w:r>
          </w:p>
        </w:tc>
        <w:tc>
          <w:tcPr>
            <w:tcW w:w="2477" w:type="dxa"/>
            <w:tcBorders/>
            <w:shd w:fill="auto" w:val="clear"/>
            <w:vAlign w:val="center"/>
          </w:tcPr>
          <w:p>
            <w:pPr>
              <w:pStyle w:val="TableContents"/>
              <w:spacing w:before="0" w:after="0"/>
              <w:jc w:val="center"/>
              <w:rPr>
                <w:rFonts w:ascii="inherit" w:hAnsi="inherit"/>
                <w:b/>
                <w:sz w:val="15"/>
              </w:rPr>
            </w:pPr>
            <w:r>
              <w:rPr>
                <w:rFonts w:ascii="inherit" w:hAnsi="inherit"/>
                <w:b/>
                <w:sz w:val="15"/>
              </w:rPr>
              <w:t>74-2540145</w:t>
            </w:r>
          </w:p>
          <w:p>
            <w:pPr>
              <w:pStyle w:val="TableContents"/>
              <w:spacing w:before="0" w:after="0"/>
              <w:jc w:val="center"/>
              <w:rPr>
                <w:rFonts w:ascii="inherit" w:hAnsi="inherit"/>
                <w:sz w:val="15"/>
              </w:rPr>
            </w:pPr>
            <w:r>
              <w:rPr>
                <w:rFonts w:ascii="inherit" w:hAnsi="inherit"/>
                <w:sz w:val="15"/>
              </w:rPr>
              <w:t>(IRS Employer</w:t>
            </w:r>
          </w:p>
          <w:p>
            <w:pPr>
              <w:pStyle w:val="TableContents"/>
              <w:spacing w:before="0" w:after="0"/>
              <w:jc w:val="center"/>
              <w:rPr>
                <w:rFonts w:ascii="inherit" w:hAnsi="inherit"/>
                <w:sz w:val="15"/>
              </w:rPr>
            </w:pPr>
            <w:r>
              <w:rPr>
                <w:rFonts w:ascii="inherit" w:hAnsi="inherit"/>
                <w:sz w:val="15"/>
              </w:rPr>
              <w:t>Identification No.)</w:t>
            </w:r>
          </w:p>
        </w:tc>
      </w:tr>
    </w:tbl>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sz w:val="17"/>
        </w:rPr>
      </w:pPr>
      <w:r>
        <w:rPr>
          <w:rFonts w:ascii="inherit" w:hAnsi="inherit"/>
          <w:b/>
          <w:sz w:val="17"/>
        </w:rPr>
        <w:t>1901 Capital Parkway, Austin, Texas 78746</w:t>
      </w:r>
      <w:r>
        <w:rPr>
          <w:sz w:val="17"/>
        </w:rPr>
        <w:t xml:space="preserve"> </w:t>
      </w:r>
      <w:r>
        <w:rPr>
          <w:rFonts w:ascii="inherit" w:hAnsi="inherit"/>
          <w:sz w:val="15"/>
        </w:rPr>
        <w:br/>
        <w:t xml:space="preserve">(Address of principal executive offices) (zip code) </w:t>
      </w:r>
    </w:p>
    <w:p>
      <w:pPr>
        <w:pStyle w:val="TextBody"/>
        <w:spacing w:lineRule="auto" w:line="288" w:before="0" w:after="0"/>
        <w:jc w:val="center"/>
        <w:rPr>
          <w:sz w:val="17"/>
        </w:rPr>
      </w:pPr>
      <w:r>
        <w:rPr>
          <w:rFonts w:ascii="inherit" w:hAnsi="inherit"/>
          <w:sz w:val="17"/>
        </w:rPr>
        <w:t>Registrant’s telephone number, including area code: (</w:t>
      </w:r>
      <w:r>
        <w:rPr>
          <w:rFonts w:ascii="inherit" w:hAnsi="inherit"/>
          <w:b/>
          <w:sz w:val="17"/>
        </w:rPr>
        <w:t>512) 314-3400</w:t>
      </w:r>
      <w:r>
        <w:rPr>
          <w:sz w:val="17"/>
        </w:rPr>
        <w:t xml:space="preserve">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t>Check the appropriate box below if the Form 8-K filing is intended to simultaneously satisfy the filing obligation of the registrant under any of the following provisions:</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Written communications pursuant to Rule 425 under the Securities Act (17 CFR 230.425)</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Soliciting material pursuant to Rule 14a-12 under the Exchange Act (17 CFR 240.14a-12)</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Pre-commencement communications pursuant to Rule 14d-2(b) under the Exchange Act (17 CFR 240.14d-2(b))</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Pre-commencement communications pursuant to Rule 13e-4(c) under the Exchange Act (17 CFR 240.13e-4(c))</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sz w:val="15"/>
        </w:rPr>
      </w:pPr>
      <w:r>
        <w:rPr>
          <w:rFonts w:ascii="inherit" w:hAnsi="inherit"/>
          <w:sz w:val="15"/>
        </w:rPr>
      </w:r>
    </w:p>
    <w:p>
      <w:pPr>
        <w:pStyle w:val="TextBody"/>
        <w:spacing w:lineRule="auto" w:line="288" w:before="0" w:after="0"/>
        <w:jc w:val="center"/>
        <w:rPr/>
      </w:pPr>
      <w:r>
        <w:rPr/>
        <w:t> </w:t>
      </w:r>
    </w:p>
    <w:p>
      <w:pPr>
        <w:pStyle w:val="TextBody"/>
        <w:spacing w:lineRule="auto" w:line="288" w:before="0" w:after="0"/>
        <w:jc w:val="left"/>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jc w:val="left"/>
        <w:rPr>
          <w:rFonts w:ascii="inherit" w:hAnsi="inherit"/>
          <w:sz w:val="20"/>
        </w:rPr>
      </w:pPr>
      <w:r>
        <w:rPr>
          <w:rFonts w:ascii="inherit" w:hAnsi="inherit"/>
          <w:sz w:val="20"/>
        </w:rPr>
      </w:r>
      <w:r>
        <w:br w:type="page"/>
      </w:r>
    </w:p>
    <w:p>
      <w:pPr>
        <w:pStyle w:val="TextBody"/>
        <w:spacing w:lineRule="auto" w:line="288" w:before="0" w:after="0"/>
        <w:jc w:val="right"/>
        <w:rPr>
          <w:rFonts w:ascii="inherit" w:hAnsi="inherit"/>
          <w:sz w:val="17"/>
        </w:rPr>
      </w:pPr>
      <w:r>
        <w:rPr>
          <w:rFonts w:ascii="inherit" w:hAnsi="inherit"/>
          <w:sz w:val="17"/>
        </w:rPr>
      </w:r>
      <w:bookmarkStart w:id="6" w:name="sED37E19DA908834E2FBA95F1F16B9DC11"/>
      <w:bookmarkStart w:id="7" w:name="sED37E19DA908834E2FBA95F1F16B9DC11"/>
      <w:bookmarkEnd w:id="7"/>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5.02 — Departure of Directors or Certain Officers; Election of Directors; Appointment of Certain Officers; Compensatory Arrangements of Certain Officers</w:t>
      </w:r>
    </w:p>
    <w:tbl>
      <w:tblPr>
        <w:tblW w:w="10205" w:type="dxa"/>
        <w:jc w:val="left"/>
        <w:tblInd w:w="0" w:type="dxa"/>
        <w:tblCellMar>
          <w:top w:w="0" w:type="dxa"/>
          <w:left w:w="0" w:type="dxa"/>
          <w:bottom w:w="0" w:type="dxa"/>
          <w:right w:w="0" w:type="dxa"/>
        </w:tblCellMar>
      </w:tblPr>
      <w:tblGrid>
        <w:gridCol w:w="228"/>
        <w:gridCol w:w="9977"/>
      </w:tblGrid>
      <w:tr>
        <w:trPr/>
        <w:tc>
          <w:tcPr>
            <w:tcW w:w="228" w:type="dxa"/>
            <w:tcBorders/>
            <w:shd w:fill="auto" w:val="clear"/>
            <w:vAlign w:val="center"/>
          </w:tcPr>
          <w:p>
            <w:pPr>
              <w:pStyle w:val="TableContents"/>
              <w:spacing w:before="0" w:after="283"/>
              <w:rPr>
                <w:sz w:val="4"/>
                <w:szCs w:val="4"/>
              </w:rPr>
            </w:pPr>
            <w:r>
              <w:rPr>
                <w:sz w:val="4"/>
                <w:szCs w:val="4"/>
              </w:rPr>
            </w:r>
          </w:p>
        </w:tc>
        <w:tc>
          <w:tcPr>
            <w:tcW w:w="9977" w:type="dxa"/>
            <w:tcBorders/>
            <w:shd w:fill="auto" w:val="clear"/>
            <w:vAlign w:val="center"/>
          </w:tcPr>
          <w:p>
            <w:pPr>
              <w:pStyle w:val="TableContents"/>
              <w:spacing w:before="0" w:after="283"/>
              <w:rPr>
                <w:sz w:val="4"/>
                <w:szCs w:val="4"/>
              </w:rPr>
            </w:pPr>
            <w:r>
              <w:rPr>
                <w:sz w:val="4"/>
                <w:szCs w:val="4"/>
              </w:rPr>
            </w:r>
          </w:p>
        </w:tc>
      </w:tr>
      <w:tr>
        <w:trPr/>
        <w:tc>
          <w:tcPr>
            <w:tcW w:w="22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(b)</w:t>
            </w:r>
          </w:p>
        </w:tc>
        <w:tc>
          <w:tcPr>
            <w:tcW w:w="997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On December 7, 2012, Eric Fosse, President of the company’s U.S. Financial and Online Services business and one of the company’s “named executive officers,” announced that he will resign from the company, effective December 31, 2012.</w:t>
            </w:r>
          </w:p>
        </w:tc>
      </w:tr>
    </w:tbl>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ind w:left="0" w:right="0" w:firstLine="5040"/>
        <w:jc w:val="left"/>
        <w:rPr/>
      </w:pPr>
      <w:r>
        <w:rPr/>
        <w:t>    </w:t>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838"/>
        <w:gridCol w:w="3710"/>
        <w:gridCol w:w="588"/>
        <w:gridCol w:w="306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2838" w:type="dxa"/>
            <w:tcBorders/>
            <w:shd w:fill="auto" w:val="clear"/>
            <w:vAlign w:val="center"/>
          </w:tcPr>
          <w:p>
            <w:pPr>
              <w:pStyle w:val="TableContents"/>
              <w:spacing w:before="0" w:after="283"/>
              <w:rPr>
                <w:sz w:val="4"/>
                <w:szCs w:val="4"/>
              </w:rPr>
            </w:pPr>
            <w:r>
              <w:rPr>
                <w:sz w:val="4"/>
                <w:szCs w:val="4"/>
              </w:rPr>
            </w:r>
          </w:p>
        </w:tc>
        <w:tc>
          <w:tcPr>
            <w:tcW w:w="371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38" w:type="dxa"/>
            <w:tcBorders/>
            <w:shd w:fill="auto" w:val="clear"/>
            <w:vAlign w:val="center"/>
          </w:tcPr>
          <w:p>
            <w:pPr>
              <w:pStyle w:val="TableContents"/>
              <w:spacing w:before="0" w:after="0"/>
              <w:ind w:left="0" w:right="0" w:firstLine="30"/>
              <w:rPr/>
            </w:pPr>
            <w:r>
              <w:rPr/>
              <w:t> </w:t>
            </w:r>
          </w:p>
        </w:tc>
        <w:tc>
          <w:tcPr>
            <w:tcW w:w="3710" w:type="dxa"/>
            <w:tcBorders/>
            <w:shd w:fill="auto" w:val="clear"/>
            <w:vAlign w:val="center"/>
          </w:tcPr>
          <w:p>
            <w:pPr>
              <w:pStyle w:val="TableContents"/>
              <w:spacing w:before="0" w:after="0"/>
              <w:ind w:left="0" w:right="0" w:firstLine="30"/>
              <w:rPr/>
            </w:pPr>
            <w:r>
              <w:rPr/>
              <w:t> </w:t>
            </w:r>
          </w:p>
        </w:tc>
        <w:tc>
          <w:tcPr>
            <w:tcW w:w="588" w:type="dxa"/>
            <w:tcBorders/>
            <w:shd w:fill="auto" w:val="clear"/>
            <w:vAlign w:val="center"/>
          </w:tcPr>
          <w:p>
            <w:pPr>
              <w:pStyle w:val="TableContents"/>
              <w:spacing w:before="0" w:after="0"/>
              <w:ind w:left="0" w:right="0" w:firstLine="30"/>
              <w:rPr/>
            </w:pPr>
            <w:r>
              <w:rPr/>
              <w:t> </w:t>
            </w:r>
          </w:p>
        </w:tc>
        <w:tc>
          <w:tcPr>
            <w:tcW w:w="30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2838" w:type="dxa"/>
            <w:tcBorders/>
            <w:shd w:fill="auto" w:val="clear"/>
            <w:vAlign w:val="center"/>
          </w:tcPr>
          <w:p>
            <w:pPr>
              <w:pStyle w:val="TableContents"/>
              <w:spacing w:before="0" w:after="0"/>
              <w:ind w:left="0" w:right="0" w:firstLine="30"/>
              <w:rPr/>
            </w:pPr>
            <w:r>
              <w:rPr/>
              <w:t> </w:t>
            </w:r>
          </w:p>
        </w:tc>
        <w:tc>
          <w:tcPr>
            <w:tcW w:w="3710" w:type="dxa"/>
            <w:tcBorders/>
            <w:shd w:fill="auto" w:val="clear"/>
            <w:vAlign w:val="center"/>
          </w:tcPr>
          <w:p>
            <w:pPr>
              <w:pStyle w:val="TableContents"/>
              <w:spacing w:before="0" w:after="0"/>
              <w:ind w:left="0" w:right="0" w:firstLine="30"/>
              <w:rPr/>
            </w:pPr>
            <w:r>
              <w:rPr/>
              <w:t> </w:t>
            </w:r>
          </w:p>
        </w:tc>
        <w:tc>
          <w:tcPr>
            <w:tcW w:w="588" w:type="dxa"/>
            <w:tcBorders/>
            <w:shd w:fill="auto" w:val="clear"/>
            <w:vAlign w:val="center"/>
          </w:tcPr>
          <w:p>
            <w:pPr>
              <w:pStyle w:val="TableContents"/>
              <w:spacing w:before="0" w:after="0"/>
              <w:ind w:left="0" w:right="0" w:firstLine="30"/>
              <w:rPr/>
            </w:pPr>
            <w:r>
              <w:rPr/>
              <w:t> </w:t>
            </w:r>
          </w:p>
        </w:tc>
        <w:tc>
          <w:tcPr>
            <w:tcW w:w="3069" w:type="dxa"/>
            <w:tcBorders/>
            <w:shd w:fill="auto" w:val="clear"/>
            <w:vAlign w:val="center"/>
          </w:tcPr>
          <w:p>
            <w:pPr>
              <w:pStyle w:val="TableContents"/>
              <w:spacing w:before="0" w:after="0"/>
              <w:ind w:left="0" w:right="0" w:firstLine="30"/>
              <w:rPr/>
            </w:pPr>
            <w:r>
              <w:rPr/>
              <w:t> </w:t>
            </w:r>
          </w:p>
        </w:tc>
      </w:tr>
      <w:tr>
        <w:trPr/>
        <w:tc>
          <w:tcPr>
            <w:tcW w:w="283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Date: December 13, 2012</w:t>
            </w:r>
          </w:p>
        </w:tc>
        <w:tc>
          <w:tcPr>
            <w:tcW w:w="3710" w:type="dxa"/>
            <w:tcBorders/>
            <w:shd w:fill="auto" w:val="clear"/>
            <w:vAlign w:val="center"/>
          </w:tcPr>
          <w:p>
            <w:pPr>
              <w:pStyle w:val="TableContents"/>
              <w:spacing w:before="0" w:after="0"/>
              <w:ind w:left="0" w:right="0" w:firstLine="30"/>
              <w:rPr/>
            </w:pPr>
            <w:r>
              <w:rPr/>
              <w:t> </w:t>
            </w:r>
          </w:p>
        </w:tc>
        <w:tc>
          <w:tcPr>
            <w:tcW w:w="588"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By:</w:t>
            </w:r>
          </w:p>
        </w:tc>
        <w:tc>
          <w:tcPr>
            <w:tcW w:w="306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r>
      <w:tr>
        <w:trPr/>
        <w:tc>
          <w:tcPr>
            <w:tcW w:w="2838" w:type="dxa"/>
            <w:tcBorders/>
            <w:shd w:fill="auto" w:val="clear"/>
            <w:vAlign w:val="center"/>
          </w:tcPr>
          <w:p>
            <w:pPr>
              <w:pStyle w:val="TableContents"/>
              <w:spacing w:before="0" w:after="0"/>
              <w:ind w:left="0" w:right="0" w:firstLine="30"/>
              <w:rPr/>
            </w:pPr>
            <w:r>
              <w:rPr/>
              <w:t> </w:t>
            </w:r>
          </w:p>
        </w:tc>
        <w:tc>
          <w:tcPr>
            <w:tcW w:w="3710" w:type="dxa"/>
            <w:tcBorders/>
            <w:shd w:fill="auto" w:val="clear"/>
            <w:vAlign w:val="center"/>
          </w:tcPr>
          <w:p>
            <w:pPr>
              <w:pStyle w:val="TableContents"/>
              <w:spacing w:before="0" w:after="0"/>
              <w:ind w:left="0" w:right="0" w:firstLine="30"/>
              <w:rPr/>
            </w:pPr>
            <w:r>
              <w:rPr/>
              <w:t> </w:t>
            </w:r>
          </w:p>
        </w:tc>
        <w:tc>
          <w:tcPr>
            <w:tcW w:w="588" w:type="dxa"/>
            <w:tcBorders/>
            <w:shd w:fill="auto" w:val="clear"/>
            <w:vAlign w:val="center"/>
          </w:tcPr>
          <w:p>
            <w:pPr>
              <w:pStyle w:val="TableContents"/>
              <w:spacing w:before="0" w:after="0"/>
              <w:ind w:left="0" w:right="0" w:firstLine="300"/>
              <w:rPr/>
            </w:pPr>
            <w:r>
              <w:rPr/>
              <w:t> </w:t>
            </w:r>
          </w:p>
        </w:tc>
        <w:tc>
          <w:tcPr>
            <w:tcW w:w="30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2838" w:type="dxa"/>
            <w:tcBorders/>
            <w:shd w:fill="auto" w:val="clear"/>
            <w:vAlign w:val="center"/>
          </w:tcPr>
          <w:p>
            <w:pPr>
              <w:pStyle w:val="TableContents"/>
              <w:spacing w:before="0" w:after="0"/>
              <w:ind w:left="0" w:right="0" w:firstLine="30"/>
              <w:rPr/>
            </w:pPr>
            <w:r>
              <w:rPr/>
              <w:t> </w:t>
            </w:r>
          </w:p>
        </w:tc>
        <w:tc>
          <w:tcPr>
            <w:tcW w:w="3710" w:type="dxa"/>
            <w:tcBorders/>
            <w:shd w:fill="auto" w:val="clear"/>
            <w:vAlign w:val="center"/>
          </w:tcPr>
          <w:p>
            <w:pPr>
              <w:pStyle w:val="TableContents"/>
              <w:spacing w:before="0" w:after="0"/>
              <w:ind w:left="0" w:right="0" w:firstLine="30"/>
              <w:rPr/>
            </w:pPr>
            <w:r>
              <w:rPr/>
              <w:t> </w:t>
            </w:r>
          </w:p>
        </w:tc>
        <w:tc>
          <w:tcPr>
            <w:tcW w:w="588" w:type="dxa"/>
            <w:tcBorders/>
            <w:shd w:fill="auto" w:val="clear"/>
            <w:vAlign w:val="center"/>
          </w:tcPr>
          <w:p>
            <w:pPr>
              <w:pStyle w:val="TableContents"/>
              <w:spacing w:before="0" w:after="0"/>
              <w:ind w:left="0" w:right="0" w:firstLine="300"/>
              <w:rPr/>
            </w:pPr>
            <w:r>
              <w:rPr/>
              <w:t> </w:t>
            </w:r>
          </w:p>
        </w:tc>
        <w:tc>
          <w:tcPr>
            <w:tcW w:w="30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Senior Vice President, </w:t>
            </w:r>
          </w:p>
        </w:tc>
      </w:tr>
      <w:tr>
        <w:trPr/>
        <w:tc>
          <w:tcPr>
            <w:tcW w:w="2838" w:type="dxa"/>
            <w:tcBorders/>
            <w:shd w:fill="auto" w:val="clear"/>
            <w:vAlign w:val="center"/>
          </w:tcPr>
          <w:p>
            <w:pPr>
              <w:pStyle w:val="TableContents"/>
              <w:spacing w:before="0" w:after="0"/>
              <w:ind w:left="0" w:right="0" w:firstLine="30"/>
              <w:rPr/>
            </w:pPr>
            <w:r>
              <w:rPr/>
              <w:t> </w:t>
            </w:r>
          </w:p>
        </w:tc>
        <w:tc>
          <w:tcPr>
            <w:tcW w:w="3710" w:type="dxa"/>
            <w:tcBorders/>
            <w:shd w:fill="auto" w:val="clear"/>
            <w:vAlign w:val="center"/>
          </w:tcPr>
          <w:p>
            <w:pPr>
              <w:pStyle w:val="TableContents"/>
              <w:spacing w:before="0" w:after="0"/>
              <w:ind w:left="0" w:right="0" w:firstLine="30"/>
              <w:rPr/>
            </w:pPr>
            <w:r>
              <w:rPr/>
              <w:t> </w:t>
            </w:r>
          </w:p>
        </w:tc>
        <w:tc>
          <w:tcPr>
            <w:tcW w:w="588" w:type="dxa"/>
            <w:tcBorders/>
            <w:shd w:fill="auto" w:val="clear"/>
            <w:vAlign w:val="center"/>
          </w:tcPr>
          <w:p>
            <w:pPr>
              <w:pStyle w:val="TableContents"/>
              <w:spacing w:before="0" w:after="0"/>
              <w:ind w:left="0" w:right="0" w:firstLine="300"/>
              <w:rPr/>
            </w:pPr>
            <w:r>
              <w:rPr/>
              <w:t> </w:t>
            </w:r>
          </w:p>
        </w:tc>
        <w:tc>
          <w:tcPr>
            <w:tcW w:w="3069"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281</Words>
  <CharactersWithSpaces>2137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