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File No. 333-155394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S-3/A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PRE-EFFECTIVE AMENDMENT NO.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82"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Under 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20"/>
        </w:trPr>
        <w:tc>
          <w:tcPr>
            <w:tcW w:w="43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center"/>
              <w:ind w:left="1910"/>
              <w:spacing w:after="0"/>
              <w:rPr>
                <w:sz w:val="20"/>
                <w:szCs w:val="20"/>
                <w:color w:val="auto"/>
              </w:rPr>
            </w:pPr>
            <w:r>
              <w:rPr>
                <w:rFonts w:ascii="Arial" w:cs="Arial" w:eastAsia="Arial" w:hAnsi="Arial"/>
                <w:sz w:val="18"/>
                <w:szCs w:val="18"/>
                <w:b w:val="1"/>
                <w:bCs w:val="1"/>
                <w:color w:val="auto"/>
                <w:w w:val="89"/>
              </w:rPr>
              <w:t>74-2540145</w:t>
            </w:r>
          </w:p>
        </w:tc>
      </w:tr>
      <w:tr>
        <w:trPr>
          <w:trHeight w:val="216"/>
        </w:trPr>
        <w:tc>
          <w:tcPr>
            <w:tcW w:w="4340" w:type="dxa"/>
            <w:vAlign w:val="bottom"/>
          </w:tcPr>
          <w:p>
            <w:pPr>
              <w:jc w:val="center"/>
              <w:ind w:right="1950"/>
              <w:spacing w:after="0"/>
              <w:rPr>
                <w:sz w:val="20"/>
                <w:szCs w:val="20"/>
                <w:color w:val="auto"/>
              </w:rPr>
            </w:pPr>
            <w:r>
              <w:rPr>
                <w:rFonts w:ascii="Arial" w:cs="Arial" w:eastAsia="Arial" w:hAnsi="Arial"/>
                <w:sz w:val="18"/>
                <w:szCs w:val="18"/>
                <w:color w:val="auto"/>
                <w:w w:val="92"/>
              </w:rPr>
              <w:t>(State or other jurisdiction</w:t>
            </w:r>
          </w:p>
        </w:tc>
        <w:tc>
          <w:tcPr>
            <w:tcW w:w="3660" w:type="dxa"/>
            <w:vAlign w:val="bottom"/>
          </w:tcPr>
          <w:p>
            <w:pPr>
              <w:jc w:val="center"/>
              <w:ind w:left="1910"/>
              <w:spacing w:after="0"/>
              <w:rPr>
                <w:sz w:val="20"/>
                <w:szCs w:val="20"/>
                <w:color w:val="auto"/>
              </w:rPr>
            </w:pPr>
            <w:r>
              <w:rPr>
                <w:rFonts w:ascii="Arial" w:cs="Arial" w:eastAsia="Arial" w:hAnsi="Arial"/>
                <w:sz w:val="18"/>
                <w:szCs w:val="18"/>
                <w:color w:val="auto"/>
                <w:w w:val="92"/>
              </w:rPr>
              <w:t>(I.R.S. Employer</w:t>
            </w:r>
          </w:p>
        </w:tc>
      </w:tr>
      <w:tr>
        <w:trPr>
          <w:trHeight w:val="230"/>
        </w:trPr>
        <w:tc>
          <w:tcPr>
            <w:tcW w:w="4340" w:type="dxa"/>
            <w:vAlign w:val="bottom"/>
          </w:tcPr>
          <w:p>
            <w:pPr>
              <w:jc w:val="center"/>
              <w:ind w:right="1890"/>
              <w:spacing w:after="0"/>
              <w:rPr>
                <w:sz w:val="20"/>
                <w:szCs w:val="20"/>
                <w:color w:val="auto"/>
              </w:rPr>
            </w:pPr>
            <w:r>
              <w:rPr>
                <w:rFonts w:ascii="Arial" w:cs="Arial" w:eastAsia="Arial" w:hAnsi="Arial"/>
                <w:sz w:val="18"/>
                <w:szCs w:val="18"/>
                <w:color w:val="auto"/>
                <w:w w:val="92"/>
              </w:rPr>
              <w:t>of incorporation or organization)</w:t>
            </w:r>
          </w:p>
        </w:tc>
        <w:tc>
          <w:tcPr>
            <w:tcW w:w="3660" w:type="dxa"/>
            <w:vAlign w:val="bottom"/>
          </w:tcPr>
          <w:p>
            <w:pPr>
              <w:jc w:val="center"/>
              <w:ind w:left="191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1901 CAPITAL PARKWAY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060" w:type="dxa"/>
            <w:vAlign w:val="bottom"/>
          </w:tcPr>
          <w:p>
            <w:pPr>
              <w:jc w:val="center"/>
              <w:ind w:right="1350"/>
              <w:spacing w:after="0"/>
              <w:rPr>
                <w:sz w:val="20"/>
                <w:szCs w:val="20"/>
                <w:color w:val="auto"/>
              </w:rPr>
            </w:pPr>
            <w:r>
              <w:rPr>
                <w:rFonts w:ascii="Arial" w:cs="Arial" w:eastAsia="Arial" w:hAnsi="Arial"/>
                <w:sz w:val="18"/>
                <w:szCs w:val="18"/>
                <w:b w:val="1"/>
                <w:bCs w:val="1"/>
                <w:color w:val="auto"/>
                <w:w w:val="92"/>
              </w:rPr>
              <w:t>Connie Kondik</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88"/>
              </w:rPr>
              <w:t>Copies to:</w:t>
            </w:r>
          </w:p>
        </w:tc>
      </w:tr>
      <w:tr>
        <w:trPr>
          <w:trHeight w:val="216"/>
        </w:trPr>
        <w:tc>
          <w:tcPr>
            <w:tcW w:w="5060" w:type="dxa"/>
            <w:vAlign w:val="bottom"/>
          </w:tcPr>
          <w:p>
            <w:pPr>
              <w:jc w:val="center"/>
              <w:ind w:right="1370"/>
              <w:spacing w:after="0"/>
              <w:rPr>
                <w:sz w:val="20"/>
                <w:szCs w:val="20"/>
                <w:color w:val="auto"/>
              </w:rPr>
            </w:pPr>
            <w:r>
              <w:rPr>
                <w:rFonts w:ascii="Arial" w:cs="Arial" w:eastAsia="Arial" w:hAnsi="Arial"/>
                <w:sz w:val="18"/>
                <w:szCs w:val="18"/>
                <w:b w:val="1"/>
                <w:bCs w:val="1"/>
                <w:color w:val="auto"/>
                <w:w w:val="89"/>
              </w:rPr>
              <w:t>General Counsel</w:t>
            </w:r>
          </w:p>
        </w:tc>
        <w:tc>
          <w:tcPr>
            <w:tcW w:w="4000" w:type="dxa"/>
            <w:vAlign w:val="bottom"/>
          </w:tcPr>
          <w:p>
            <w:pPr>
              <w:jc w:val="center"/>
              <w:ind w:left="1390"/>
              <w:spacing w:after="0"/>
              <w:rPr>
                <w:sz w:val="20"/>
                <w:szCs w:val="20"/>
                <w:color w:val="auto"/>
              </w:rPr>
            </w:pPr>
            <w:r>
              <w:rPr>
                <w:rFonts w:ascii="Arial" w:cs="Arial" w:eastAsia="Arial" w:hAnsi="Arial"/>
                <w:sz w:val="18"/>
                <w:szCs w:val="18"/>
                <w:b w:val="1"/>
                <w:bCs w:val="1"/>
                <w:color w:val="auto"/>
                <w:w w:val="87"/>
              </w:rPr>
              <w:t>Lee Polson</w:t>
            </w:r>
          </w:p>
        </w:tc>
      </w:tr>
      <w:tr>
        <w:trPr>
          <w:trHeight w:val="216"/>
        </w:trPr>
        <w:tc>
          <w:tcPr>
            <w:tcW w:w="5060" w:type="dxa"/>
            <w:vAlign w:val="bottom"/>
          </w:tcPr>
          <w:p>
            <w:pPr>
              <w:jc w:val="center"/>
              <w:ind w:right="1370"/>
              <w:spacing w:after="0"/>
              <w:rPr>
                <w:sz w:val="20"/>
                <w:szCs w:val="20"/>
                <w:color w:val="auto"/>
              </w:rPr>
            </w:pPr>
            <w:r>
              <w:rPr>
                <w:rFonts w:ascii="Arial" w:cs="Arial" w:eastAsia="Arial" w:hAnsi="Arial"/>
                <w:sz w:val="18"/>
                <w:szCs w:val="18"/>
                <w:b w:val="1"/>
                <w:bCs w:val="1"/>
                <w:color w:val="auto"/>
                <w:w w:val="96"/>
              </w:rPr>
              <w:t>EZCORP, Inc.</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Strasburger &amp; Price, LLP</w:t>
            </w:r>
          </w:p>
        </w:tc>
      </w:tr>
      <w:tr>
        <w:trPr>
          <w:trHeight w:val="216"/>
        </w:trPr>
        <w:tc>
          <w:tcPr>
            <w:tcW w:w="5060" w:type="dxa"/>
            <w:vAlign w:val="bottom"/>
          </w:tcPr>
          <w:p>
            <w:pPr>
              <w:jc w:val="center"/>
              <w:ind w:right="1390"/>
              <w:spacing w:after="0"/>
              <w:rPr>
                <w:sz w:val="20"/>
                <w:szCs w:val="20"/>
                <w:color w:val="auto"/>
              </w:rPr>
            </w:pPr>
            <w:r>
              <w:rPr>
                <w:rFonts w:ascii="Arial" w:cs="Arial" w:eastAsia="Arial" w:hAnsi="Arial"/>
                <w:sz w:val="18"/>
                <w:szCs w:val="18"/>
                <w:b w:val="1"/>
                <w:bCs w:val="1"/>
                <w:color w:val="auto"/>
                <w:w w:val="92"/>
              </w:rPr>
              <w:t>1901 Capital Parkway</w:t>
            </w:r>
          </w:p>
        </w:tc>
        <w:tc>
          <w:tcPr>
            <w:tcW w:w="4000" w:type="dxa"/>
            <w:vAlign w:val="bottom"/>
          </w:tcPr>
          <w:p>
            <w:pPr>
              <w:jc w:val="center"/>
              <w:ind w:left="1390"/>
              <w:spacing w:after="0"/>
              <w:rPr>
                <w:sz w:val="20"/>
                <w:szCs w:val="20"/>
                <w:color w:val="auto"/>
              </w:rPr>
            </w:pPr>
            <w:r>
              <w:rPr>
                <w:rFonts w:ascii="Arial" w:cs="Arial" w:eastAsia="Arial" w:hAnsi="Arial"/>
                <w:sz w:val="18"/>
                <w:szCs w:val="18"/>
                <w:b w:val="1"/>
                <w:bCs w:val="1"/>
                <w:color w:val="auto"/>
                <w:w w:val="87"/>
              </w:rPr>
              <w:t>600 Congress Avenue, Suite 1600</w:t>
            </w:r>
          </w:p>
        </w:tc>
      </w:tr>
      <w:tr>
        <w:trPr>
          <w:trHeight w:val="216"/>
        </w:trPr>
        <w:tc>
          <w:tcPr>
            <w:tcW w:w="5060" w:type="dxa"/>
            <w:vAlign w:val="bottom"/>
          </w:tcPr>
          <w:p>
            <w:pPr>
              <w:jc w:val="center"/>
              <w:ind w:right="1330"/>
              <w:spacing w:after="0"/>
              <w:rPr>
                <w:sz w:val="20"/>
                <w:szCs w:val="20"/>
                <w:color w:val="auto"/>
              </w:rPr>
            </w:pPr>
            <w:r>
              <w:rPr>
                <w:rFonts w:ascii="Arial" w:cs="Arial" w:eastAsia="Arial" w:hAnsi="Arial"/>
                <w:sz w:val="18"/>
                <w:szCs w:val="18"/>
                <w:b w:val="1"/>
                <w:bCs w:val="1"/>
                <w:color w:val="auto"/>
                <w:w w:val="88"/>
              </w:rPr>
              <w:t>Austin, Texas 78746</w:t>
            </w:r>
          </w:p>
        </w:tc>
        <w:tc>
          <w:tcPr>
            <w:tcW w:w="4000" w:type="dxa"/>
            <w:vAlign w:val="bottom"/>
          </w:tcPr>
          <w:p>
            <w:pPr>
              <w:jc w:val="center"/>
              <w:ind w:left="1390"/>
              <w:spacing w:after="0"/>
              <w:rPr>
                <w:sz w:val="20"/>
                <w:szCs w:val="20"/>
                <w:color w:val="auto"/>
              </w:rPr>
            </w:pPr>
            <w:r>
              <w:rPr>
                <w:rFonts w:ascii="Arial" w:cs="Arial" w:eastAsia="Arial" w:hAnsi="Arial"/>
                <w:sz w:val="18"/>
                <w:szCs w:val="18"/>
                <w:b w:val="1"/>
                <w:bCs w:val="1"/>
                <w:color w:val="auto"/>
                <w:w w:val="88"/>
              </w:rPr>
              <w:t>Austin, Texas 78701</w:t>
            </w:r>
          </w:p>
        </w:tc>
      </w:tr>
      <w:tr>
        <w:trPr>
          <w:trHeight w:val="216"/>
        </w:trPr>
        <w:tc>
          <w:tcPr>
            <w:tcW w:w="5060" w:type="dxa"/>
            <w:vAlign w:val="bottom"/>
          </w:tcPr>
          <w:p>
            <w:pPr>
              <w:jc w:val="center"/>
              <w:ind w:right="1350"/>
              <w:spacing w:after="0"/>
              <w:rPr>
                <w:sz w:val="20"/>
                <w:szCs w:val="20"/>
                <w:color w:val="auto"/>
              </w:rPr>
            </w:pPr>
            <w:r>
              <w:rPr>
                <w:rFonts w:ascii="Arial" w:cs="Arial" w:eastAsia="Arial" w:hAnsi="Arial"/>
                <w:sz w:val="18"/>
                <w:szCs w:val="18"/>
                <w:b w:val="1"/>
                <w:bCs w:val="1"/>
                <w:color w:val="auto"/>
                <w:w w:val="90"/>
              </w:rPr>
              <w:t>Telephone: (512) 314-3400</w:t>
            </w:r>
          </w:p>
        </w:tc>
        <w:tc>
          <w:tcPr>
            <w:tcW w:w="40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Telephone: (512)-499-3600</w:t>
            </w:r>
          </w:p>
        </w:tc>
      </w:tr>
      <w:tr>
        <w:trPr>
          <w:trHeight w:val="220"/>
        </w:trPr>
        <w:tc>
          <w:tcPr>
            <w:tcW w:w="50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0"/>
              </w:rPr>
              <w:t>Facsimile: (512) 314-3463</w:t>
            </w:r>
          </w:p>
        </w:tc>
        <w:tc>
          <w:tcPr>
            <w:tcW w:w="400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Facsimile: (512) 499-3660</w:t>
            </w:r>
          </w:p>
        </w:tc>
      </w:tr>
      <w:tr>
        <w:trPr>
          <w:trHeight w:val="216"/>
        </w:trPr>
        <w:tc>
          <w:tcPr>
            <w:tcW w:w="5060" w:type="dxa"/>
            <w:vAlign w:val="bottom"/>
          </w:tcPr>
          <w:p>
            <w:pPr>
              <w:jc w:val="center"/>
              <w:ind w:right="1390"/>
              <w:spacing w:after="0"/>
              <w:rPr>
                <w:sz w:val="20"/>
                <w:szCs w:val="20"/>
                <w:color w:val="auto"/>
              </w:rPr>
            </w:pPr>
            <w:r>
              <w:rPr>
                <w:rFonts w:ascii="Arial" w:cs="Arial" w:eastAsia="Arial" w:hAnsi="Arial"/>
                <w:sz w:val="18"/>
                <w:szCs w:val="18"/>
                <w:color w:val="auto"/>
                <w:w w:val="89"/>
              </w:rPr>
              <w:t>Name, address, including zip code, and telephone</w:t>
            </w:r>
          </w:p>
        </w:tc>
        <w:tc>
          <w:tcPr>
            <w:tcW w:w="4000" w:type="dxa"/>
            <w:vAlign w:val="bottom"/>
          </w:tcPr>
          <w:p>
            <w:pPr>
              <w:spacing w:after="0"/>
              <w:rPr>
                <w:sz w:val="18"/>
                <w:szCs w:val="18"/>
                <w:color w:val="auto"/>
              </w:rPr>
            </w:pPr>
          </w:p>
        </w:tc>
      </w:tr>
      <w:tr>
        <w:trPr>
          <w:trHeight w:val="230"/>
        </w:trPr>
        <w:tc>
          <w:tcPr>
            <w:tcW w:w="5060" w:type="dxa"/>
            <w:vAlign w:val="bottom"/>
          </w:tcPr>
          <w:p>
            <w:pPr>
              <w:jc w:val="center"/>
              <w:ind w:right="1330"/>
              <w:spacing w:after="0"/>
              <w:rPr>
                <w:sz w:val="20"/>
                <w:szCs w:val="20"/>
                <w:color w:val="auto"/>
              </w:rPr>
            </w:pPr>
            <w:r>
              <w:rPr>
                <w:rFonts w:ascii="Arial" w:cs="Arial" w:eastAsia="Arial" w:hAnsi="Arial"/>
                <w:sz w:val="18"/>
                <w:szCs w:val="18"/>
                <w:color w:val="auto"/>
                <w:w w:val="90"/>
              </w:rPr>
              <w:t>number, including area code, of agent for service</w:t>
            </w:r>
          </w:p>
        </w:tc>
        <w:tc>
          <w:tcPr>
            <w:tcW w:w="400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Approximate dates of commencement of proposed sale to public: From time to time after this registration statement becomes effective.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6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jc w:val="center"/>
        <w:ind w:right="80"/>
        <w:spacing w:after="0" w:line="16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2" w:lineRule="exact"/>
        <w:rPr>
          <w:sz w:val="20"/>
          <w:szCs w:val="20"/>
          <w:color w:val="auto"/>
        </w:rPr>
      </w:pPr>
    </w:p>
    <w:p>
      <w:pPr>
        <w:sectPr>
          <w:pgSz w:w="11900" w:h="16838" w:orient="portrait"/>
          <w:cols w:equalWidth="0" w:num="4">
            <w:col w:w="1840" w:space="720"/>
            <w:col w:w="1500" w:space="720"/>
            <w:col w:w="3780" w:space="720"/>
            <w:col w:w="2140"/>
          </w:cols>
          <w:pgMar w:left="240" w:top="122" w:right="239" w:bottom="1440" w:gutter="0" w:footer="0" w:header="0"/>
          <w:type w:val="continuous"/>
        </w:sectPr>
      </w:pPr>
    </w:p>
    <w:p>
      <w:pPr>
        <w:ind w:right="18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53085"/>
                    </a:xfrm>
                    <a:prstGeom prst="rect">
                      <a:avLst/>
                    </a:prstGeom>
                    <a:noFill/>
                  </pic:spPr>
                </pic:pic>
              </a:graphicData>
            </a:graphic>
          </wp:anchor>
        </w:drawing>
      </w:r>
    </w:p>
    <w:p>
      <w:pPr>
        <w:spacing w:after="0" w:line="398" w:lineRule="exact"/>
        <w:rPr>
          <w:sz w:val="20"/>
          <w:szCs w:val="20"/>
          <w:color w:val="auto"/>
        </w:rPr>
      </w:pPr>
    </w:p>
    <w:p>
      <w:pPr>
        <w:ind w:left="120" w:right="46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an offer or sale is not permitted.</w:t>
      </w:r>
    </w:p>
    <w:p>
      <w:pPr>
        <w:spacing w:after="0" w:line="397"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FF0000"/>
        </w:rPr>
        <w:t>SUBJECT TO COMPLETION, DATED DECEMBER</w:t>
      </w:r>
      <w:r>
        <w:rPr>
          <w:sz w:val="20"/>
          <w:szCs w:val="20"/>
          <w:color w:val="auto"/>
        </w:rPr>
        <w:tab/>
      </w:r>
      <w:r>
        <w:rPr>
          <w:rFonts w:ascii="Arial" w:cs="Arial" w:eastAsia="Arial" w:hAnsi="Arial"/>
          <w:sz w:val="15"/>
          <w:szCs w:val="15"/>
          <w:color w:val="FF0000"/>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-10160</wp:posOffset>
            </wp:positionV>
            <wp:extent cx="85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9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$17,250,000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1,116,505 Shares of Class A Non-Voting Common Stock</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This prospectus relates to the sale of 1,116,505 shares of Class A Non-voting Common Stock of EZCORP, Inc., a Delaware corporation, that may be offered and sold from time to time by the selling stockholder. The number of shares to be sold was determined by dividing $17,250,000 by the closing price per share of our Class A Non-voting Common Stock on the NASDAQ Global Select Market on November 12, 2008, the day prior to closing of an asset purchase agreement pursuant to which the shares were issued to the selling stockholder. The selling stockholder received the Class A Non-voting Common Stock in a transaction that provided for EZCORP to purchase certain assets and assume certain liabilities. </w:t>
      </w:r>
      <w:r>
        <w:rPr>
          <w:rFonts w:ascii="Arial" w:cs="Arial" w:eastAsia="Arial" w:hAnsi="Arial"/>
          <w:sz w:val="18"/>
          <w:szCs w:val="18"/>
          <w:i w:val="1"/>
          <w:iCs w:val="1"/>
          <w:color w:val="auto"/>
        </w:rPr>
        <w:t>See Section 4, The Asset Purchase and Asset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 page 2, </w:t>
      </w:r>
      <w:r>
        <w:rPr>
          <w:rFonts w:ascii="Arial" w:cs="Arial" w:eastAsia="Arial" w:hAnsi="Arial"/>
          <w:sz w:val="18"/>
          <w:szCs w:val="18"/>
          <w:color w:val="auto"/>
        </w:rPr>
        <w:t>for a description of the transaction.</w:t>
      </w:r>
    </w:p>
    <w:p>
      <w:pPr>
        <w:spacing w:after="0" w:line="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registration of the shares does not necessarily mean that any of the shares will be offered or sold by the selling stockholder. EZCORP will receive no proceeds of any sale of shares but will incur expenses in connection with the registration of these shares.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EZCORP’s Class A Non-voting Common Stock is listed on the NASDAQ Global Select Market under the symbol “EZPW.” On December 2, 2008, the closing sale price of the Class A Non-voting Common Stock was $16.18 per share.</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beginning on page 5 of this prospectus for a description of risk factors that should be considered by purchasers of our Class A Non-voting Common Stock.</w:t>
      </w:r>
    </w:p>
    <w:p>
      <w:pPr>
        <w:spacing w:after="0" w:line="5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88"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The date of this Prospectus is December</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-10160</wp:posOffset>
            </wp:positionV>
            <wp:extent cx="85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60" w:type="dxa"/>
            <w:vAlign w:val="bottom"/>
            <w:gridSpan w:val="2"/>
          </w:tcPr>
          <w:p>
            <w:pPr>
              <w:jc w:val="right"/>
              <w:ind w:right="4728"/>
              <w:spacing w:after="0"/>
              <w:rPr>
                <w:sz w:val="20"/>
                <w:szCs w:val="20"/>
                <w:color w:val="auto"/>
              </w:rPr>
            </w:pPr>
            <w:r>
              <w:rPr>
                <w:rFonts w:ascii="Arial" w:cs="Arial" w:eastAsia="Arial" w:hAnsi="Arial"/>
                <w:sz w:val="18"/>
                <w:szCs w:val="18"/>
                <w:color w:val="auto"/>
                <w:w w:val="96"/>
              </w:rPr>
              <w:t>TABLE OF CONTENTS</w:t>
            </w:r>
          </w:p>
        </w:tc>
      </w:tr>
      <w:tr>
        <w:trPr>
          <w:trHeight w:val="365"/>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Page</w:t>
            </w:r>
          </w:p>
        </w:tc>
      </w:tr>
      <w:tr>
        <w:trPr>
          <w:trHeight w:val="385"/>
        </w:trPr>
        <w:tc>
          <w:tcPr>
            <w:tcW w:w="140" w:type="dxa"/>
            <w:vAlign w:val="bottom"/>
            <w:gridSpan w:val="2"/>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6660" w:type="dxa"/>
            <w:vAlign w:val="bottom"/>
            <w:gridSpan w:val="2"/>
          </w:tcPr>
          <w:p>
            <w:pPr>
              <w:jc w:val="right"/>
              <w:ind w:right="148"/>
              <w:spacing w:after="0"/>
              <w:rPr>
                <w:sz w:val="20"/>
                <w:szCs w:val="20"/>
                <w:color w:val="auto"/>
              </w:rPr>
            </w:pPr>
            <w:r>
              <w:rPr>
                <w:rFonts w:ascii="Arial" w:cs="Arial" w:eastAsia="Arial" w:hAnsi="Arial"/>
                <w:sz w:val="18"/>
                <w:szCs w:val="18"/>
                <w:color w:val="auto"/>
              </w:rPr>
              <w:t>1</w:t>
            </w:r>
          </w:p>
        </w:tc>
      </w:tr>
      <w:tr>
        <w:trPr>
          <w:trHeight w:val="196"/>
        </w:trPr>
        <w:tc>
          <w:tcPr>
            <w:tcW w:w="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Summary</w:t>
              </w:r>
            </w:hyperlink>
          </w:p>
        </w:tc>
        <w:tc>
          <w:tcPr>
            <w:tcW w:w="860" w:type="dxa"/>
            <w:vAlign w:val="bottom"/>
            <w:tcBorders>
              <w:top w:val="single" w:sz="8" w:color="0000EE"/>
            </w:tcBorders>
            <w:gridSpan w:val="5"/>
          </w:tcPr>
          <w:p>
            <w:pPr>
              <w:spacing w:after="0"/>
              <w:rPr>
                <w:sz w:val="17"/>
                <w:szCs w:val="17"/>
                <w:color w:val="auto"/>
              </w:rPr>
            </w:pPr>
          </w:p>
        </w:tc>
        <w:tc>
          <w:tcPr>
            <w:tcW w:w="2520" w:type="dxa"/>
            <w:vAlign w:val="bottom"/>
            <w:gridSpan w:val="6"/>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1</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EZCORP</w:t>
              </w:r>
            </w:hyperlink>
          </w:p>
        </w:tc>
        <w:tc>
          <w:tcPr>
            <w:tcW w:w="3400" w:type="dxa"/>
            <w:vAlign w:val="bottom"/>
            <w:gridSpan w:val="12"/>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1</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2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The Asset Purchase and Asset Purchase Agreement</w:t>
              </w:r>
            </w:hyperlink>
          </w:p>
        </w:tc>
        <w:tc>
          <w:tcPr>
            <w:tcW w:w="380" w:type="dxa"/>
            <w:vAlign w:val="bottom"/>
            <w:gridSpan w:val="2"/>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Description of Sellers’ Businesses</w:t>
              </w:r>
            </w:hyperlink>
          </w:p>
        </w:tc>
        <w:tc>
          <w:tcPr>
            <w:tcW w:w="1620" w:type="dxa"/>
            <w:vAlign w:val="bottom"/>
            <w:gridSpan w:val="4"/>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4</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180" w:type="dxa"/>
            <w:vAlign w:val="bottom"/>
            <w:gridSpan w:val="10"/>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Recent Developments</w:t>
              </w:r>
            </w:hyperlink>
          </w:p>
        </w:tc>
        <w:tc>
          <w:tcPr>
            <w:tcW w:w="2500" w:type="dxa"/>
            <w:vAlign w:val="bottom"/>
            <w:gridSpan w:val="5"/>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7</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Use of Proceeds</w:t>
              </w:r>
            </w:hyperlink>
          </w:p>
        </w:tc>
        <w:tc>
          <w:tcPr>
            <w:tcW w:w="2920" w:type="dxa"/>
            <w:vAlign w:val="bottom"/>
            <w:gridSpan w:val="9"/>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23</w:t>
            </w:r>
          </w:p>
        </w:tc>
      </w:tr>
      <w:tr>
        <w:trPr>
          <w:trHeight w:val="196"/>
        </w:trPr>
        <w:tc>
          <w:tcPr>
            <w:tcW w:w="14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Selling Stockholder</w:t>
              </w:r>
            </w:hyperlink>
          </w:p>
        </w:tc>
        <w:tc>
          <w:tcPr>
            <w:tcW w:w="2660" w:type="dxa"/>
            <w:vAlign w:val="bottom"/>
            <w:gridSpan w:val="8"/>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10.</w:t>
              </w:r>
            </w:hyperlink>
          </w:p>
        </w:tc>
        <w:tc>
          <w:tcPr>
            <w:tcW w:w="42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Plan Of Distribution</w:t>
              </w:r>
            </w:hyperlink>
          </w:p>
        </w:tc>
        <w:tc>
          <w:tcPr>
            <w:tcW w:w="2620" w:type="dxa"/>
            <w:vAlign w:val="bottom"/>
            <w:gridSpan w:val="7"/>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24</w:t>
            </w:r>
          </w:p>
        </w:tc>
      </w:tr>
      <w:tr>
        <w:trPr>
          <w:trHeight w:val="196"/>
        </w:trPr>
        <w:tc>
          <w:tcPr>
            <w:tcW w:w="220" w:type="dxa"/>
            <w:vAlign w:val="bottom"/>
            <w:tcBorders>
              <w:bottom w:val="single" w:sz="8" w:color="0000EE"/>
            </w:tcBorders>
            <w:gridSpan w:val="3"/>
          </w:tcPr>
          <w:p>
            <w:pPr>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11.</w:t>
              </w:r>
            </w:hyperlink>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Experts</w:t>
              </w:r>
            </w:hyperlink>
          </w:p>
        </w:tc>
        <w:tc>
          <w:tcPr>
            <w:tcW w:w="3540" w:type="dxa"/>
            <w:vAlign w:val="bottom"/>
            <w:gridSpan w:val="13"/>
          </w:tcPr>
          <w:p>
            <w:pPr>
              <w:spacing w:after="0"/>
              <w:rPr>
                <w:sz w:val="17"/>
                <w:szCs w:val="17"/>
                <w:color w:val="auto"/>
              </w:rPr>
            </w:pPr>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26</w:t>
            </w:r>
          </w:p>
        </w:tc>
      </w:tr>
      <w:tr>
        <w:trPr>
          <w:trHeight w:val="196"/>
        </w:trPr>
        <w:tc>
          <w:tcPr>
            <w:tcW w:w="240" w:type="dxa"/>
            <w:vAlign w:val="bottom"/>
            <w:gridSpan w:val="4"/>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12.</w:t>
              </w:r>
            </w:hyperlink>
          </w:p>
        </w:tc>
        <w:tc>
          <w:tcPr>
            <w:tcW w:w="420" w:type="dxa"/>
            <w:vAlign w:val="bottom"/>
          </w:tcPr>
          <w:p>
            <w:pPr>
              <w:spacing w:after="0"/>
              <w:rPr>
                <w:sz w:val="17"/>
                <w:szCs w:val="17"/>
                <w:color w:val="auto"/>
              </w:rPr>
            </w:pPr>
          </w:p>
        </w:tc>
        <w:tc>
          <w:tcPr>
            <w:tcW w:w="4100" w:type="dxa"/>
            <w:vAlign w:val="bottom"/>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Information Incorporated By Reference</w:t>
              </w:r>
            </w:hyperlink>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27</w:t>
            </w:r>
          </w:p>
        </w:tc>
      </w:tr>
      <w:tr>
        <w:trPr>
          <w:trHeight w:val="20"/>
        </w:trPr>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gridSpan w:val="11"/>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r>
      <w:tr>
        <w:trPr>
          <w:trHeight w:val="196"/>
        </w:trPr>
        <w:tc>
          <w:tcPr>
            <w:tcW w:w="240" w:type="dxa"/>
            <w:vAlign w:val="bottom"/>
            <w:gridSpan w:val="4"/>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13.</w:t>
              </w:r>
            </w:hyperlink>
          </w:p>
        </w:tc>
        <w:tc>
          <w:tcPr>
            <w:tcW w:w="420" w:type="dxa"/>
            <w:vAlign w:val="bottom"/>
          </w:tcPr>
          <w:p>
            <w:pPr>
              <w:spacing w:after="0"/>
              <w:rPr>
                <w:sz w:val="17"/>
                <w:szCs w:val="17"/>
                <w:color w:val="auto"/>
              </w:rPr>
            </w:pPr>
          </w:p>
        </w:tc>
        <w:tc>
          <w:tcPr>
            <w:tcW w:w="4100" w:type="dxa"/>
            <w:vAlign w:val="bottom"/>
            <w:gridSpan w:val="14"/>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Disclosure Of Commission Position On Indemnification</w:t>
              </w:r>
            </w:hyperlink>
          </w:p>
        </w:tc>
        <w:tc>
          <w:tcPr>
            <w:tcW w:w="6660" w:type="dxa"/>
            <w:vAlign w:val="bottom"/>
            <w:gridSpan w:val="2"/>
          </w:tcPr>
          <w:p>
            <w:pPr>
              <w:jc w:val="right"/>
              <w:ind w:right="148"/>
              <w:spacing w:after="0" w:line="196" w:lineRule="exact"/>
              <w:rPr>
                <w:sz w:val="20"/>
                <w:szCs w:val="20"/>
                <w:color w:val="auto"/>
              </w:rPr>
            </w:pPr>
            <w:r>
              <w:rPr>
                <w:rFonts w:ascii="Arial" w:cs="Arial" w:eastAsia="Arial" w:hAnsi="Arial"/>
                <w:sz w:val="18"/>
                <w:szCs w:val="18"/>
                <w:color w:val="auto"/>
              </w:rPr>
              <w:t>28</w:t>
            </w:r>
          </w:p>
        </w:tc>
      </w:tr>
      <w:tr>
        <w:trPr>
          <w:trHeight w:val="20"/>
        </w:trPr>
        <w:tc>
          <w:tcPr>
            <w:tcW w:w="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EX-23.1</w:t>
              </w:r>
            </w:hyperlink>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1901 Capital Parkway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(512) 314-3400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ABOUT THIS PROSPECTUS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following summary highlights information contained in this prospectus or incorporated by reference. While we have included what we believe to be the most important information about us and this offering, the following summary may not contain all the information that may be important to you. For a complete understanding of our business, the asset purchase and this offering, you should read this entire prospectus carefully and the information to which we refer you and the information incorporated into this prospectus by reference. Unless the context requires otherwise, in this prospectus the terms “EZCORP,” “we,” “us” and “our” refer to EZCORP, Inc., a Delaware corporation. The selling stockholder is described in </w:t>
      </w:r>
      <w:r>
        <w:rPr>
          <w:rFonts w:ascii="Arial" w:cs="Arial" w:eastAsia="Arial" w:hAnsi="Arial"/>
          <w:sz w:val="16"/>
          <w:szCs w:val="16"/>
          <w:i w:val="1"/>
          <w:iCs w:val="1"/>
          <w:color w:val="auto"/>
        </w:rPr>
        <w:t>Section 9, Selling Stockholder, page 23</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On November 13, 2008, we purchased certain assets and assumed certain liabilities related to eleven pawn shops in Nevada from several selling entities controlled by the selling shareholder, pursuant to an asset purchase agreement, as amended and restated on October 24, 2008. Under the asset purchase agreement, we paid total consideration of approximately $34.26 million, excluding cash acquired, comprised of cash and shares of our Class A Non-voting Common Stock (the “EZCORP Shares”) to the selling stockholder, who is an accredited investor, in a privately negotiated transaction under Regulation D of the Securities and Exchange Commission (“SEC”). The value of the EZCORP Shares that were issued in the asset purchase equaled $17.25 million based on the closing price of our stock on the NASDAQ Global Select Market on the day prior to the closing of the asset purchase agreement. Based on the closing price of our stock of $15.45 per share on November 12, 2008, we issued 1,116,505 EZCORP Shares as the stock component of the purchase price. The remaining $17.01 million was paid in cash as described in </w:t>
      </w:r>
      <w:r>
        <w:rPr>
          <w:rFonts w:ascii="Arial" w:cs="Arial" w:eastAsia="Arial" w:hAnsi="Arial"/>
          <w:sz w:val="16"/>
          <w:szCs w:val="16"/>
          <w:i w:val="1"/>
          <w:iCs w:val="1"/>
          <w:color w:val="auto"/>
        </w:rPr>
        <w:t>Section 4, The Asset Purchase and the Asset Purchase Agreement, page 2</w:t>
      </w:r>
      <w:r>
        <w:rPr>
          <w:rFonts w:ascii="Arial" w:cs="Arial" w:eastAsia="Arial" w:hAnsi="Arial"/>
          <w:sz w:val="16"/>
          <w:szCs w:val="16"/>
          <w:color w:val="auto"/>
        </w:rPr>
        <w:t>.</w:t>
      </w:r>
    </w:p>
    <w:p>
      <w:pPr>
        <w:spacing w:after="0" w:line="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agreed to register the EZCORP Shares with the SEC for resale by the selling stockholder. This prospectus describes the asset purchase and the proposed resale by the selling stockholder.</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Prior to the asset purchase, we owned and operated four pawn stores in Nevada. The addition of the eleven stores acquired in the purchase will compliment our existing pawn business in Nevada.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EZCORP</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lend or provide credit services to individuals who do not have cash resources or access to credit to meet their short-term cash needs. Our services include pawn loans and short-term non-collateralized loans, often called payday loans or fee-based credit services to customers seeking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loans. The pawn loans are non-recourse loans collateralized by tangible personal property. We also sell merchandise, primarily collateral forfeited from our pawn lending operations, to customers looking for good value. Our business, operations and financial information are described in detail in our annual report on Form 10-K, quarterly reports on Form 10-Q and other reports, which are incorporated by reference into this prospectus. The asset purchase agreement is filed with the SEC as Exhibit 2.1 to the registration statement that contains this prospectus</w:t>
      </w:r>
      <w:r>
        <w:rPr>
          <w:rFonts w:ascii="Arial" w:cs="Arial" w:eastAsia="Arial" w:hAnsi="Arial"/>
          <w:sz w:val="17"/>
          <w:szCs w:val="17"/>
          <w:i w:val="1"/>
          <w:iCs w:val="1"/>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1901 Capital Parkway, Austin, Texas 78746. Our telephone number is (512) 314-3400.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THE ASSET PURCHASE AND ASSET PURCHASE AGREEMENT</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September 4, 2008, we agreed to purchase certain assets and assume certain liabilities of eleven pawn shops, a payday loan business and an auto title loan business. We entered an amended and restated asset purchase agreement on October 24, 2008. The assets and liabilities are held in the name of the following entities, which we sometimes call the “Sellers”: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Pawn Plus 1,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Pawn Plus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4,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5,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6,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7,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Plus 8,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ASAP Pawn,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Crag A. McCall,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Pawn Place,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Craig A. McCall owns and controls all of the Sellers either directly or indirectly through a family trust of which he and his wife are trustees. All of the Sellers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are formed under Nevada law. Under the asset purchase agreement, the Sellers and Mr. McCall collectively received consideration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$34.26 million, after deducting cash acquired, consisting of $17.01 million of cash, and EZCORP Shares valued at $17.25 million, determined by reference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quoted price of our shares on the NASDAQ Global Select Market on the day prior to the closing of the asset purchase agreement. Mr. McCall is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selling shareholder of the EZCORP Shares identified in this prospectus.</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assets and liabilities were acquired by, and the business is now operated by, our wholly owned subsidiary, EZPAWN Nevada, Inc. EZPAWN Nevada, Inc., was formed in 1993 and prior to the asset purchase operated four pawn shops in the Las Vegas metropolitan area.</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asset purchase agreement set a preliminary purchase price of $34.50 million, including $17.25 million to be paid in EZCORP Shares and $17.25 million in cash, and it provided for adjustments to the cash portion of the purchase price based on audits by EZCORP staff of each of the Sellers’ businesses conducted immediately prior to closing of the purchase, to establish the value of their loan portfolios and inventory. Based on these audits by EZCORP staff, which were conducted on November 12-13, 2008, and other minor adjustments for deposits and rents, the final purchase price was adjusted downward by a total of $242,455.70 to $34,257,544.30, excluding cash acquired.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Ancillary Agreements</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addition to the asset purchase agreement, the parties also entered the following agreements that became effective on closing of the asset purchase agreement:</w:t>
      </w:r>
    </w:p>
    <w:p>
      <w:pPr>
        <w:spacing w:after="0" w:line="62" w:lineRule="exact"/>
        <w:rPr>
          <w:sz w:val="20"/>
          <w:szCs w:val="20"/>
          <w:color w:val="auto"/>
        </w:rPr>
      </w:pPr>
    </w:p>
    <w:p>
      <w:pPr>
        <w:ind w:left="220" w:right="200" w:hanging="212"/>
        <w:spacing w:after="0" w:line="277"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consulting and non-competition agreement between Mr. McCall and the purchaser (EZPAWN Nevada, Inc.) with respect to operation of Sellers’ pawn and auto title loan business after closing; and</w:t>
      </w:r>
    </w:p>
    <w:p>
      <w:pPr>
        <w:spacing w:after="0" w:line="62" w:lineRule="exact"/>
        <w:rPr>
          <w:rFonts w:ascii="Arial" w:cs="Arial" w:eastAsia="Arial" w:hAnsi="Arial"/>
          <w:sz w:val="18"/>
          <w:szCs w:val="18"/>
          <w:b w:val="1"/>
          <w:bCs w:val="1"/>
          <w:color w:val="auto"/>
        </w:rPr>
      </w:pPr>
    </w:p>
    <w:p>
      <w:pPr>
        <w:ind w:left="220" w:hanging="212"/>
        <w:spacing w:after="0" w:line="277" w:lineRule="auto"/>
        <w:tabs>
          <w:tab w:leader="none" w:pos="2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 right of first refusal agreement between Mr. McCall, Sellers and the purchaser to acquire additional pawnshops operated by Mr. McCall and his affiliated entities in Arizona.</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asset purchase agreement also contains a covenant not to compete with us from the Sellers in the State of Nevada for five years after the purchase by</w:t>
      </w:r>
    </w:p>
    <w:p>
      <w:pPr>
        <w:spacing w:after="0" w:line="4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directly competing against the purchaser, (2) opening or reestablishing any pawn business, (3) soliciting our employees to go to work for Sellers in the</w:t>
      </w:r>
    </w:p>
    <w:p>
      <w:pPr>
        <w:spacing w:after="0" w:line="32" w:lineRule="exact"/>
        <w:rPr>
          <w:rFonts w:ascii="Arial" w:cs="Arial" w:eastAsia="Arial" w:hAnsi="Arial"/>
          <w:sz w:val="16"/>
          <w:szCs w:val="16"/>
          <w:color w:val="auto"/>
        </w:rPr>
      </w:pPr>
    </w:p>
    <w:p>
      <w:pPr>
        <w:jc w:val="both"/>
        <w:ind w:right="80"/>
        <w:spacing w:after="0" w:line="277" w:lineRule="auto"/>
        <w:rPr>
          <w:rFonts w:ascii="Arial" w:cs="Arial" w:eastAsia="Arial" w:hAnsi="Arial"/>
          <w:sz w:val="16"/>
          <w:szCs w:val="16"/>
          <w:color w:val="auto"/>
        </w:rPr>
      </w:pPr>
      <w:r>
        <w:rPr>
          <w:rFonts w:ascii="Arial" w:cs="Arial" w:eastAsia="Arial" w:hAnsi="Arial"/>
          <w:sz w:val="17"/>
          <w:szCs w:val="17"/>
          <w:color w:val="auto"/>
        </w:rPr>
        <w:t>pawn or auto title loan business, (4) supporting or assisting other pawn or auto title loan business or (5) investing in a pawn business in Nevada (other than to purchase less than 1% of the equity of a publicly held company engaged in the pawn business). The asset purchase agreement acknowledges that Mr. McCall operates and will continue to operate pawn shops outside of Nevada and a motor vehicle sales and financing business within Nevada.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Repayment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Several of the Sellers and other entities affiliated with Mr. McCall have a revolving line of credit under a loan agreement, as well as other loan arrangements, with Silver State Bank in Las Vegas, Nevada. The Sellers have used this credit facility to fund day to day operations as needed. On September 5, 2008, shortly after the asset purchase agreement was executed, the Federal Deposit Insurance Corporation closed Silver State Bank and notified the Sellers that the bank would not continue to advance funds under their line of credit.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In order to provide cash for the Sellers to continue to meet short term obligations after the closing of Silver State Bank, in September 2008 we loaned</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$1.75 million to the Sellers and their affiliates. The Sellers and their affiliates executed a promissory note for the principal amount plus interest at 8% per annum. The promissory note was secured by a second lien on real property in Las Vegas and by the personal guaranty of Mr. McCall. The note principal and interest was repaid in full at closing out of the Cash Consideration.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Specific Performance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 purchase agreement provides that, in the event of a breach of the agreement by one or more of the Sellers or Mr. McCall, the purchaser may bring a legal action to require specific performance of the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of Funds for the Asset Purchase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consideration for the transaction was approximately $34.26 million, excluding cash acquired, consisting of a combination of the EZCORP Shares and our cash on hand, as follows:</w:t>
      </w:r>
    </w:p>
    <w:p>
      <w:pPr>
        <w:spacing w:after="0" w:line="62" w:lineRule="exact"/>
        <w:rPr>
          <w:sz w:val="20"/>
          <w:szCs w:val="20"/>
          <w:color w:val="auto"/>
        </w:rPr>
      </w:pPr>
    </w:p>
    <w:p>
      <w:pPr>
        <w:ind w:left="220" w:right="200" w:hanging="212"/>
        <w:spacing w:after="0" w:line="277" w:lineRule="auto"/>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EZCORP Shares, valued at $17.25 million based on the closing price of our stock on NASDAQ on the day prior to the closing of the asset purchase agreement.</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Cash from our cash reserves of approximately $17.01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the Asset Purchase by EZCORP and Sellers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EZCORP</w:t>
      </w:r>
      <w:r>
        <w:rPr>
          <w:rFonts w:ascii="Arial" w:cs="Arial" w:eastAsia="Arial" w:hAnsi="Arial"/>
          <w:sz w:val="16"/>
          <w:szCs w:val="16"/>
          <w:color w:val="auto"/>
        </w:rPr>
        <w:t>. The asset purchase has been approved by our board of directors and the board of directors of our subsidiary, which is purchasing the assets.</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Sellers and Mr. McCall</w:t>
      </w:r>
      <w:r>
        <w:rPr>
          <w:rFonts w:ascii="Arial" w:cs="Arial" w:eastAsia="Arial" w:hAnsi="Arial"/>
          <w:sz w:val="18"/>
          <w:szCs w:val="18"/>
          <w:color w:val="auto"/>
        </w:rPr>
        <w:t>. The asset purchase has been approved by Mr. McCall and the board of directors or managers and by the shareholders or the members (as the case may be) of each Seller.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of Asset Purchase Shares on NASDAQ</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EZCORP Shares are listed on the NASDAQ Global Select Market where shares of our Class A Non-voting Common Stock are currently traded.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 of the Asset Purchase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the closing date, the purchaser (a wholly owned subsidiary of EZCORP) acquired those certain assets and assumed those certain liabilities of Sellers set forth in the asset purchase agreement. The asset purchase will be accounted for as a purchase business combination in accordance with Statement of Financial Accounting Standards No. 141, “Business Combinations.” We will assess the value of assets and liabilities acquired, less the cash acquired, and record those in our balance sheet through a purchase price allocation. After the asset purchase, any results of operations attributable to the purchased assets will be consolidated with those of EZCORP for financial reporting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DESCRIPTION OF SELLERS’ BUSINESSES.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Sellers operated eleven pawn shops in Nevada under the names “Pawn Plus,” “ASAP Loans” and “Pawn Place.” The pawn shops issue pawn loans and short-term non-collateralized loans (payday loans) to customers who need cash. The pawn loans are non-recourse loans collateralized by tangible personal property. Through their pawn shops, the Sellers also sold merchandise that consisted primarily of collateral that was forfeited by customers through pawn loans.</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One of the Sellers, Craig A. McCall, Inc., doing business as “ASAP Loans,” made auto title loans and payday loans. The auto title loan business consisted of making cash loans that were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collateralized by the pledge of title to the borrower’s automotive vehicle. The payday loan business consisted of making short term unsecured loans due on the customer’s next payday. The payday loans were non-collateralized loans typically due on the customer’s next payday. On the acquisition date, the auto title loan business had an outstanding loan portfolio of about $1.1 million. The payday loan business had an outstanding loan portfolio of less than $1 million. The combined auto title loan business, payday loan business and pawn business of the Sellers are not large enough to be considered a significant business combination by us for financial reporting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RISK FACTORS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Investment in our Class A Non-voting Common Stock, as with any investment in a security, involves a degree of risk. Important risk factors that could cause results or events to differ from current expectations are described in Part I, Item IA, “Risk Factors” of our Annual Report on Form 10-K for the year ended September 30, 2007, and Part II, Item IA, “Risk Factors” of our Quarterly Report on Form 10-Q for the quarter ended June 30, 2008. These factors are supplemented by those discussed under “Quantitative and Qualitative Disclosures about Market Risk” in Part II, Item 7A of our Annual Report on Form 10-K for the year ended September 30, 2007 and Part I, Item 3 of our Quarterly Report on Form 10-Q for the quarter ended June 30, 2008. Each of the foregoing sections of our Annual Report on Form 10-K for the year ended September 30, 2007 and our Quarterly Report on Form 10-Q for the quarter ended June 30, 2008 is incorporated herein by reference. Following are additional items that could cause results or events to differ from current expectations: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integration of the purchased assets with our business may not be successful or anticipated benefits from the asset purchase may not be realized.</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completion of the asset purchase, we now have larger operations than we did prior to the asset purchase, although the business being acquired is not large enough to be considered a significant business combination for us. Even so, our ability to realize the benefits of the assets purchased will depend in part on the timely integration of Sellers’ organizations, operations, procedures, policies and technologies with ours, as well as the harmonization of differences in Sellers’ business cultures and practices with ours. There is a significant degree of difficulty and management involvement inherent in that process. These difficulties include the following:</w:t>
      </w:r>
    </w:p>
    <w:p>
      <w:pPr>
        <w:spacing w:after="0" w:line="80"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integrating the operations of the purchased assets with our business while carrying on the ongoing operations of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diversion of management’s attention from the management of daily operations to the integration of the purchased assets with our business;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managing a larger company than before completion of the asset purchase;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realizing economies of scale and eliminating duplicative overheads;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possibility of faulty assumptions underlying our expectations regarding the integration process or expected earnings enhancement;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coordinating businesses located in different geographic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integrating the Sellers’ business cultures and practices with ours, which may prove to be incompatible;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Retaining the personnel associated with Sellers’ businesses following the asset purchase;</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creating and instituting uniform standards, controls, procedures, policies and information systems and minimizing the costs associated with such matters;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integrating information, purchasing, accounting, finance, sales, billing, payroll and regulatory compliance systems.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is no assurance that the purchased assets will be successfully or cost-effectively integrated into our business operations. The process of integrating the purchased assets into our operations may cause an interruption of, or loss of momentum in, the activities of our business. If our management is not able to effectively manage the integration process, or if any significant business activities are interrupted as a result of the integration process, our business could suffer and the results of our operations and financial condition may be harmed.</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you that we will realize the anticipated benefits and value of the purchased assets or successfully integrate the purchased assets with our existing operations. Even if we are able to successfully integrate the purchased assets with our business, it may not be possible to realize the full benefits and value that are currently expected to result from the asset purchase, or realize these benefits and value within the time frame that is currently expected. For example, the benefits and value gained from the asset purchase may be offset by costs incurred or delays in integrating the purchased assets with our business. If we fail to realize anticipated cost savings, synergies or revenue enhancements we anticipate from the purchased assets, our financial position and results of operations may be adversely affected.</w:t>
      </w:r>
    </w:p>
    <w:p>
      <w:pPr>
        <w:spacing w:after="0" w:line="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A change in the business climate may cause the actual benefits and value of the purchased assets to differ from the anticipated benefits and value of the purchased assets.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change in the business climate surrounding our business after the asset purchase may affect our customers’ activities and actions. This could cause our financial results and results of operations to be adversely affected. This may also cause the actual benefits and value of the purchased assets to differ from the benefits and value we anticipate from the purchased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will incur significant costs and expenses associated with the asset purchase.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expect to incur significant costs and expenses associated with the asset purchase, which include but are not limited to transaction fees (estimated at</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$25,000) and professional service fees and regulatory filing fees (estimated at $100,000). We also believe we may incur charges to operations, which are not currently reasonably estimable, in the quarter in which the asset purchase was completed or the following quarters, to reflect costs associated with integrating the purchased assets into our business. There can be no assurance that we will not incur additional material charges in subsequent quarters to reflect additional costs associated with the asset purchase and the integration of the purchased assets into our business.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Regarding Risks And Uncertainties That May Affect Future Results — Forward-Looking Information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prospectus and the documents incorporated herein by reference include “forward-looking statements” within the meaning of Section 27A of the Securities Act of 1933, as amended, and Section 21E of the Securities Exchange Act of 1934, as amended. We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acquisitions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we cannot predict all of the risks and uncertainties that could cause our actual results to differ materially from those expressed in the forward-looking statements. You should not regard them as a representation that the expected results will be achieved. Important risk factors that could cause results or events to differ from current expectations are described in this prospectus under the heading “Risk Factors” and in the sections entitled “Risk Factors” in our Annual Report on Form 10-K for the year ended September 30, 2007 and our Quarterly Report for the quarter ended June 30, 2008. These factors are not intended to be an all-encompassing list of risks and uncertainties that may affect our operations, performance, development and results. You are cautioned not to overly rely on these forward-looking statements, which are current only as of the date hereof. We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acquisitions, store growth plans or to reflect unanticipated events.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RECENT DEVELOPMENTS — MERGER AGREEMENT WITH VALUE FINANCIAL SERVICES, INC.</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September 16, 2008, we entered into a merger agreement with Value Financial Services, Inc. (“VFS”), under which, upon completion, VFS will merge into our wholly owned subsidiary, Value Merger Sub, Inc., and will become a wholly-owned subsidiary of EZCORP in a transaction to be accounted for using the purchase method of accounting for business combinations. Under the terms of the merger agreement, at the effective time of the merger, each outstanding share of VFS common stock will be converted into the right to receive either (i) $11.00 in cash, without interest, or 0.75 of a share of EZCORP Class A Non-voting Common Stock plus rights to certain contingent cash consideration depending on the prices at which VFS shareholders may sell the EZCORP shares acquired in the merger. The proposed merger is described in our Current Reports on Form 8-K filed with the SEC on September 17, 2008, and Form 8-K/A filed with the SEC on September 18, 2008. This merger is scheduled to close on December 31, 2008.</w:t>
      </w:r>
    </w:p>
    <w:p>
      <w:pPr>
        <w:spacing w:after="0" w:line="70" w:lineRule="exact"/>
        <w:rPr>
          <w:sz w:val="20"/>
          <w:szCs w:val="20"/>
          <w:color w:val="auto"/>
        </w:rPr>
      </w:pPr>
    </w:p>
    <w:p>
      <w:pPr>
        <w:ind w:right="780" w:firstLine="225"/>
        <w:spacing w:after="0" w:line="277" w:lineRule="auto"/>
        <w:rPr>
          <w:sz w:val="20"/>
          <w:szCs w:val="20"/>
          <w:color w:val="auto"/>
        </w:rPr>
      </w:pPr>
      <w:r>
        <w:rPr>
          <w:rFonts w:ascii="Arial" w:cs="Arial" w:eastAsia="Arial" w:hAnsi="Arial"/>
          <w:sz w:val="18"/>
          <w:szCs w:val="18"/>
          <w:color w:val="auto"/>
        </w:rPr>
        <w:t>Because we believe that the merger between EZCORP and VFS will probably occur and because the size of VFS makes the merger a significant acquisition for us, we are including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prospectus pro forma financial information regarding the effect of the VFS merger on EZCORP. The following unaudited pro forma condensed combined balance sheet is based on historical balance sheets of EZCORP and VFS and has been prepared to reflect the merger as if it had been completed on the balance sheet date of June 30, 2008. The following unaudited pro forma condensed combined statements of operations give effect to the merger as if it had taken place on October 1, 2006, the beginning of the earliest period presented, in accordance with SEC guidance. Although VFS’s fiscal year ends on a different date than that of EZCORP, all VFS information presented in the Pro Forma Combined Statements of Operations are actual amounts for the periods indicated. For example, the VFS information presented in the Pro Forma Statement of Operations for the year ended September 30, 2007 reflects VFS’s performance for the twelve months then ended and not amounts reported in the VFS annual audited financial statements for the year ended December 31, 2007.</w:t>
      </w:r>
    </w:p>
    <w:p>
      <w:pPr>
        <w:spacing w:after="0" w:line="84"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VFS merger will be accounted for under the purchase method of accounting in accordance with Statement of Financial Accounting Standards No. 141, “Business Combinations.” Under the purchase method of accounting, the total estimated purchase price, calculated as described in Note A to these unaudited pro forma condensed combined financial statements, is allocated to the net tangible and intangible assets of VFS based on their estimated fair values. Management has made a preliminary allocation of the estimated purchase price to the tangible and intangible assets acquired and liabilities assumed based on various preliminary estimates. A final determination of these estimated fair values, which cannot be made prior to the completion of the merger, will be based on the actual net tangible and intangible assets of VFS that exist as of the date of completion of the merger, and upon the final purchase price.</w:t>
      </w:r>
    </w:p>
    <w:p>
      <w:pPr>
        <w:spacing w:after="0" w:line="57" w:lineRule="exact"/>
        <w:rPr>
          <w:sz w:val="20"/>
          <w:szCs w:val="20"/>
          <w:color w:val="auto"/>
        </w:rPr>
      </w:pPr>
    </w:p>
    <w:p>
      <w:pPr>
        <w:ind w:right="40" w:firstLine="222"/>
        <w:spacing w:after="0" w:line="253" w:lineRule="auto"/>
        <w:rPr>
          <w:sz w:val="20"/>
          <w:szCs w:val="20"/>
          <w:color w:val="auto"/>
        </w:rPr>
      </w:pPr>
      <w:r>
        <w:rPr>
          <w:rFonts w:ascii="Arial" w:cs="Arial" w:eastAsia="Arial" w:hAnsi="Arial"/>
          <w:sz w:val="18"/>
          <w:szCs w:val="18"/>
          <w:color w:val="auto"/>
        </w:rPr>
        <w:t>The unaudited pro forma condensed combined financial statements are based on the estimates and assumptions which are preliminary and have been made solely for purposes of developing such pro forma information. They do not include liabilities that may result from integration activities which are not presently estimable. The management of EZCORP and VFS are in the process of making these assessments, and estimates of these costs are not currently known. However, liabilities ultimately may be recorded for severance costs for VFS employees, costs of vacating some facilities of VFS, or other costs associated with exiting activities of VFS that would affect the pro forma condensed combined financial statements. Any such liabilities would be recorded as an adjustment to the purchase price and an increase in goodwill. In addition, the pro forma condensed combined financial statements do not include any potential operating efficiencies or cost savings from expected synergies. The unaudited pro forma condensed combined financial statements are not necessarily an indication of the results that would have been achieved had the merger been completed as of the dates indicated or that may be achieved in the future.</w:t>
      </w:r>
    </w:p>
    <w:p>
      <w:pPr>
        <w:spacing w:after="0" w:line="89"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the merger agreement, we agreed to exchange three-quarters of a share of EZCORP’s Class A Non-voting Common Stock for each of the 6,646,370 shares of VFS’s common stock we expect to be outstanding on the acquisition date, and to round up to the nearest whole share any fractional shares. We also agreed to make certain cash contingency payments to VFS shareholders selling EZCORP Shares within 125 days of effectiveness of this registration statement, assuming such shares are sold above or below $14.67 per share, as described in the merger agreement. At the option of each VFS shareholder, we also agreed to pay cash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consideration of $11.00 per VFS share in lieu of issuing EZCORP Shares for up to twenty percent of the outstanding VFS shares. For purposes of these pro forma combined financial statements and the preliminary purchase price allocation, we assumed no contingency payments and that twenty percent of VFS shareholders elect to receive $11.00 cash consideration in lieu of EZCORP Shares; however, we cannot predict the amount of any contingent payment that might be made or what percentage of VFS shareholders ultimately will elect to receive cash in lieu of EZCORP Shares, and the ultimate purchase price will be adjusted to reflect any changes in actual behavior compared to our assumptions herein. Notes A and G to these pro forma financial statements describe differences in the pro forma results under differing assumptions as to the amount of contingency payments actually made and the number of shareholders electing to receive cash in lieu of EZCORP Shares.</w:t>
      </w:r>
    </w:p>
    <w:p>
      <w:pPr>
        <w:spacing w:after="0" w:line="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purposes of preparing these pro forma condensed combined financial statements, we have assumed consummation of the following transactions upon completion of the merger:</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Conversion of all VFS participating stock into VFS common stock</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Exchanging 0.75 EZCORP Shares for each VFS common share for those shareholders electing to receive EZCORP Shares (assumed 80% elect to receive EZCORP Shares)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Cash payment to all VFS shareholders electing to receive cash in lieu of EZCORP Shares (assumed 20% elect to receive cash)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Use of $20 million of EZCORP’s cash on hand as part of the merger consideration</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Use of $1 million of EZCORP’s cash on hand to pay deferred financings costs related to its Fifth Amended and Restated Credit Facility, expected to become effective at the time of the merger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Closing of the EZCORP Fifth Amended and Restated Credit Facility</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VFS’ payment of all accrued, unpaid dividends on its Series A-2 participating stock immediately preceding closing of the merger, with an offsetting increase in VFS’ outstanding debt to finance the payment (estimated at $2.4 million at June 30, 2008)</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Retirement of VFS’ outstanding debt at the date of the merger (including the borrowings to finance its payment of its Series A-2 accrued, unpaid dividends)</w:t>
      </w:r>
    </w:p>
    <w:p>
      <w:pPr>
        <w:spacing w:after="0" w:line="75"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Borrowing upon EZCORP’s Fifth Amended and Restated Credit Facility for approximately $1.1 million of transaction-related expenses and the payment of VFS’ outstanding debt and merger consideration not otherwise covered by EZCORP’s cash on hand (as described above) and EZCORP Shares to be issued as merger consideration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Balance Sheet as of June 30, 2008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color w:val="auto"/>
                <w:w w:val="96"/>
              </w:rPr>
              <w:t>Pro Forma</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color w:val="auto"/>
              </w:rPr>
              <w:t>VFS</w:t>
            </w:r>
          </w:p>
        </w:tc>
        <w:tc>
          <w:tcPr>
            <w:tcW w:w="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260" w:type="dxa"/>
            <w:vAlign w:val="bottom"/>
          </w:tcPr>
          <w:p>
            <w:pPr>
              <w:jc w:val="right"/>
              <w:ind w:right="451"/>
              <w:spacing w:after="0"/>
              <w:rPr>
                <w:sz w:val="20"/>
                <w:szCs w:val="20"/>
                <w:color w:val="auto"/>
              </w:rPr>
            </w:pPr>
            <w:r>
              <w:rPr>
                <w:rFonts w:ascii="Arial" w:cs="Arial" w:eastAsia="Arial" w:hAnsi="Arial"/>
                <w:sz w:val="14"/>
                <w:szCs w:val="14"/>
                <w:color w:val="auto"/>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i w:val="1"/>
                <w:iCs w:val="1"/>
                <w:color w:val="auto"/>
              </w:rPr>
              <w:t>(In thousands)</w:t>
            </w: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29,812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762</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(20,000)</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(1,000)</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loans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Payday loans, net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 receivable, net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Signature loan fees receivable, net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net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39,444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475</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Deferred tax asset, net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3,686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income tax receivable</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174,106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(20,525)</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195,044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Investment in unconsolidated affiliate</w:t>
            </w:r>
          </w:p>
        </w:tc>
        <w:tc>
          <w:tcPr>
            <w:tcW w:w="120" w:type="dxa"/>
            <w:vAlign w:val="bottom"/>
          </w:tcPr>
          <w:p>
            <w:pPr>
              <w:spacing w:after="0"/>
              <w:rPr>
                <w:sz w:val="24"/>
                <w:szCs w:val="2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37,248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38,661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Deferred tax asset, non-current</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2,908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24,779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(4,874)</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58,172</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6,860</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285,999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39,633</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383,297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other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24,120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Customer layaway deposits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2,254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income taxes payable</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17,446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(17,446)</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10,000</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(7,446)</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(12,254)</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17,752</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 liability</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Deferred gains and other long-term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5,498</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4"/>
                <w:szCs w:val="2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29,283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35,757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(1,948)</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63,092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Class A Non-voting Common Stock</w:t>
            </w:r>
          </w:p>
        </w:tc>
        <w:tc>
          <w:tcPr>
            <w:tcW w:w="12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8"/>
                <w:szCs w:val="18"/>
                <w:color w:val="auto"/>
              </w:rPr>
            </w:pP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Voting Common Stock</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134,598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55,581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(55,581)</w:t>
            </w:r>
          </w:p>
        </w:tc>
        <w:tc>
          <w:tcPr>
            <w:tcW w:w="1260" w:type="dxa"/>
            <w:vAlign w:val="bottom"/>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63,449</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400"/>
              <w:spacing w:after="0" w:line="201" w:lineRule="exact"/>
              <w:rPr>
                <w:sz w:val="20"/>
                <w:szCs w:val="20"/>
                <w:color w:val="auto"/>
              </w:rPr>
            </w:pPr>
            <w:r>
              <w:rPr>
                <w:rFonts w:ascii="Arial" w:cs="Arial" w:eastAsia="Arial" w:hAnsi="Arial"/>
                <w:sz w:val="18"/>
                <w:szCs w:val="18"/>
                <w:color w:val="auto"/>
              </w:rPr>
              <w:t>Cumulative effect of adopting a new accounting</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118,245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(33,732)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33,732</w:t>
            </w:r>
          </w:p>
        </w:tc>
        <w:tc>
          <w:tcPr>
            <w:tcW w:w="12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253,152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41,581</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316,641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(27,099 shares)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256,716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41,581</w:t>
            </w: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320,205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285,999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39,633</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383,297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A to Pro Forma Combined Financial Statements (unaudited).</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Year Ended September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4"/>
                <w:szCs w:val="14"/>
                <w:color w:val="auto"/>
              </w:rPr>
              <w:t>As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820"/>
              <w:spacing w:after="0"/>
              <w:rPr>
                <w:sz w:val="20"/>
                <w:szCs w:val="20"/>
                <w:color w:val="auto"/>
              </w:rPr>
            </w:pPr>
            <w:r>
              <w:rPr>
                <w:rFonts w:ascii="Arial" w:cs="Arial" w:eastAsia="Arial" w:hAnsi="Arial"/>
                <w:sz w:val="14"/>
                <w:szCs w:val="14"/>
                <w:color w:val="auto"/>
                <w:w w:val="96"/>
              </w:rPr>
              <w:t>Pro Forma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Reported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VFS</w:t>
            </w:r>
          </w:p>
        </w:tc>
        <w:tc>
          <w:tcPr>
            <w:tcW w:w="15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jc w:val="right"/>
              <w:ind w:right="453"/>
              <w:spacing w:after="0"/>
              <w:rPr>
                <w:sz w:val="20"/>
                <w:szCs w:val="20"/>
                <w:color w:val="auto"/>
              </w:rPr>
            </w:pPr>
            <w:r>
              <w:rPr>
                <w:rFonts w:ascii="Arial" w:cs="Arial" w:eastAsia="Arial" w:hAnsi="Arial"/>
                <w:sz w:val="14"/>
                <w:szCs w:val="14"/>
                <w:color w:val="auto"/>
                <w:w w:val="87"/>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192,987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72,027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27,417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Signature loan fees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104,347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372,215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100,955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473,170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118,007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45,729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163,736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254,208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55,226</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309,434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128,602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32,215</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180</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Signature loan bad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31,749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17,652</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(C)</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1,772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198,671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51,639</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3,587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58,944</w:t>
            </w:r>
          </w:p>
        </w:tc>
        <w:tc>
          <w:tcPr>
            <w:tcW w:w="0" w:type="dxa"/>
            <w:vAlign w:val="bottom"/>
          </w:tcPr>
          <w:p>
            <w:pPr>
              <w:spacing w:after="0"/>
              <w:rPr>
                <w:sz w:val="1"/>
                <w:szCs w:val="1"/>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(1,654)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1,033</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(1,213)</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(450)</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840" w:type="dxa"/>
            <w:vAlign w:val="bottom"/>
          </w:tcPr>
          <w:p>
            <w:pPr>
              <w:jc w:val="right"/>
              <w:ind w:right="70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43,230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47,218</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900"/>
              <w:spacing w:after="0"/>
              <w:rPr>
                <w:sz w:val="20"/>
                <w:szCs w:val="20"/>
                <w:color w:val="auto"/>
              </w:rPr>
            </w:pPr>
            <w:r>
              <w:rPr>
                <w:rFonts w:ascii="Arial" w:cs="Arial" w:eastAsia="Arial" w:hAnsi="Arial"/>
                <w:sz w:val="14"/>
                <w:szCs w:val="14"/>
                <w:color w:val="auto"/>
                <w:w w:val="96"/>
              </w:rPr>
              <w:t>Pro Forma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VFS</w:t>
            </w:r>
          </w:p>
        </w:tc>
        <w:tc>
          <w:tcPr>
            <w:tcW w:w="15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jc w:val="right"/>
              <w:ind w:right="453"/>
              <w:spacing w:after="0"/>
              <w:rPr>
                <w:sz w:val="20"/>
                <w:szCs w:val="20"/>
                <w:color w:val="auto"/>
              </w:rPr>
            </w:pPr>
            <w:r>
              <w:rPr>
                <w:rFonts w:ascii="Arial" w:cs="Arial" w:eastAsia="Arial" w:hAnsi="Arial"/>
                <w:sz w:val="14"/>
                <w:szCs w:val="14"/>
                <w:color w:val="auto"/>
                <w:w w:val="87"/>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170,472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66,818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237,290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67,384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22,714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Signature loan fees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94,917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334,001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90,709</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424,710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101,732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40,574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142,306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232,269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50,135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282,404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113,185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29,006</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135</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Signature loan bad debt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29,541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11,438</w:t>
            </w:r>
          </w:p>
        </w:tc>
        <w:tc>
          <w:tcPr>
            <w:tcW w:w="1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(1,507)</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(C)</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176,600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41,900</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(1,372)</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217,128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55,669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8,235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1,372</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65,276</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2,351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(3,162)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5,823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1,820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22,026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2,311</w:t>
            </w: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686</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36,398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1,134</w:t>
            </w: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41,380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8"/>
                <w:szCs w:val="18"/>
                <w:color w:val="auto"/>
              </w:rPr>
              <w:t>3,988</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3,988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Combined Statement of Operations for the Nine Months Ended 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color w:val="auto"/>
              </w:rPr>
              <w:t>As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right"/>
              <w:ind w:right="820"/>
              <w:spacing w:after="0"/>
              <w:rPr>
                <w:sz w:val="20"/>
                <w:szCs w:val="20"/>
                <w:color w:val="auto"/>
              </w:rPr>
            </w:pPr>
            <w:r>
              <w:rPr>
                <w:rFonts w:ascii="Arial" w:cs="Arial" w:eastAsia="Arial" w:hAnsi="Arial"/>
                <w:sz w:val="14"/>
                <w:szCs w:val="14"/>
                <w:color w:val="auto"/>
                <w:w w:val="96"/>
              </w:rPr>
              <w:t>Pro Forma</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Pro Forma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rPr>
              <w:t>Reported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80"/>
              <w:spacing w:after="0"/>
              <w:rPr>
                <w:sz w:val="20"/>
                <w:szCs w:val="20"/>
                <w:color w:val="auto"/>
              </w:rPr>
            </w:pPr>
            <w:r>
              <w:rPr>
                <w:rFonts w:ascii="Arial" w:cs="Arial" w:eastAsia="Arial" w:hAnsi="Arial"/>
                <w:sz w:val="14"/>
                <w:szCs w:val="14"/>
                <w:color w:val="auto"/>
              </w:rPr>
              <w:t>VFS</w:t>
            </w:r>
          </w:p>
        </w:tc>
        <w:tc>
          <w:tcPr>
            <w:tcW w:w="15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880" w:type="dxa"/>
            <w:vAlign w:val="bottom"/>
          </w:tcPr>
          <w:p>
            <w:pPr>
              <w:jc w:val="right"/>
              <w:ind w:right="453"/>
              <w:spacing w:after="0"/>
              <w:rPr>
                <w:sz w:val="20"/>
                <w:szCs w:val="20"/>
                <w:color w:val="auto"/>
              </w:rPr>
            </w:pPr>
            <w:r>
              <w:rPr>
                <w:rFonts w:ascii="Arial" w:cs="Arial" w:eastAsia="Arial" w:hAnsi="Arial"/>
                <w:sz w:val="14"/>
                <w:szCs w:val="14"/>
                <w:color w:val="auto"/>
                <w:w w:val="87"/>
              </w:rPr>
              <w:t>Notes</w:t>
            </w:r>
          </w:p>
        </w:tc>
        <w:tc>
          <w:tcPr>
            <w:tcW w:w="3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141,688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53,386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Pawn service charges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20,003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Signature loan fees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74,132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268,323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74,518</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342,841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85,618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33,836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119,454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182,705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40,682</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223,387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94,087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23,651</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135</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(B)</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Signature loan bad debt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23,528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15,096</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143,895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40,073</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(135)</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39,284</w:t>
            </w: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(1,499)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1,233</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 loss on sale / disposal of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42,411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(1,368)</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(506)</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840" w:type="dxa"/>
            <w:vAlign w:val="bottom"/>
          </w:tcPr>
          <w:p>
            <w:pPr>
              <w:jc w:val="right"/>
              <w:ind w:right="700"/>
              <w:spacing w:after="0"/>
              <w:rPr>
                <w:sz w:val="20"/>
                <w:szCs w:val="20"/>
                <w:color w:val="auto"/>
              </w:rPr>
            </w:pPr>
            <w:r>
              <w:rPr>
                <w:rFonts w:ascii="Arial" w:cs="Arial" w:eastAsia="Arial" w:hAnsi="Arial"/>
                <w:sz w:val="16"/>
                <w:szCs w:val="16"/>
                <w:color w:val="auto"/>
                <w:w w:val="74"/>
              </w:rPr>
              <w: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43,393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3,988</w:t>
            </w:r>
          </w:p>
        </w:tc>
        <w:tc>
          <w:tcPr>
            <w:tcW w:w="880" w:type="dxa"/>
            <w:vAlign w:val="bottom"/>
          </w:tcPr>
          <w:p>
            <w:pPr>
              <w:jc w:val="right"/>
              <w:ind w:right="213"/>
              <w:spacing w:after="0"/>
              <w:rPr>
                <w:sz w:val="20"/>
                <w:szCs w:val="20"/>
                <w:color w:val="auto"/>
              </w:rPr>
            </w:pPr>
            <w:r>
              <w:rPr>
                <w:rFonts w:ascii="Arial" w:cs="Arial" w:eastAsia="Arial" w:hAnsi="Arial"/>
                <w:sz w:val="18"/>
                <w:szCs w:val="18"/>
                <w:b w:val="1"/>
                <w:bCs w:val="1"/>
                <w:color w:val="auto"/>
              </w:rPr>
              <w:t>(F)</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47,381</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Pro Forma Combined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Pro Forma Combined Financial Statements of EZCORP,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Value Financial Services, Inc.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Pro Forma Adjustments to the Unaudited Pro Forma Combined Balance Sheet as of June 30, 2008</w:t>
      </w:r>
    </w:p>
    <w:p>
      <w:pPr>
        <w:spacing w:after="0" w:line="12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pro forma adjustments to the unaudited pro forma combined balance sheet as of June 30, 2008 consist of the allocation of the expected total purchase price to the estimated fair value of VFS’s net assets, including the elimination of VFS’s existing equity, and the financing of the acquisition, including the use of $20 million of cash as consideration, the issuance of 3,987,979 additional EZCORP, Inc. common shares to current VFS shareholders, and the additional borrowings to finance the remainder of the transaction. To finance a portion of the VFS acquisition, we are refinancing our credit agreement to a total availability of $120 million, including a $40 million fully amortizing term loan with a four-year maturity and an $80 million revolving credit facility with a three-year term. As our amended and restated credit agreement will contain, in part, a $40 million term loan with a four year fully amortizing balance, $10 million of the new debt will be due within one year and was classified as current. We also anticipate paying debt issuance costs of approximately</w:t>
      </w:r>
    </w:p>
    <w:p>
      <w:pPr>
        <w:spacing w:after="0" w:line="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 million upon completion of the credit agreement amendment, and have included this as a pro forma increase to Other Assets, net and as a use of cash. Included in the estimated total purchase price is the accumulated dividend of approximately $2.4 million we anticipate being paid on VFS’s series A-2 participating stock immediately preceding the acquisition, as if it had occurred at June 30, 2008. VFS’s accumulated dividends are not recorded as liabilities or as a reduction of equity until declared by its board of directors.</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expect the total acquisition purchase price to be approximately $80.6 million at the anticipated closing date of November 1, 2008 (plus the assumption of approximately $35.3 million of VFS debt, aggregating to $115.9 million), assuming no contingent payments and that twenty percent of VFS shareholders elect to receive cash consideration in lieu of EZCORP Shares, as described above. For purposes of preparing the pro forma unaudited balance sheet as of June 30, 2008, we must assume the acquisition was completed June 30, 2008. The assumed purchase price at that date is less than the assumed purchase price at November 1, 2008, due to the following primary differences in value between the dates:</w:t>
      </w:r>
    </w:p>
    <w:p>
      <w:pPr>
        <w:spacing w:after="0" w:line="64" w:lineRule="exact"/>
        <w:rPr>
          <w:sz w:val="20"/>
          <w:szCs w:val="20"/>
          <w:color w:val="auto"/>
        </w:rPr>
      </w:pPr>
    </w:p>
    <w:p>
      <w:pPr>
        <w:ind w:left="22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effects of VFS’ ongoing daily operations, including the anticipated seasonal growth in outstanding pawn loan and inventory balances between June and November and VFS’s growth in net assets as a result of their expected earnings between the two dates</w:t>
      </w:r>
    </w:p>
    <w:p>
      <w:pPr>
        <w:spacing w:after="0" w:line="75" w:lineRule="exact"/>
        <w:rPr>
          <w:rFonts w:ascii="Arial" w:cs="Arial" w:eastAsia="Arial" w:hAnsi="Arial"/>
          <w:sz w:val="18"/>
          <w:szCs w:val="18"/>
          <w:b w:val="1"/>
          <w:bCs w:val="1"/>
          <w:color w:val="auto"/>
        </w:rPr>
      </w:pPr>
    </w:p>
    <w:p>
      <w:pPr>
        <w:ind w:left="220" w:right="60" w:hanging="212"/>
        <w:spacing w:after="0" w:line="264"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difference between our actual closing price of $16.35/share on the date we announced the merger and $15.92/share assumed in these pro forma financial statements (in accordance with SEC guidance for pro forma financial information, using a daily average of the closing market price for our stock from two business days prior to announcing the merger to two business days after announcing the merger).</w:t>
      </w:r>
    </w:p>
    <w:p>
      <w:pPr>
        <w:spacing w:after="0" w:line="86" w:lineRule="exact"/>
        <w:rPr>
          <w:rFonts w:ascii="Arial" w:cs="Arial" w:eastAsia="Arial" w:hAnsi="Arial"/>
          <w:sz w:val="18"/>
          <w:szCs w:val="18"/>
          <w:b w:val="1"/>
          <w:bCs w:val="1"/>
          <w:color w:val="auto"/>
        </w:rPr>
      </w:pPr>
    </w:p>
    <w:p>
      <w:pPr>
        <w:ind w:left="220" w:right="82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continuing accrual of dividends on VFS’ Series A-2 participating stock, which will increase VFS’ outstanding debt immediately prior to our assumption / retirement of that debt upon merger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June 30, 2008, the unaudited pro forma purchase price allocation of non-cash assets and liabilities to be acquired, which is preliminary and subject to change, was as follows based on the estimated fair values of each item: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As of June 30, 2008</w:t>
            </w:r>
          </w:p>
        </w:tc>
        <w:tc>
          <w:tcPr>
            <w:tcW w:w="1400" w:type="dxa"/>
            <w:vAlign w:val="bottom"/>
            <w:gridSpan w:val="3"/>
          </w:tcPr>
          <w:p>
            <w:pPr>
              <w:jc w:val="center"/>
              <w:ind w:left="119"/>
              <w:spacing w:after="0"/>
              <w:rPr>
                <w:sz w:val="20"/>
                <w:szCs w:val="20"/>
                <w:color w:val="auto"/>
              </w:rPr>
            </w:pPr>
            <w:r>
              <w:rPr>
                <w:rFonts w:ascii="Arial" w:cs="Arial" w:eastAsia="Arial" w:hAnsi="Arial"/>
                <w:sz w:val="14"/>
                <w:szCs w:val="14"/>
                <w:color w:val="auto"/>
                <w:w w:val="94"/>
              </w:rPr>
              <w:t>Estimated Useful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color w:val="auto"/>
              </w:rPr>
              <w:t>($000’s)</w:t>
            </w:r>
          </w:p>
        </w:tc>
        <w:tc>
          <w:tcPr>
            <w:tcW w:w="3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Pawn loans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18,017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Pawn service charges receivable,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Inventory, net</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13,752</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3,686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Federal income taxes receivable</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41,176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tax asset, non-current</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2,908</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58,172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4,060</w:t>
            </w:r>
          </w:p>
        </w:tc>
        <w:tc>
          <w:tcPr>
            <w:tcW w:w="3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 asset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116,536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Customer layaway deposits</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17,446</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14,634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rate swap liability</w:t>
            </w:r>
          </w:p>
        </w:tc>
        <w:tc>
          <w:tcPr>
            <w:tcW w:w="2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577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gains and other long-term liabilities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78,399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calculating the assumed total purchase price to include in the above preliminary pro forma purchase price allocation, we estimated the value of the EZCORP Shares to be issued as merger consideration at $15.92 per share, which is the five-day average of the closing price of our stock from two business days prior to the announcement of the merger to two business days after the announcement of the merger. In the final purchase price calculation, we expect to use $15.92 per EZCORP share as the fair value of the shares issued.</w:t>
      </w:r>
    </w:p>
    <w:p>
      <w:pPr>
        <w:spacing w:after="0" w:line="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our estimation of the purchase price allocation, we have made all adjustments we believe to be appropriate to adjust VFS’s assets and liabilities to their fair value, including the recording of the fair value of VFS’s trademarks and tradenames and a favorable lease asset for leases that appear to be at favorable terms in relation to current market terms. Included in the total purchase price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is a significant amount allocated to goodwill, or the excess of purchase price over the remaining net assets acquired. The total agreed purchase price was determined through lengthy negotiations with the VFS board and executive management, as described in the proxy/prospectus included in this S-4, and reflects what we believe to be the value of the entire company, including the goodwill we will acquire and from which we will benefit in the future. We believe it is reflective of VFS’s future earning potential, which is far greater than its recorded net assets other than goodwill.</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schedule below presents the calculation of the total assumed purchase price to be paid and its components, assuming 20% of VFS shareholders elect to receive cash consideration in lieu of EZCORP Shares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3"/>
              </w:rPr>
              <w:t>Anticipated stock consideration (5,317,096 VFS shares exchanged for 0.75 EZCORP Shares each plus 157 EZCORP Shares for rounding</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fractional shares up to the nearest whole share times $15.92 per EZCORP share)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63,489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60" w:type="dxa"/>
            <w:vAlign w:val="bottom"/>
          </w:tcPr>
          <w:p>
            <w:pPr>
              <w:spacing w:after="0" w:line="201" w:lineRule="exact"/>
              <w:rPr>
                <w:sz w:val="20"/>
                <w:szCs w:val="20"/>
                <w:color w:val="auto"/>
              </w:rPr>
            </w:pPr>
            <w:r>
              <w:rPr>
                <w:rFonts w:ascii="Arial" w:cs="Arial" w:eastAsia="Arial" w:hAnsi="Arial"/>
                <w:sz w:val="18"/>
                <w:szCs w:val="18"/>
                <w:color w:val="auto"/>
                <w:w w:val="95"/>
              </w:rPr>
              <w:t>Anticipated cash consideration for 20% of VFS shareholders electing to receive cash in lieu of EZCORP Shares (1,329,274 VFS shares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60" w:type="dxa"/>
            <w:vAlign w:val="bottom"/>
          </w:tcPr>
          <w:p>
            <w:pPr>
              <w:ind w:left="200"/>
              <w:spacing w:after="0"/>
              <w:rPr>
                <w:sz w:val="20"/>
                <w:szCs w:val="20"/>
                <w:color w:val="auto"/>
              </w:rPr>
            </w:pPr>
            <w:r>
              <w:rPr>
                <w:rFonts w:ascii="Arial" w:cs="Arial" w:eastAsia="Arial" w:hAnsi="Arial"/>
                <w:sz w:val="18"/>
                <w:szCs w:val="18"/>
                <w:color w:val="auto"/>
              </w:rPr>
              <w:t>times $11.00/share)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Transaction related expenses ($250 legal, $250 accounting, $250 VFS office lease buyout, $300 other)</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Less: Cash to be acquired – held by VFS at June 30, 2008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 assumed purchase price at June 30, 2008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VFS will be required to pay its accumulated, unpaid Series A-2 participating stock dividend prior to the merger with EZCORP and because VFS did not have the funds available to pay such dividend on the assumed pro forma acquisition date of June 30, 2008, we assumed in our purchase price allocation an increase in VFS’s outstanding debt at the pro forma date of acquisition, which increases the amount of VFS debt we anticipate paying off immediately following the acquisition and replacing with borrowings under our credit facility. After consummation of our acquisition of VFS, there will no longer be any dividend payable to any class of VFS or EZCORP stock.</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SFAS No. 141, any payment made under the deficiency guaranty will result in no change to the total purchase price, but rather will result in a revaluation of the different components of consideration paid for the acquisition. Specifically, any cash payments made under the deficiency guaranty will be recorded as part of the purchase price, with an equal and offsetting reduction in the amount previously recorded for EZCORP Shares issued at the date of acquisition to reduce their value to the lower current value of those securities at the date of the related sales. The net result will be no change in the total purchase price, but a decrease in the amount of Additional Paid-in Capital as a result of the reduction in value assigned to the securities and an offsetting reduction in cash.</w:t>
      </w:r>
    </w:p>
    <w:p>
      <w:pPr>
        <w:spacing w:after="0" w:line="8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Any payments made under the premium reserve, which was provided as part of the total purchase consideration, is part of the cost of the acquisition in accordance with EITF 97-15, accounting for Contingency Arrangements Based on Security Prices in a Purchase Business Combination.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would expect any premium reserve payment to result in a decrease to cash and an adjustment to Additional Paid-in Capital recorded for EZCORP Shares issued at the date of the acquisition. The entries to be recorded upon the payment of any deficiency guaranty or premium reserve will have no other effects on our financial statements, other than a decrease in the interest income that we could have otherwise recognized as we will not be able to invest the cash used to make such payments.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Below are notes describing the pro forma balance sheet adjustments, as noted on the face of the pro forma combined balance sheet:</w:t>
      </w:r>
    </w:p>
    <w:p>
      <w:pPr>
        <w:spacing w:after="0" w:line="117" w:lineRule="exact"/>
        <w:rPr>
          <w:sz w:val="20"/>
          <w:szCs w:val="20"/>
          <w:color w:val="auto"/>
        </w:rPr>
      </w:pPr>
    </w:p>
    <w:p>
      <w:pPr>
        <w:ind w:left="660" w:right="140" w:hanging="43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$20.0 million of cash will be used as part of the merger consideration paid to VFS shareholders electing to receive cash and to cover merger related costs anticipated to be capitalized as part of the total purchase price. The $20.0 million is comprised of the following:</w:t>
      </w:r>
    </w:p>
    <w:p>
      <w:pPr>
        <w:spacing w:after="0" w:line="75" w:lineRule="exact"/>
        <w:rPr>
          <w:rFonts w:ascii="Arial" w:cs="Arial" w:eastAsia="Arial" w:hAnsi="Arial"/>
          <w:sz w:val="18"/>
          <w:szCs w:val="18"/>
          <w:color w:val="auto"/>
        </w:rPr>
      </w:pPr>
    </w:p>
    <w:p>
      <w:pPr>
        <w:ind w:left="1140" w:hanging="214"/>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$14.6 million to pay VFS shareholders,</w:t>
      </w:r>
    </w:p>
    <w:p>
      <w:pPr>
        <w:spacing w:after="0" w:line="117" w:lineRule="exact"/>
        <w:rPr>
          <w:rFonts w:ascii="Arial" w:cs="Arial" w:eastAsia="Arial" w:hAnsi="Arial"/>
          <w:sz w:val="18"/>
          <w:szCs w:val="18"/>
          <w:color w:val="auto"/>
        </w:rPr>
      </w:pPr>
    </w:p>
    <w:p>
      <w:pPr>
        <w:ind w:left="1140" w:right="540" w:hanging="214"/>
        <w:spacing w:after="0" w:line="277"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$4.3 million to pay down VFS debt outstanding at the merger date (including the payment of $2.4 million of dividends payable by VFS immediately prior to the merger),</w:t>
      </w:r>
    </w:p>
    <w:p>
      <w:pPr>
        <w:spacing w:after="0" w:line="62" w:lineRule="exact"/>
        <w:rPr>
          <w:rFonts w:ascii="Arial" w:cs="Arial" w:eastAsia="Arial" w:hAnsi="Arial"/>
          <w:sz w:val="18"/>
          <w:szCs w:val="18"/>
          <w:color w:val="auto"/>
        </w:rPr>
      </w:pPr>
    </w:p>
    <w:p>
      <w:pPr>
        <w:ind w:left="1140" w:hanging="214"/>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$1.1 million for other transaction-related costs.</w:t>
      </w:r>
    </w:p>
    <w:p>
      <w:pPr>
        <w:spacing w:after="0" w:line="117" w:lineRule="exact"/>
        <w:rPr>
          <w:sz w:val="20"/>
          <w:szCs w:val="20"/>
          <w:color w:val="auto"/>
        </w:rPr>
      </w:pPr>
    </w:p>
    <w:p>
      <w:pPr>
        <w:ind w:left="720" w:right="1680"/>
        <w:spacing w:after="0" w:line="277" w:lineRule="auto"/>
        <w:rPr>
          <w:sz w:val="20"/>
          <w:szCs w:val="20"/>
          <w:color w:val="auto"/>
        </w:rPr>
      </w:pPr>
      <w:r>
        <w:rPr>
          <w:rFonts w:ascii="Arial" w:cs="Arial" w:eastAsia="Arial" w:hAnsi="Arial"/>
          <w:sz w:val="18"/>
          <w:szCs w:val="18"/>
          <w:color w:val="auto"/>
        </w:rPr>
        <w:t>$1.0 million of cash will be paid to our bank syndication and will be recorded as deferred financing costs related to our credit facility, which we are amending, restating, and re-syndicating to finance this merger.</w:t>
      </w:r>
    </w:p>
    <w:p>
      <w:pPr>
        <w:spacing w:after="0" w:line="184"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increases the recorded value of VFS’s inventory to fair value in accordance with the provisions of SFAS No. 141.</w:t>
      </w:r>
    </w:p>
    <w:p>
      <w:pPr>
        <w:spacing w:after="0" w:line="238" w:lineRule="exact"/>
        <w:rPr>
          <w:rFonts w:ascii="Arial" w:cs="Arial" w:eastAsia="Arial" w:hAnsi="Arial"/>
          <w:sz w:val="18"/>
          <w:szCs w:val="18"/>
          <w:color w:val="auto"/>
        </w:rPr>
      </w:pPr>
    </w:p>
    <w:p>
      <w:pPr>
        <w:ind w:left="660" w:right="60" w:hanging="436"/>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adjustments remove the goodwill currently on VFS’s books and record the goodwill arising from this merger. In preliminarily valuing the assets and liabilities to be acquired, including intangible assets, we have applied the provisions of SFAS 141. Accordingly, we have valued all tangible and intangible assets acquired, including all intangible assets that can be identified separately from goodwill. The amount recorded as goodwill, in accordance with the provisions of SFAS 141, was then determined to be the total purchase price less the amounts allocated to other separately identifiable tangible and intangible assets and liabilities. In preliminarily allocating the purchase price, we have identified and included in the preliminary purchase price allocation the fair value associated with favorable lease assets, trademarks and tradenames. We identified no other intangible assets being acquired that have any more than a de minimus, immaterial fair value. In determining the amount we were willing to pay to acquire VFS in total, however, we do not view the acquisition simply as the acquisition of a set of assets and liabilities, but rather as the acquisition of an in-place business and earnings and cash flow stream that, when assigned an earnings multiple, implies a much higher value than just the fair value of separately identifiable tangible and intangible assets and liabilities. This is supported by our expectation that the acquisition will be accretive to our earnings immediately following the acquisition.</w:t>
      </w:r>
    </w:p>
    <w:p>
      <w:pPr>
        <w:spacing w:after="0" w:line="196" w:lineRule="exact"/>
        <w:rPr>
          <w:rFonts w:ascii="Arial" w:cs="Arial" w:eastAsia="Arial" w:hAnsi="Arial"/>
          <w:sz w:val="17"/>
          <w:szCs w:val="17"/>
          <w:color w:val="auto"/>
        </w:rPr>
      </w:pPr>
    </w:p>
    <w:p>
      <w:pPr>
        <w:ind w:left="660" w:right="80" w:hanging="43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adjustment records $1.0 million of deferred financing costs we expect to pay upon closing of our credit agreement which is being amended and restated to finance this merger, to record the $4.1 million fair value of trademarks and tradenames being acquired from VFS that are not currently recorded in their books, and to record $1.8 million of favorable lease assets we will be acquiring from VFS that are not currently recorded on their books.</w:t>
      </w:r>
    </w:p>
    <w:p>
      <w:pPr>
        <w:spacing w:after="0" w:line="200" w:lineRule="exact"/>
        <w:rPr>
          <w:rFonts w:ascii="Arial" w:cs="Arial" w:eastAsia="Arial" w:hAnsi="Arial"/>
          <w:sz w:val="18"/>
          <w:szCs w:val="18"/>
          <w:color w:val="auto"/>
        </w:rPr>
      </w:pPr>
    </w:p>
    <w:p>
      <w:pPr>
        <w:ind w:left="660" w:hanging="436"/>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entries remove the VFS debt that is expected to be repaid immediately upon closing of the merger and to record the debt EZCORP expects to borrow to finance a portion of the merger consideration. We will use $27.8 million of new debt under our credit facility and $4.3 million of our cash (as noted in note (1) above) to retire VFS’s $32.1 million of debt, including $29.7 million of VFS debt outstanding at June 30, 2008 and the payment of $2.4 million of dividends payable by VFS immediately prior to the merger. The net change in debt shown in the pro forma adjustments amounts to a reduction of $1.9 million, as the $2.4 million dividend expected to be paid is not yet reflected in VFS’s historical outstanding debt at June 30, 2008.</w:t>
      </w:r>
    </w:p>
    <w:p>
      <w:pPr>
        <w:spacing w:after="0" w:line="206" w:lineRule="exact"/>
        <w:rPr>
          <w:rFonts w:ascii="Arial" w:cs="Arial" w:eastAsia="Arial" w:hAnsi="Arial"/>
          <w:sz w:val="18"/>
          <w:szCs w:val="18"/>
          <w:color w:val="auto"/>
        </w:rPr>
      </w:pPr>
    </w:p>
    <w:p>
      <w:pPr>
        <w:ind w:left="660" w:right="340" w:hanging="43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entries remove the equity currently recorded by VFS and recognizes the estimated value of EZCORP stock to be issued as a portion of the merger consideration.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Operations Expense</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our preliminary estimate of the fair value of VFS’s net assets to include in the purchase price allocation, we identified a number of VFS’s store leases that appear to be at favorable rates compared to current market rates. As a result, we anticipate recording a $1.8 million favorable lease asset, which must be amortized to rent expense over the terms of the related leases. For purposes of these pro forma financial statements, we assumed the amortization period will average ten years. The pro forma increase to Operations expense is due to the estimated amortization of this favorable lease asset. Our estimate of the fair value of the favorable lease asset is preliminary and subject to change as we complete our valuation of the assets to be acquired. Any change in the estimated fair value of this asset upon final valuation will likely result in an offsetting change to the amount of the purchase price allocated to goodwill, and an increase or decrease in the expected amortization of the favorable lease asset.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Administrative Expense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 forma $1.5 million reduction of Administrative expense in the nine month period ended June 30, 2008 removes the success fee VFS paid to its directors and officers upon reaching an agreement to be acquired by us.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Included in VFS’s historical results for this same period but excluded as a pro forma adjustment is VFS’s $1.3 million write-off of costs related to abandoning its initial public offering upon entering discussions with us. While this is a unique item we do not expect to recur, we did not remove it in a pro forma adjustment as VFS’s abandonment of its IPO attempt might have occurred even if we had not reached an agreement on the acquisition.</w:t>
      </w:r>
    </w:p>
    <w:p>
      <w:pPr>
        <w:spacing w:after="0" w:line="5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the year ended September 30, 2007, VFS forgave a note receivable from an officer and made significant vested stock grants to several officers. These resulted in an $8.2 million charge to VFS’s Administrative expense in the period. We have made no pro forma adjustment related to these charges.</w:t>
      </w:r>
    </w:p>
    <w:p>
      <w:pPr>
        <w:spacing w:after="0" w:line="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While we expect to gain efficiencies and leverage from combining VFS’s administrative functions with ours and reducing duplication of overhead expenses, we have not yet determined the precise changes to be made. Accordingly, we have included in our pro forma adjustments no reduction in administrative expense that may be realized once we determine how best to integrate VFS’s administrative functions with ours.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Interest Expense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 forma adjustment to interest expense recognizes the estimated change in interest expense we would have incurred on the debt used to finance the acquisition, the amortization of the assumed debt issuance costs related to the new credit agreement, the removal of interest expense related to VFS’s debt that will be retired immediately following the transaction, and the loss of interest income on our cash assumed to be used in the transaction. The table below presents the amount of the pro forma adjustment to interest expense arising from each of these components in the periods presented (in thousands):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color w:val="auto"/>
                <w:w w:val="89"/>
              </w:rPr>
              <w:t>Year Ended</w:t>
            </w:r>
          </w:p>
        </w:tc>
        <w:tc>
          <w:tcPr>
            <w:tcW w:w="2020" w:type="dxa"/>
            <w:vAlign w:val="bottom"/>
            <w:gridSpan w:val="4"/>
          </w:tcPr>
          <w:p>
            <w:pPr>
              <w:ind w:left="260"/>
              <w:spacing w:after="0"/>
              <w:rPr>
                <w:sz w:val="20"/>
                <w:szCs w:val="20"/>
                <w:color w:val="auto"/>
              </w:rPr>
            </w:pPr>
            <w:r>
              <w:rPr>
                <w:rFonts w:ascii="Arial" w:cs="Arial" w:eastAsia="Arial" w:hAnsi="Arial"/>
                <w:sz w:val="14"/>
                <w:szCs w:val="14"/>
                <w:color w:val="auto"/>
              </w:rPr>
              <w:t>Nine Months Ended</w:t>
            </w:r>
          </w:p>
        </w:tc>
        <w:tc>
          <w:tcPr>
            <w:tcW w:w="1260" w:type="dxa"/>
            <w:vAlign w:val="bottom"/>
            <w:gridSpan w:val="3"/>
          </w:tcPr>
          <w:p>
            <w:pPr>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2008</w:t>
            </w: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Use of $21 million of cash ($20 million towards the purchase and $1 million of deferred</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costs on debt used to finance the acquisition)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Amortization of $1 million of deferred financing costs</w:t>
            </w: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new debt assumed to finance the acquisition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Elimination of interest expense incurred by VFS</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(2,351)</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pro forma adjustment to 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purposes of estimating the pro forma interest expense, we applied an interest rate of 4.24%, comprised of the 1-month LIBOR market rate as of the date of the merger announcement plus the 1.75% current applicable interest rate spread, as specified in the amended credit agreement we expect to complete to finance a portion of the acquisition. Because our applicable interest rate floats with changes in LIBOR, the assumed interest expense would vary with changes in prevailing interest rates. If LIBOR increased by 0.125% (1/8%) over the assumed rate, pro forma interest expense would increase by $61,000 for the year ended September 30, 2007 and $46,000 for the nine-month periods ended June 30, 2008 and 2007. Net income would decrease by $39,000 for the year ended September 30, 2007 and $29,000 for the nine-month periods ended June 30, 2008 and 2007.</w:t>
      </w:r>
    </w:p>
    <w:p>
      <w:pPr>
        <w:spacing w:after="0" w:line="70" w:lineRule="exact"/>
        <w:rPr>
          <w:sz w:val="20"/>
          <w:szCs w:val="20"/>
          <w:color w:val="auto"/>
        </w:rPr>
      </w:pPr>
    </w:p>
    <w:p>
      <w:pPr>
        <w:jc w:val="both"/>
        <w:ind w:right="100" w:firstLine="225"/>
        <w:spacing w:after="0" w:line="312" w:lineRule="auto"/>
        <w:rPr>
          <w:sz w:val="20"/>
          <w:szCs w:val="20"/>
          <w:color w:val="auto"/>
        </w:rPr>
      </w:pPr>
      <w:r>
        <w:rPr>
          <w:rFonts w:ascii="Arial" w:cs="Arial" w:eastAsia="Arial" w:hAnsi="Arial"/>
          <w:sz w:val="16"/>
          <w:szCs w:val="16"/>
          <w:color w:val="auto"/>
        </w:rPr>
        <w:t>EZCORP has executed a Fifth Amended and Restated Credit Agreement (the “Agreement”) among EZCORP, Inc., Wells Fargo Bank, N.A., as Agent and Issuing Bank, and various other banks and lending institutions. The Agreement and the related loan documents were placed in escrow pending the closing of the merger agreement with VFS. The Agreement is contingent upon the closing of the merger agreement with VFS on or before December 31, 2008.</w:t>
      </w:r>
    </w:p>
    <w:p>
      <w:pPr>
        <w:spacing w:after="0" w:line="39" w:lineRule="exact"/>
        <w:rPr>
          <w:sz w:val="20"/>
          <w:szCs w:val="20"/>
          <w:color w:val="auto"/>
        </w:rPr>
      </w:pPr>
    </w:p>
    <w:p>
      <w:pPr>
        <w:jc w:val="center"/>
        <w:ind w:right="220"/>
        <w:spacing w:after="0" w:line="291" w:lineRule="auto"/>
        <w:rPr>
          <w:sz w:val="20"/>
          <w:szCs w:val="20"/>
          <w:color w:val="auto"/>
        </w:rPr>
      </w:pPr>
      <w:r>
        <w:rPr>
          <w:rFonts w:ascii="Arial" w:cs="Arial" w:eastAsia="Arial" w:hAnsi="Arial"/>
          <w:sz w:val="16"/>
          <w:szCs w:val="16"/>
          <w:color w:val="auto"/>
        </w:rPr>
        <w:t>If the merger agreement with VFS is closed on or before December 31, 2008, the Agreement will become effective and will provide for, among other things, (i) an $80 million revolving credit facility that EZCORP may request to be increased to a total of $110 million (the “Revolving Credit Facility”) and</w:t>
      </w:r>
    </w:p>
    <w:p>
      <w:pPr>
        <w:jc w:val="both"/>
        <w:ind w:right="320"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$40 million term loan (the “Term Loan”). If the Agreement becomes effective, it will extend the maturity date of the Revolving Credit Facility to the date that is three years from the closing of the merger agreement with VFS. The maturity date of the Term Loan will be four years from the closing of the merger agreement with VFS.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Pursuant to the Agreement, EZCORP may choose either a Eurodollar rate or the base rate. Interest accrues at the Eurodollar rate plus 175 to 250 basis points or the base rate plus 0 to 50 basis points, depending upon the leverage ratio computed at the end of each calendar quarter. From the date the credit facility becomes effective through the date EZCORP reports to the lenders its interim results for the period ending June 30, 2009, EZCORP may choose to pay interest to the lenders for outstanding borrowings at the Eurodollar rate plus 250 basis points or the base rate plus 50 basis points, regardless of our leverage ratio during that period. We anticipate that upon closing of the merger agreement, we would elect the Eurodollar rate and have assumed that in these pro forma financial statements. Terms of the Agreement require, among other things, that EZCORP meet certain financial covenants that EZCORP believes will be achieved based upon its current and anticipated performance. In addition, payment of dividends is prohibited and additional debt is restricted.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Income Tax Expense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pro forma adjustment to income tax expense recognizes the change in income tax expense we would have incurred in each period, using our effective tax rate in each applicable period and the net increase or decrease in pre-tax income resulting from the pro forma adjustments described in Notes B, C, and 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Weighted Average Shares Outstanding</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pro forma adjustment to the weighted average shares outstanding increases both basic and diluted weighted average shares outstanding to recognize the 3,987,979 shares expected to be issued to current VFS shareholders as part of the consideration for the acquisition.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Range of Possible Results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VFS shareholders have the option to elect to receive cash consideration in lieu of EZCORP Shares as merger consideration for up to 20% of the total number of EZCORP Shares offered. As explained above, the pro forma financial statements and notes above assume that 20% of the VFS shareholders do elect to receive cash in lieu of EZCORP Shares. The following disclosures are presented to indicate the range of possible pro forma results, assuming instead that all VFS shareholders elect to receive EZCORP Shares and none elect to receive cash. In each instance, the change in net income arises from the change in interest expense due to the change in assumed debt, net of income taxes. Earnings (loss) per share are affected by the change in net income and the dilutive effect of additional shares assumed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4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Assumes 20%</w:t>
            </w:r>
          </w:p>
        </w:tc>
        <w:tc>
          <w:tcPr>
            <w:tcW w:w="5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Assumes 100% elect</w:t>
            </w: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4"/>
                <w:szCs w:val="14"/>
                <w:b w:val="1"/>
                <w:bCs w:val="1"/>
                <w:color w:val="auto"/>
              </w:rPr>
              <w:t>elect cash</w:t>
            </w:r>
          </w:p>
        </w:tc>
        <w:tc>
          <w:tcPr>
            <w:tcW w:w="500" w:type="dxa"/>
            <w:vAlign w:val="bottom"/>
            <w:vMerge w:val="restart"/>
          </w:tcPr>
          <w:p>
            <w:pPr>
              <w:ind w:left="120"/>
              <w:spacing w:after="0"/>
              <w:rPr>
                <w:sz w:val="20"/>
                <w:szCs w:val="20"/>
                <w:color w:val="auto"/>
              </w:rPr>
            </w:pPr>
            <w:r>
              <w:rPr>
                <w:rFonts w:ascii="Arial" w:cs="Arial" w:eastAsia="Arial" w:hAnsi="Arial"/>
                <w:sz w:val="14"/>
                <w:szCs w:val="14"/>
                <w:i w:val="1"/>
                <w:iCs w:val="1"/>
                <w:color w:val="auto"/>
                <w:w w:val="87"/>
              </w:rPr>
              <w:t>except</w:t>
            </w:r>
          </w:p>
        </w:tc>
        <w:tc>
          <w:tcPr>
            <w:tcW w:w="1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EZCORP Shares</w:t>
            </w: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95"/>
              </w:rPr>
              <w:t>(in thousands,</w:t>
            </w:r>
          </w:p>
        </w:tc>
        <w:tc>
          <w:tcPr>
            <w:tcW w:w="500" w:type="dxa"/>
            <w:vAlign w:val="bottom"/>
            <w:vMerge w:val="continue"/>
          </w:tcPr>
          <w:p>
            <w:pPr>
              <w:spacing w:after="0"/>
              <w:rPr>
                <w:sz w:val="12"/>
                <w:szCs w:val="12"/>
                <w:color w:val="auto"/>
              </w:rPr>
            </w:pPr>
          </w:p>
        </w:tc>
        <w:tc>
          <w:tcPr>
            <w:tcW w:w="1400" w:type="dxa"/>
            <w:vAlign w:val="bottom"/>
            <w:gridSpan w:val="2"/>
          </w:tcPr>
          <w:p>
            <w:pPr>
              <w:jc w:val="right"/>
              <w:ind w:right="410"/>
              <w:spacing w:after="0" w:line="142" w:lineRule="exact"/>
              <w:rPr>
                <w:sz w:val="20"/>
                <w:szCs w:val="20"/>
                <w:color w:val="auto"/>
              </w:rPr>
            </w:pPr>
            <w:r>
              <w:rPr>
                <w:rFonts w:ascii="Arial" w:cs="Arial" w:eastAsia="Arial" w:hAnsi="Arial"/>
                <w:sz w:val="14"/>
                <w:szCs w:val="14"/>
                <w:i w:val="1"/>
                <w:iCs w:val="1"/>
                <w:color w:val="auto"/>
                <w:w w:val="92"/>
              </w:rPr>
              <w:t>per share data)</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Year Ended September 30, 2007: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38,255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38,791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45,022</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46,019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7"/>
              </w:rPr>
              <w:t>47,218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48,215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rPr>
              <w:t>0.81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2"/>
        </w:trPr>
        <w:tc>
          <w:tcPr>
            <w:tcW w:w="8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Nine Months Ended June 30, 2008: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41,044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41,440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45,368</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46,365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7"/>
              </w:rPr>
              <w:t>47,257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48,254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rPr>
              <w:t>0.87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2"/>
        </w:trPr>
        <w:tc>
          <w:tcPr>
            <w:tcW w:w="8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Nine Months Ended June 30, 2007: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25,783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26,184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color w:val="auto"/>
                <w:w w:val="87"/>
              </w:rPr>
              <w:t>44,931</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45,928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7"/>
              </w:rPr>
              <w:t>47,381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7"/>
              </w:rPr>
              <w:t>48,378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8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71"/>
              <w:spacing w:after="0"/>
              <w:rPr>
                <w:sz w:val="20"/>
                <w:szCs w:val="20"/>
                <w:color w:val="auto"/>
              </w:rPr>
            </w:pPr>
            <w:r>
              <w:rPr>
                <w:rFonts w:ascii="Arial" w:cs="Arial" w:eastAsia="Arial" w:hAnsi="Arial"/>
                <w:sz w:val="18"/>
                <w:szCs w:val="18"/>
                <w:color w:val="auto"/>
              </w:rPr>
              <w:t>0.54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purchase price allocation to VFS’s net assets acquired would be unchanged from that presented in Note A regardless of the percentage of VFS shareholders electing to receive cash in lieu of EZCORP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Composition of Sales and Cost of Goods Sold</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Sales and cost of goods sold, as presented on the accompanying pro forma statements of operations, include amounts related to merchandise sales in the companies’ stores as well as jewelry scrapping sales to gold refiners and diamond purchasers. In the periods presented, unaudited sales and cost of goods sold were comprised of the following: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204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2008</w:t>
            </w:r>
          </w:p>
        </w:tc>
        <w:tc>
          <w:tcPr>
            <w:tcW w:w="1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i w:val="1"/>
                <w:iCs w:val="1"/>
                <w:color w:val="auto"/>
              </w:rPr>
              <w:t>(in thousands)</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EZCORP, Inc. and Subsidiaries:</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Sales revenue:</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Merchandise sales</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141,094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120,902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Jewelry scrapping sales</w:t>
            </w:r>
          </w:p>
        </w:tc>
        <w:tc>
          <w:tcPr>
            <w:tcW w:w="2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51,893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49,570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sales</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192,987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170,472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141,688</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Cost of goods sold:</w:t>
            </w: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Merchandise sales</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72,122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Jewelry scrapping sales</w:t>
            </w:r>
          </w:p>
        </w:tc>
        <w:tc>
          <w:tcPr>
            <w:tcW w:w="2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34,506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29,610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goods sold</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118,007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101,732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85,618</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Value Financial Services, Inc.:</w:t>
            </w: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gridSpan w:val="2"/>
            <w:vMerge w:val="continue"/>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Sales revenue:</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270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50,799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39,870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Jewelry scrapping sales</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21,228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26,948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sales</w:t>
            </w:r>
          </w:p>
        </w:tc>
        <w:tc>
          <w:tcPr>
            <w:tcW w:w="2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66,818</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Merchandise sales</w:t>
            </w:r>
          </w:p>
        </w:tc>
        <w:tc>
          <w:tcPr>
            <w:tcW w:w="270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32,212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25,244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Jewelry scrapping sales</w:t>
            </w:r>
          </w:p>
        </w:tc>
        <w:tc>
          <w:tcPr>
            <w:tcW w:w="270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13,517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Total cost of goods sold</w:t>
            </w:r>
          </w:p>
        </w:tc>
        <w:tc>
          <w:tcPr>
            <w:tcW w:w="2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40,574</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20" w:type="dxa"/>
            <w:vAlign w:val="bottom"/>
            <w:vMerge w:val="restart"/>
          </w:tcPr>
          <w:p>
            <w:pPr>
              <w:jc w:val="right"/>
              <w:ind w:right="69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USE OF PROCEEDS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will not receive any proceeds from the sale of the EZCORP Shares by the selling stockholder. We have agreed to bear certain expenses in connection with the registration of the shares being offered and sold by the selling stockholder, estimated to be approximately $61,000.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SELLING STOCKHOLDER</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selling stockholder or his permitted pledgees, donees, transferees or other successors in interest may from time to time offer and sell any or all of the EZCORP Shares offered under this prospectus. This prospectus generally covers the resale of shares of Class A Non-voting Common Stock received by the selling stockholder through eleven entities that are selling their assets to us in the asset purchase.</w:t>
      </w:r>
    </w:p>
    <w:p>
      <w:pPr>
        <w:spacing w:after="0" w:line="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Beneficial ownership is determined in accordance with Rule 13d-3 of the Exchange Act. A person is deemed to be the beneficial owner of any shares of Class A Non-voting Common Stock if that person has or shares voting power or investment power with respect to those shares, or has the right to acquire beneficial ownership at any time within 60 days of the date on which the determination of whether beneficial ownership exists is made. As used herein, “voting power” is the power to vote or direct the voting of shares and “investment power” is the power to dispose or direct the disposition of the shares.</w:t>
      </w:r>
    </w:p>
    <w:p>
      <w:pPr>
        <w:spacing w:after="0" w:line="4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Because the selling stockholder may offer all, some or none of the shares of the EZCORP Shares pursuant to this prospectus and because there currently are no agreements, arrangements or understandings with respect to the sale of any of these shares, no definitive estimate can be given as to the number of shares that will be held by the selling stockholder after completion of the offering to which this prospectus relates. The following table has been prepared assuming that the selling stockholder sells all of the EZCORP Shares beneficially owned by him that have been registered by us and does not acquire any additional shares of our stock. We cannot advise you as to whether the selling stockholder will in fact sell any or all of his EZCORP Shares. In addition, the selling stockholder may sell, transfer or otherwise dispose of, at any time and from time to time, the EZCORP Shares in transactions exempt from the registration requirements of the Securities Act after the date on which he provided the information set forth in the table below.</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the selling stockholder may change from time to time, and any changed information will be set forth in prospectus supplements or post-effective amendments, as may be appropriate.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20" w:type="dxa"/>
            <w:vAlign w:val="bottom"/>
          </w:tcPr>
          <w:p>
            <w:pPr>
              <w:jc w:val="center"/>
              <w:ind w:left="963"/>
              <w:spacing w:after="0"/>
              <w:rPr>
                <w:sz w:val="20"/>
                <w:szCs w:val="20"/>
                <w:color w:val="auto"/>
              </w:rPr>
            </w:pPr>
            <w:r>
              <w:rPr>
                <w:rFonts w:ascii="Arial" w:cs="Arial" w:eastAsia="Arial" w:hAnsi="Arial"/>
                <w:sz w:val="14"/>
                <w:szCs w:val="14"/>
                <w:b w:val="1"/>
                <w:bCs w:val="1"/>
                <w:color w:val="auto"/>
                <w:w w:val="94"/>
              </w:rPr>
              <w:t>Amount of</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240" w:type="dxa"/>
            <w:vAlign w:val="bottom"/>
          </w:tcPr>
          <w:p>
            <w:pPr>
              <w:jc w:val="center"/>
              <w:ind w:left="26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620" w:type="dxa"/>
            <w:vAlign w:val="bottom"/>
          </w:tcPr>
          <w:p>
            <w:pPr>
              <w:jc w:val="center"/>
              <w:ind w:left="983"/>
              <w:spacing w:after="0" w:line="149" w:lineRule="exact"/>
              <w:rPr>
                <w:sz w:val="20"/>
                <w:szCs w:val="20"/>
                <w:color w:val="auto"/>
              </w:rPr>
            </w:pPr>
            <w:r>
              <w:rPr>
                <w:rFonts w:ascii="Arial" w:cs="Arial" w:eastAsia="Arial" w:hAnsi="Arial"/>
                <w:sz w:val="14"/>
                <w:szCs w:val="14"/>
                <w:b w:val="1"/>
                <w:bCs w:val="1"/>
                <w:color w:val="auto"/>
                <w:w w:val="85"/>
              </w:rPr>
              <w:t>Shares</w:t>
            </w:r>
          </w:p>
        </w:tc>
        <w:tc>
          <w:tcPr>
            <w:tcW w:w="160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to</w:t>
            </w:r>
          </w:p>
        </w:tc>
        <w:tc>
          <w:tcPr>
            <w:tcW w:w="1240" w:type="dxa"/>
            <w:vAlign w:val="bottom"/>
          </w:tcPr>
          <w:p>
            <w:pPr>
              <w:jc w:val="center"/>
              <w:ind w:left="245"/>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620" w:type="dxa"/>
            <w:vAlign w:val="bottom"/>
          </w:tcPr>
          <w:p>
            <w:pPr>
              <w:jc w:val="center"/>
              <w:ind w:left="983"/>
              <w:spacing w:after="0" w:line="149" w:lineRule="exact"/>
              <w:rPr>
                <w:sz w:val="20"/>
                <w:szCs w:val="20"/>
                <w:color w:val="auto"/>
              </w:rPr>
            </w:pPr>
            <w:r>
              <w:rPr>
                <w:rFonts w:ascii="Arial" w:cs="Arial" w:eastAsia="Arial" w:hAnsi="Arial"/>
                <w:sz w:val="14"/>
                <w:szCs w:val="14"/>
                <w:b w:val="1"/>
                <w:bCs w:val="1"/>
                <w:color w:val="auto"/>
                <w:w w:val="94"/>
              </w:rPr>
              <w:t>Owned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 Offered in</w:t>
            </w:r>
          </w:p>
        </w:tc>
        <w:tc>
          <w:tcPr>
            <w:tcW w:w="1240" w:type="dxa"/>
            <w:vAlign w:val="bottom"/>
          </w:tcPr>
          <w:p>
            <w:pPr>
              <w:jc w:val="center"/>
              <w:ind w:left="245"/>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Stockholder</w:t>
            </w:r>
          </w:p>
        </w:tc>
        <w:tc>
          <w:tcPr>
            <w:tcW w:w="2620" w:type="dxa"/>
            <w:vAlign w:val="bottom"/>
          </w:tcPr>
          <w:p>
            <w:pPr>
              <w:jc w:val="center"/>
              <w:ind w:left="983"/>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Prior to the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 Offering</w:t>
            </w:r>
          </w:p>
        </w:tc>
        <w:tc>
          <w:tcPr>
            <w:tcW w:w="1240" w:type="dxa"/>
            <w:vAlign w:val="bottom"/>
          </w:tcPr>
          <w:p>
            <w:pPr>
              <w:jc w:val="center"/>
              <w:ind w:left="245"/>
              <w:spacing w:after="0" w:line="149" w:lineRule="exact"/>
              <w:rPr>
                <w:sz w:val="20"/>
                <w:szCs w:val="20"/>
                <w:color w:val="auto"/>
              </w:rPr>
            </w:pPr>
            <w:r>
              <w:rPr>
                <w:rFonts w:ascii="Arial" w:cs="Arial" w:eastAsia="Arial" w:hAnsi="Arial"/>
                <w:sz w:val="14"/>
                <w:szCs w:val="14"/>
                <w:b w:val="1"/>
                <w:bCs w:val="1"/>
                <w:color w:val="auto"/>
                <w:w w:val="97"/>
              </w:rPr>
              <w:t>After the</w:t>
            </w: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2620" w:type="dxa"/>
            <w:vAlign w:val="bottom"/>
          </w:tcPr>
          <w:p>
            <w:pPr>
              <w:jc w:val="center"/>
              <w:ind w:left="983"/>
              <w:spacing w:after="0"/>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(2)</w:t>
            </w:r>
          </w:p>
        </w:tc>
        <w:tc>
          <w:tcPr>
            <w:tcW w:w="1720" w:type="dxa"/>
            <w:vAlign w:val="bottom"/>
          </w:tcPr>
          <w:p>
            <w:pPr>
              <w:jc w:val="right"/>
              <w:ind w:right="727"/>
              <w:spacing w:after="0"/>
              <w:rPr>
                <w:sz w:val="20"/>
                <w:szCs w:val="20"/>
                <w:color w:val="auto"/>
              </w:rPr>
            </w:pPr>
            <w:r>
              <w:rPr>
                <w:rFonts w:ascii="Arial" w:cs="Arial" w:eastAsia="Arial" w:hAnsi="Arial"/>
                <w:sz w:val="12"/>
                <w:szCs w:val="12"/>
                <w:b w:val="1"/>
                <w:bCs w:val="1"/>
                <w:color w:val="auto"/>
              </w:rPr>
              <w:t>(1)</w:t>
            </w:r>
          </w:p>
        </w:tc>
        <w:tc>
          <w:tcPr>
            <w:tcW w:w="1240" w:type="dxa"/>
            <w:vAlign w:val="bottom"/>
          </w:tcPr>
          <w:p>
            <w:pPr>
              <w:jc w:val="center"/>
              <w:ind w:left="245"/>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417"/>
        </w:trPr>
        <w:tc>
          <w:tcPr>
            <w:tcW w:w="4240" w:type="dxa"/>
            <w:vAlign w:val="bottom"/>
          </w:tcPr>
          <w:p>
            <w:pPr>
              <w:spacing w:after="0"/>
              <w:rPr>
                <w:sz w:val="20"/>
                <w:szCs w:val="20"/>
                <w:color w:val="auto"/>
              </w:rPr>
            </w:pPr>
            <w:r>
              <w:rPr>
                <w:rFonts w:ascii="Arial" w:cs="Arial" w:eastAsia="Arial" w:hAnsi="Arial"/>
                <w:sz w:val="18"/>
                <w:szCs w:val="18"/>
                <w:color w:val="auto"/>
              </w:rPr>
              <w:t xml:space="preserve">Craig A. McCall </w:t>
            </w:r>
            <w:r>
              <w:rPr>
                <w:rFonts w:ascii="Arial" w:cs="Arial" w:eastAsia="Arial" w:hAnsi="Arial"/>
                <w:sz w:val="15"/>
                <w:szCs w:val="15"/>
                <w:color w:val="auto"/>
              </w:rPr>
              <w:t>(3)</w:t>
            </w:r>
          </w:p>
        </w:tc>
        <w:tc>
          <w:tcPr>
            <w:tcW w:w="2620" w:type="dxa"/>
            <w:vAlign w:val="bottom"/>
          </w:tcPr>
          <w:p>
            <w:pPr>
              <w:jc w:val="center"/>
              <w:ind w:left="983"/>
              <w:spacing w:after="0"/>
              <w:rPr>
                <w:sz w:val="20"/>
                <w:szCs w:val="20"/>
                <w:color w:val="auto"/>
              </w:rPr>
            </w:pPr>
            <w:r>
              <w:rPr>
                <w:rFonts w:ascii="Arial" w:cs="Arial" w:eastAsia="Arial" w:hAnsi="Arial"/>
                <w:sz w:val="18"/>
                <w:szCs w:val="18"/>
                <w:color w:val="auto"/>
                <w:w w:val="89"/>
              </w:rPr>
              <w:t>1,116,840</w:t>
            </w:r>
          </w:p>
        </w:tc>
        <w:tc>
          <w:tcPr>
            <w:tcW w:w="1600" w:type="dxa"/>
            <w:vAlign w:val="bottom"/>
          </w:tcPr>
          <w:p>
            <w:pPr>
              <w:jc w:val="right"/>
              <w:ind w:right="464"/>
              <w:spacing w:after="0"/>
              <w:rPr>
                <w:sz w:val="20"/>
                <w:szCs w:val="20"/>
                <w:color w:val="auto"/>
              </w:rPr>
            </w:pPr>
            <w:r>
              <w:rPr>
                <w:rFonts w:ascii="Arial" w:cs="Arial" w:eastAsia="Arial" w:hAnsi="Arial"/>
                <w:sz w:val="18"/>
                <w:szCs w:val="18"/>
                <w:color w:val="auto"/>
              </w:rPr>
              <w:t>2.4%</w:t>
            </w:r>
          </w:p>
        </w:tc>
        <w:tc>
          <w:tcPr>
            <w:tcW w:w="1720" w:type="dxa"/>
            <w:vAlign w:val="bottom"/>
          </w:tcPr>
          <w:p>
            <w:pPr>
              <w:jc w:val="right"/>
              <w:ind w:right="447"/>
              <w:spacing w:after="0"/>
              <w:rPr>
                <w:sz w:val="20"/>
                <w:szCs w:val="20"/>
                <w:color w:val="auto"/>
              </w:rPr>
            </w:pPr>
            <w:r>
              <w:rPr>
                <w:rFonts w:ascii="Arial" w:cs="Arial" w:eastAsia="Arial" w:hAnsi="Arial"/>
                <w:sz w:val="18"/>
                <w:szCs w:val="18"/>
                <w:color w:val="auto"/>
              </w:rPr>
              <w:t>1,116,505</w:t>
            </w:r>
          </w:p>
        </w:tc>
        <w:tc>
          <w:tcPr>
            <w:tcW w:w="1240" w:type="dxa"/>
            <w:vAlign w:val="bottom"/>
          </w:tcPr>
          <w:p>
            <w:pPr>
              <w:jc w:val="center"/>
              <w:ind w:left="245"/>
              <w:spacing w:after="0"/>
              <w:rPr>
                <w:sz w:val="20"/>
                <w:szCs w:val="20"/>
                <w:color w:val="auto"/>
              </w:rPr>
            </w:pPr>
            <w:r>
              <w:rPr>
                <w:rFonts w:ascii="Arial" w:cs="Arial" w:eastAsia="Arial" w:hAnsi="Arial"/>
                <w:sz w:val="18"/>
                <w:szCs w:val="18"/>
                <w:color w:val="auto"/>
                <w:w w:val="93"/>
              </w:rPr>
              <w:t>335</w:t>
            </w:r>
          </w:p>
        </w:tc>
        <w:tc>
          <w:tcPr>
            <w:tcW w:w="0" w:type="dxa"/>
            <w:vAlign w:val="bottom"/>
          </w:tcPr>
          <w:p>
            <w:pPr>
              <w:spacing w:after="0"/>
              <w:rPr>
                <w:sz w:val="1"/>
                <w:szCs w:val="1"/>
                <w:color w:val="auto"/>
              </w:rPr>
            </w:pPr>
          </w:p>
        </w:tc>
      </w:tr>
      <w:tr>
        <w:trPr>
          <w:trHeight w:val="405"/>
        </w:trPr>
        <w:tc>
          <w:tcPr>
            <w:tcW w:w="4240" w:type="dxa"/>
            <w:vAlign w:val="bottom"/>
          </w:tcPr>
          <w:p>
            <w:pPr>
              <w:spacing w:after="0"/>
              <w:rPr>
                <w:sz w:val="24"/>
                <w:szCs w:val="24"/>
                <w:color w:val="auto"/>
              </w:rPr>
            </w:pPr>
          </w:p>
        </w:tc>
        <w:tc>
          <w:tcPr>
            <w:tcW w:w="2620" w:type="dxa"/>
            <w:vAlign w:val="bottom"/>
          </w:tcPr>
          <w:p>
            <w:pPr>
              <w:jc w:val="right"/>
              <w:ind w:right="983"/>
              <w:spacing w:after="0"/>
              <w:rPr>
                <w:sz w:val="20"/>
                <w:szCs w:val="20"/>
                <w:color w:val="auto"/>
              </w:rPr>
            </w:pPr>
            <w:r>
              <w:rPr>
                <w:rFonts w:ascii="Arial" w:cs="Arial" w:eastAsia="Arial" w:hAnsi="Arial"/>
                <w:sz w:val="18"/>
                <w:szCs w:val="18"/>
                <w:color w:val="auto"/>
              </w:rPr>
              <w:t>23</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issued in the asset purchase and to be sold in the offering equals $17,250,000 divided by $15.45, which was the closing price per share of our Class A Non-voting Common Stock on the NASDAQ Global Select Market on November 12, 2008, the day prior to the closing of the asset purchase.</w:t>
      </w:r>
    </w:p>
    <w:p>
      <w:pPr>
        <w:spacing w:after="0" w:line="32"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November 13, 2008, we had 45,958,979 shares of our Class A Non-Voting common stock issued and outstanding (assuming conversion of all outstanding convertible Class B Voting Common Stock into Class A Non-voting Common Stock and exercise of all outstanding stock options, warrants and restricted stock awards). After the acquisition, 47,075,819 shares were issued and outstanding (assuming conversion of all outstanding convertible Class B Voting Common Stock into Class A Non-voting Common Stock and exercise of all outstanding stock options, warrants and restricted stock awards). Assuming the selling shareholder sells all securities offered in this offering, he will own less than one percent (1%) of our common stock after this offering.</w:t>
      </w:r>
    </w:p>
    <w:p>
      <w:pPr>
        <w:spacing w:after="0" w:line="44"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to be sold are issued in the asset purchase to the following eleven entities: Pawn Plus 1, LLC, Pawn Plus 2, LLC, Pawn Plus 3, LLC, Pawn Plus 4, LLC, Pawn Plus 5, LLC, Pawn Plus 6, LLC, Pawn Plus 7, LLC, Pawn Plus 8, LLC, ASAP Pawn, LLC, Crag A. McCall, Inc., and The Pawn Place, Inc. The selling shareholder, Craig A. McCall, owns and controls all of the Sellers either directly or indirectly through a family trust of which he and his wife are trustees, all of which are owned and controlled solely by Mr. McCall through a family trust of which he is trustee. The remaining 335 shares are held indirectly in an individual retirement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PLAN OF DISTRIBUTION</w:t>
      </w:r>
    </w:p>
    <w:p>
      <w:pPr>
        <w:spacing w:after="0" w:line="12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are registering the EZCORP Shares to permit the resale of these shares of Class A Non-voting Common Stock by the selling stockholder from time to time after the date of this prospectus. We will not receive any of the proceeds from the sale by the selling stockholder of the shares of Class A Non-voting Common Stock. We will bear all fees and expenses incident to our obligation to register the shares of Class A Non-voting Common Stock, estimated to be approximately $61,000.</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selling stockholder may sell all or a portion of the shares of Class A Non-voting Common Stock beneficially owned by him and offered hereby from time to time directly or through one or more underwriters, broker-dealers or agents. If the shares of Class A Non-voting Common Stock are sold through underwriters or broker-dealers, the selling stockholder will be responsible for underwriting discounts or commissions or agent’s commissions. The shares of Class A Non-voting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in any of the following manners: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8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on any national securities exchange or quotation service on which the Class A Non-voting Common Stock may be listed or quoted at the time of sale;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transactions otherwise than on these exchanges or systems or in the over-the-counter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the writing of options, whether such options are listed on an options exchange or otherwise;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ordinary brokerage transactions and transactions in which the broker-dealer solicits purchasers;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purchases by a broker-dealer as principal and resale by the broker-dealer for its account;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an exchange distribution in accordance with the rules of the applicable exchange;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privately negotiated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short sales;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through sales pursuant to Rule 144;</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which broker-dealers agree with the selling stockholder to sell a specified number of such shares at a stipulated price per share;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by means of a combination of any such methods of sale;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by any other method permitted pursuant to applicable law.</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the selling stockholder effects such transactions by selling shares of Class A Non-voting Common Stock to or through underwriters, broker-dealers or agents, such underwriters, broker-dealers or agents may receive commissions in the form of discounts, concessions or commissions from the selling stockholder or commissions from purchasers of the shares of Class A Non-voting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Class A Non-voting Common Stock or otherwise, the selling stockholder may enter into hedging transactions with broker-dealers, which may in turn engage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short sales of the shares of Class A Non-voting Common Stock in the course of hedging in positions they assume. The selling stockholder may also sell shares of Class A Non-voting Common Stock short and deliver shares of Class A Non-voting Common Stock covered by this prospectus to close out short positions and to return borrowed shares in connection with such short sales. The selling stockholder may also loan or pledge shares of Class A Non-voting Common Stock to broker-dealers that in turn may sell such shares.</w:t>
      </w:r>
    </w:p>
    <w:p>
      <w:pPr>
        <w:spacing w:after="0" w:line="7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selling stockholder may pledge or grant a security interest in some or all of the shares of Class A Non-voting Common Stock owned by him and, if he defaults in the performance of his secured obligations, the pledgees or secured parties may offer and sell the shares of Class A Non-voting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 also may transfer and donate the shares of Class A Non-voting Common Stock in other circumstances in which case the transferees, donees, pledgees or other successors in interest will be the selling beneficial owners for purposes of this prospectus.</w:t>
      </w:r>
    </w:p>
    <w:p>
      <w:pPr>
        <w:spacing w:after="0" w:line="5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do not know of any arrangements made by the selling stockholder for the sale of any shares of Class A Non-voting Common Stock. The selling stockholder is not obligated to sell any of the shares being registered for sale.</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selling stockholder and any agents or broker-dealers that participate with the selling stockholder in the distribution of any of the EZCORP Shares may be deemed to be “underwriters” within the meaning of the Securities Act, and any discount or commission received by them and any profit on the resale of the EZCORP Shares purchased by them may be deemed to be underwriting discounts or commissions under the Securities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EXPERTS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Matters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financial statements and effectiveness of internal control over financial reporting, incorporated by reference in this Prospectus and Registration Statement, have been audited by BDO Seidman, LLP, independent registered public accountants, to the extent and for the periods set forth in their reports incorporated by reference, and are included in reliance upon the authority of BDO Seidman, LLP, as experts in accounting and auditing in giving their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validity of our Class A Non-voting Common Stock offered pursuant to this prospectus was passed on by Strasburger &amp; Price, L.L.P., Austin, Texas.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INCORPORATED BY REFERENCE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previously filed information, including information contained in this document. We incorporate by reference the documents listed below (SEC file No. 000-19424) and any future filings we will make with the SEC under Sections 13(a), 13(c), 14 or 15(d) of the Securities Exchange Act of 1934 until all shares offered by this Prospectus are sold or until this offering is otherwise completed:</w:t>
      </w:r>
    </w:p>
    <w:p>
      <w:pPr>
        <w:spacing w:after="0" w:line="64"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year ended September 30, 2007, filed with the SEC on December 14, 2007.</w:t>
      </w:r>
    </w:p>
    <w:p>
      <w:pPr>
        <w:spacing w:after="0" w:line="130" w:lineRule="exact"/>
        <w:rPr>
          <w:rFonts w:ascii="Arial" w:cs="Arial" w:eastAsia="Arial" w:hAnsi="Arial"/>
          <w:sz w:val="18"/>
          <w:szCs w:val="18"/>
          <w:b w:val="1"/>
          <w:bCs w:val="1"/>
          <w:color w:val="auto"/>
        </w:rPr>
      </w:pPr>
    </w:p>
    <w:p>
      <w:pPr>
        <w:ind w:left="220" w:right="360" w:hanging="212"/>
        <w:spacing w:after="0" w:line="277" w:lineRule="auto"/>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Quarterly Reports on Form 10-Q for the periods ended December 31, 2007, March 31, 2008 and June 30, 2008, filed with the SEC on February 5, 2008, May 6, 2008 and August 11, 2008.</w:t>
      </w:r>
    </w:p>
    <w:p>
      <w:pPr>
        <w:spacing w:after="0" w:line="75" w:lineRule="exact"/>
        <w:rPr>
          <w:rFonts w:ascii="Arial" w:cs="Arial" w:eastAsia="Arial" w:hAnsi="Arial"/>
          <w:sz w:val="18"/>
          <w:szCs w:val="18"/>
          <w:b w:val="1"/>
          <w:bCs w:val="1"/>
          <w:color w:val="auto"/>
        </w:rPr>
      </w:pPr>
    </w:p>
    <w:p>
      <w:pPr>
        <w:ind w:left="220" w:hanging="212"/>
        <w:spacing w:after="0" w:line="272" w:lineRule="auto"/>
        <w:tabs>
          <w:tab w:leader="none" w:pos="22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Our Current Reports on Form 8-K or 8-K/A dated September 27, 2007 (filed October 3, 2007), October 3, 2007 (filed October 9, 2007), November 7, 2007 (filed November 8, 2007), November 8, 2007 (filed November 8, 2007), January 24, 2008 (filed January 24, 2008), March 17, 2008 (filed March 17, 2008), April 24, 2008 (filed April 24, 2008), May 12, 2008 (filed May 13, 2008), May 28, 2008 (filed June 2, 2008), June 5, 2008 (filed June 5, 2008), June 9, 2008 (filed June 9, 2008), June 17, 2008 (filed June 17, 2008), June 23, 2008 (filed June 24, 2008), July 8, 2008 (filed July 9, 2008), July 24, 2008 (filed July 24, 2008), August 9, 2008 (filed August 11, 2008), September 5, 2008 (filed September 5, 2008), September 16, 2008 (filed September 17, 2008), September 16, 2008 (filed September 18, 2008), September 24, 2008 (filed September 29, 2008), October 24, 2008 (filed October 29, 2008), November 6, 2008 (filed November 6, 2008), and November 13, 2008 (filed November 14, 2008).</w:t>
      </w:r>
    </w:p>
    <w:p>
      <w:pPr>
        <w:spacing w:after="0" w:line="83" w:lineRule="exact"/>
        <w:rPr>
          <w:rFonts w:ascii="Arial" w:cs="Arial" w:eastAsia="Arial" w:hAnsi="Arial"/>
          <w:sz w:val="17"/>
          <w:szCs w:val="17"/>
          <w:b w:val="1"/>
          <w:bCs w:val="1"/>
          <w:color w:val="auto"/>
        </w:rPr>
      </w:pPr>
    </w:p>
    <w:p>
      <w:pPr>
        <w:ind w:left="220" w:right="540" w:hanging="212"/>
        <w:spacing w:after="0" w:line="277" w:lineRule="auto"/>
        <w:tabs>
          <w:tab w:leader="none" w:pos="2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description of EZCORP’s Common Stock and Common Stock Rights as set forth in EZCORP’s Form 8-A Registration Statement filed with the Commission on July 24, 1991, including any amendment or report filed for the purpose of updating such description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free copies of these filings by writing or telephoning us at the following address: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 Department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(512) 314-3400</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We file annual, quarterly and periodic reports and other information with the Securities and Exchange Commission using the SEC’s EDGAR system. You can find our SEC filings on the SEC’s web site,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You may read and copy any materials that we file with the SEC at its Public Reference Room at 100 F. Street, N.E., Washington, D.C. 20549. Our Class A Non-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voting Common Stock is listed on NASDAQ, under the symbol “EZPW,” and all reports and other information that we file with NASDAQ may be inspected at its offices at 1735 K Street N.W., Washington, D.C. 20006.</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furnish our stockholders with an annual report, which contains audited financial statements, and such other reports as we, from time to time, deem appropriate or as may be required by law. Our fiscal year runs from October 1 through September 30.</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Any statement contained in a document incorporated or deemed to be incorporated herein shall be deemed modified or superseded for purposes of this prospectus to the extent that a statement contained herein or in any other subsequently filed document that is deemed to be incorporated herein modifies or supersedes such statement. Any statement so modified or superseded shall not be deemed, except as so modified or superseded, to constitute a part of this prospectus. You should rely only on the information contained in this document or to which we have referred you. We have not authorized anyone to provide you with information that is inconsistent with information contained in this document or any document incorporated herein. This prospectus is not an offer to sell these securities in any state where the offer or sale of these securities is not permitted. The information in this prospectus is current as of the date it is mailed to security holders, and not necessarily as of any later date. If any material change occurs during the period that this prospectus is required to be delivered, this prospectus will be supplemented or amended.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DISCLOSURE OF COMMISSION POSITION ON INDEMNIFICATION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Restated Certificate of Incorporation provides that no director will be personally liable to us or any of our stockholders for monetary damages arising from the director’s breach of a fiduciary duty as a director, with certain limited exceptions.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w:t>
      </w:r>
    </w:p>
    <w:p>
      <w:pPr>
        <w:spacing w:after="0" w:line="2" w:lineRule="exact"/>
        <w:rPr>
          <w:sz w:val="20"/>
          <w:szCs w:val="20"/>
          <w:color w:val="auto"/>
        </w:rPr>
      </w:pPr>
    </w:p>
    <w:p>
      <w:pPr>
        <w:ind w:right="14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7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Restated Certificate of Incorporation and Amended and Restated Bylaws specifically provide for indemnification of officers and directors to the fullest extent permitted by the Delaware General Corporation Law.</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Insofar as indemnification by us for liabilities arising under the Securities Act of 1933, as amended (the “Securities Act”), may be permitted to our directors, officers or persons controlling EZCORP pursuant to the foregoing provisions, we have been informed that in the opinion of the Securities and Exchange Commission such indemnification is against public policy as expressed in the Securities Act and is therefore unenforceable.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1,116,505 SHARES OF CLASS A NON-VOTING COMMON STOCK</w:t>
      </w:r>
    </w:p>
    <w:p>
      <w:pPr>
        <w:spacing w:after="0" w:line="12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6"/>
          <w:szCs w:val="16"/>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-10160</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estimated expenses in connection with the issuance and distribution of the securities registered hereby, all of which will be paid by EZCORP: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gridSpan w:val="2"/>
          </w:tcPr>
          <w:p>
            <w:pPr>
              <w:spacing w:after="0"/>
              <w:rPr>
                <w:sz w:val="20"/>
                <w:szCs w:val="20"/>
                <w:color w:val="auto"/>
              </w:rPr>
            </w:pPr>
            <w:r>
              <w:rPr>
                <w:rFonts w:ascii="Arial" w:cs="Arial" w:eastAsia="Arial" w:hAnsi="Arial"/>
                <w:sz w:val="14"/>
                <w:szCs w:val="14"/>
                <w:color w:val="auto"/>
              </w:rPr>
              <w:t>Item</w:t>
            </w:r>
          </w:p>
        </w:tc>
        <w:tc>
          <w:tcPr>
            <w:tcW w:w="5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 xml:space="preserve">Amount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24"/>
        </w:trPr>
        <w:tc>
          <w:tcPr>
            <w:tcW w:w="10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All items other than SEC registration fee are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Restated Certificate of Incorporation provides that no director will be personally liable to EZCORP or any of its stockholders for monetary damages arising from the director’s breach of a fiduciary duty as a director, with certain limited exceptions.</w:t>
      </w:r>
    </w:p>
    <w:p>
      <w:pPr>
        <w:spacing w:after="0" w:line="6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w:t>
      </w:r>
    </w:p>
    <w:p>
      <w:pPr>
        <w:spacing w:after="0" w:line="2" w:lineRule="exact"/>
        <w:rPr>
          <w:sz w:val="20"/>
          <w:szCs w:val="20"/>
          <w:color w:val="auto"/>
        </w:rPr>
      </w:pPr>
    </w:p>
    <w:p>
      <w:pPr>
        <w:ind w:right="20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7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Restated Certificate of Incorporation and Amended and Restated Bylaws specifically provide for indemnification of officers and directors to the fullest extent permitted by the Delaware General Corporation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80" w:hanging="247"/>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it offers or sells securities, a post-effective amendment to this registration statement:</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right="100" w:firstLine="458"/>
        <w:spacing w:after="0" w:line="273" w:lineRule="auto"/>
        <w:tabs>
          <w:tab w:leader="none" w:pos="705" w:val="left"/>
        </w:tabs>
        <w:numPr>
          <w:ilvl w:val="1"/>
          <w:numId w:val="1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 the in the “Calculation of Registration Fee” table in the effective registration statement.</w:t>
      </w:r>
    </w:p>
    <w:p>
      <w:pPr>
        <w:spacing w:after="0" w:line="70" w:lineRule="exact"/>
        <w:rPr>
          <w:rFonts w:ascii="Arial" w:cs="Arial" w:eastAsia="Arial" w:hAnsi="Arial"/>
          <w:sz w:val="17"/>
          <w:szCs w:val="17"/>
          <w:color w:val="auto"/>
        </w:rPr>
      </w:pPr>
    </w:p>
    <w:p>
      <w:pPr>
        <w:ind w:right="320" w:firstLine="458"/>
        <w:spacing w:after="0" w:line="277" w:lineRule="auto"/>
        <w:tabs>
          <w:tab w:leader="none" w:pos="7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provided, however, that paragraphs (a)(1), (a)(2) and (a)(3) do not apply if the information required to be included in a post-effective amendment by those paragraphs is contained in periodic reports filed with or furnished to the Securities and Exchange Commission by EZCORP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right="580" w:firstLine="233"/>
        <w:spacing w:after="0" w:line="342"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EZCORP will treat each post-effective amendment as a new registration statement relating to the securities offered therein, and the offering of the securities at that time to be the initial bona fide offering thereof.</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247"/>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that remain unsold at the termination of the offering.</w:t>
      </w:r>
    </w:p>
    <w:p>
      <w:pPr>
        <w:spacing w:after="0" w:line="128" w:lineRule="exact"/>
        <w:rPr>
          <w:rFonts w:ascii="Arial" w:cs="Arial" w:eastAsia="Arial" w:hAnsi="Arial"/>
          <w:sz w:val="17"/>
          <w:szCs w:val="17"/>
          <w:color w:val="auto"/>
        </w:rPr>
      </w:pPr>
    </w:p>
    <w:p>
      <w:pPr>
        <w:ind w:right="160" w:firstLine="233"/>
        <w:spacing w:after="0" w:line="26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purposes of determining any liability under the Securities Act of 1933, each filing of EZCORP’s annual report pursuant to Section 13(a) or 15(d) of the Securities Exchange Act of 1934 shall be deemed to be a new registration statement relating to the securities offered herein, and the offering of such securities at that time shall be deemed to be the initial bona fide offering thereof.</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(d)-l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sz w:val="20"/>
          <w:szCs w:val="20"/>
          <w:color w:val="auto"/>
        </w:rPr>
      </w:pPr>
    </w:p>
    <w:p>
      <w:pPr>
        <w:ind w:firstLine="233"/>
        <w:spacing w:after="0" w:line="271" w:lineRule="auto"/>
        <w:tabs>
          <w:tab w:leader="none" w:pos="47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EZCORP pursuant to the foregoing provisions of this registration statement, or otherwise, EZCORP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EZCORP of expenses incurred or paid by a director, officer or controlling person of EZCORP in the successful defense of any action, suit or proceeding) is asserted by such director, officer or controlling person in connection with the securities being registered, EZCORP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EZCORP, Inc., certifies that it has reasonable grounds to believe that it meets all of the requirements for filing on Form S-3 and has duly caused this registration statement to be signed on its behalf by the undersigned, thereunto duly authorized in the City of Austin, State of Texas, on December 10, 2008.</w:t>
      </w:r>
    </w:p>
    <w:p>
      <w:pPr>
        <w:spacing w:after="0" w:line="17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EZCORP,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L. Rotunda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December 10,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Sterling B. Brinkley*</w:t>
            </w:r>
          </w:p>
        </w:tc>
        <w:tc>
          <w:tcPr>
            <w:tcW w:w="1700" w:type="dxa"/>
            <w:vAlign w:val="bottom"/>
          </w:tcPr>
          <w:p>
            <w:pPr>
              <w:spacing w:after="0"/>
              <w:rPr>
                <w:sz w:val="20"/>
                <w:szCs w:val="20"/>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Sterling B. Brinkley, Chairman of the Board and</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10,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Rotunda</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L. Rotunda, Chief Executive Officer,</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(Principal Executive Officer) and Director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10,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N. Tonissen</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Dan N. Tonissen, Senior Vice President, Chief</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Financial Officer, Assistant Secretary (Principal Financial</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Accounting Officer) and Director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10,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Roberts*</w:t>
            </w:r>
          </w:p>
        </w:tc>
        <w:tc>
          <w:tcPr>
            <w:tcW w:w="1700" w:type="dxa"/>
            <w:vAlign w:val="bottom"/>
          </w:tcPr>
          <w:p>
            <w:pPr>
              <w:spacing w:after="0"/>
              <w:rPr>
                <w:sz w:val="24"/>
                <w:szCs w:val="24"/>
                <w:color w:val="auto"/>
              </w:rPr>
            </w:pP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Thomas C. Roberts, Director</w:t>
            </w:r>
          </w:p>
        </w:tc>
        <w:tc>
          <w:tcPr>
            <w:tcW w:w="1700" w:type="dxa"/>
            <w:vAlign w:val="bottom"/>
          </w:tcPr>
          <w:p>
            <w:pPr>
              <w:spacing w:after="0"/>
              <w:rPr>
                <w:sz w:val="19"/>
                <w:szCs w:val="19"/>
                <w:color w:val="auto"/>
              </w:rPr>
            </w:pPr>
          </w:p>
        </w:tc>
      </w:tr>
      <w:tr>
        <w:trPr>
          <w:trHeight w:val="833"/>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 Gary Matzner*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Gary Matzner,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Richard M. Edwards*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Richard M. Edwards,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68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Richard D. Sage*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D. Sage,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William C. Love*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C. Love,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4719"/>
          </w:cols>
          <w:pgMar w:left="240" w:top="419"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By: Joseph L. Rotunda,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0720" w:type="dxa"/>
            <w:vAlign w:val="bottom"/>
          </w:tcPr>
          <w:p>
            <w:pPr>
              <w:ind w:left="434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680" w:type="dxa"/>
            <w:vAlign w:val="bottom"/>
          </w:tcPr>
          <w:p>
            <w:pPr>
              <w:spacing w:after="0"/>
              <w:rPr>
                <w:sz w:val="20"/>
                <w:szCs w:val="20"/>
                <w:color w:val="auto"/>
              </w:rPr>
            </w:pPr>
            <w:r>
              <w:rPr>
                <w:rFonts w:ascii="Arial" w:cs="Arial" w:eastAsia="Arial" w:hAnsi="Arial"/>
                <w:sz w:val="14"/>
                <w:szCs w:val="14"/>
                <w:color w:val="auto"/>
              </w:rPr>
              <w:t>Exhibit</w:t>
            </w:r>
          </w:p>
        </w:tc>
        <w:tc>
          <w:tcPr>
            <w:tcW w:w="10720" w:type="dxa"/>
            <w:vAlign w:val="bottom"/>
          </w:tcPr>
          <w:p>
            <w:pPr>
              <w:ind w:left="240"/>
              <w:spacing w:after="0"/>
              <w:rPr>
                <w:sz w:val="20"/>
                <w:szCs w:val="20"/>
                <w:color w:val="auto"/>
              </w:rPr>
            </w:pPr>
            <w:r>
              <w:rPr>
                <w:rFonts w:ascii="Arial" w:cs="Arial" w:eastAsia="Arial" w:hAnsi="Arial"/>
                <w:sz w:val="14"/>
                <w:szCs w:val="14"/>
                <w:color w:val="auto"/>
              </w:rPr>
              <w:t>Description</w:t>
            </w:r>
          </w:p>
        </w:tc>
      </w:tr>
      <w:tr>
        <w:trPr>
          <w:trHeight w:val="403"/>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10720" w:type="dxa"/>
            <w:vAlign w:val="bottom"/>
          </w:tcPr>
          <w:p>
            <w:pPr>
              <w:ind w:left="240"/>
              <w:spacing w:after="0"/>
              <w:rPr>
                <w:sz w:val="20"/>
                <w:szCs w:val="20"/>
                <w:color w:val="auto"/>
              </w:rPr>
            </w:pPr>
            <w:r>
              <w:rPr>
                <w:rFonts w:ascii="Arial" w:cs="Arial" w:eastAsia="Arial" w:hAnsi="Arial"/>
                <w:sz w:val="18"/>
                <w:szCs w:val="18"/>
                <w:color w:val="auto"/>
                <w:w w:val="94"/>
              </w:rPr>
              <w:t>Asset Purchase Agreement by and among Pawn Plus 1, LLC, Pawn Plus 2, LLC, Pawn Plus 3, LLC, Pawn Plus 4, LLC, Pawn Plus 5, LLC,</w:t>
            </w:r>
          </w:p>
        </w:tc>
      </w:tr>
      <w:tr>
        <w:trPr>
          <w:trHeight w:val="216"/>
        </w:trPr>
        <w:tc>
          <w:tcPr>
            <w:tcW w:w="680" w:type="dxa"/>
            <w:vAlign w:val="bottom"/>
          </w:tcPr>
          <w:p>
            <w:pPr>
              <w:spacing w:after="0"/>
              <w:rPr>
                <w:sz w:val="18"/>
                <w:szCs w:val="18"/>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w w:val="95"/>
              </w:rPr>
              <w:t>Pawn Plus 6, LLC, Pawn Plus 7, LLC, Pawn Plus 8, LLC, ASAP Pawn, LLC, Craig A McCall, Inc., The Pawn Place, Inc., Craig McCall and</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EZPAWN Nevada, Inc.</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10720" w:type="dxa"/>
            <w:vAlign w:val="bottom"/>
          </w:tcPr>
          <w:p>
            <w:pPr>
              <w:ind w:left="240"/>
              <w:spacing w:after="0"/>
              <w:rPr>
                <w:sz w:val="20"/>
                <w:szCs w:val="20"/>
                <w:color w:val="auto"/>
              </w:rPr>
            </w:pPr>
            <w:r>
              <w:rPr>
                <w:rFonts w:ascii="Arial" w:cs="Arial" w:eastAsia="Arial" w:hAnsi="Arial"/>
                <w:sz w:val="18"/>
                <w:szCs w:val="18"/>
                <w:color w:val="auto"/>
                <w:w w:val="97"/>
              </w:rPr>
              <w:t>Conformed Amended and Restated Certificate of Incorporation of EZCORP, incorporated by reference to Exhibit 3.1 to the Registration</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Statement on Form S-4 filed by EZCORP on September 26, 2008 (File No. 333-153703).</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10720" w:type="dxa"/>
            <w:vAlign w:val="bottom"/>
          </w:tcPr>
          <w:p>
            <w:pPr>
              <w:ind w:left="240"/>
              <w:spacing w:after="0"/>
              <w:rPr>
                <w:sz w:val="20"/>
                <w:szCs w:val="20"/>
                <w:color w:val="auto"/>
              </w:rPr>
            </w:pPr>
            <w:r>
              <w:rPr>
                <w:rFonts w:ascii="Arial" w:cs="Arial" w:eastAsia="Arial" w:hAnsi="Arial"/>
                <w:sz w:val="18"/>
                <w:szCs w:val="18"/>
                <w:color w:val="auto"/>
                <w:w w:val="92"/>
              </w:rPr>
              <w:t>Bylaws of EZCORP, incorporated by reference to Exhibit 3.2 to the Registration Statement on Form S-1 effective August 23, 1991 (File No. 33-</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41317).</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3.3</w:t>
            </w:r>
          </w:p>
        </w:tc>
        <w:tc>
          <w:tcPr>
            <w:tcW w:w="10720" w:type="dxa"/>
            <w:vAlign w:val="bottom"/>
          </w:tcPr>
          <w:p>
            <w:pPr>
              <w:ind w:left="240"/>
              <w:spacing w:after="0"/>
              <w:rPr>
                <w:sz w:val="20"/>
                <w:szCs w:val="20"/>
                <w:color w:val="auto"/>
              </w:rPr>
            </w:pPr>
            <w:r>
              <w:rPr>
                <w:rFonts w:ascii="Arial" w:cs="Arial" w:eastAsia="Arial" w:hAnsi="Arial"/>
                <w:sz w:val="18"/>
                <w:szCs w:val="18"/>
                <w:color w:val="auto"/>
                <w:w w:val="91"/>
              </w:rPr>
              <w:t>Amendment to the Bylaws, incorporated by reference to Exhibit 3.3 to EZCORP’s Quarterly Report on Form 10-Q for the quarter ended June 30,</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1994 (File No. 000-19424).</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10720" w:type="dxa"/>
            <w:vAlign w:val="bottom"/>
          </w:tcPr>
          <w:p>
            <w:pPr>
              <w:ind w:left="240"/>
              <w:spacing w:after="0"/>
              <w:rPr>
                <w:sz w:val="20"/>
                <w:szCs w:val="20"/>
                <w:color w:val="auto"/>
              </w:rPr>
            </w:pPr>
            <w:r>
              <w:rPr>
                <w:rFonts w:ascii="Arial" w:cs="Arial" w:eastAsia="Arial" w:hAnsi="Arial"/>
                <w:sz w:val="18"/>
                <w:szCs w:val="18"/>
                <w:color w:val="auto"/>
                <w:w w:val="92"/>
              </w:rPr>
              <w:t>The description of EZCORP’s Common Stock and Common Stock Rights as set forth in EZCORP’s Form 8-A Registration Statement filed with</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the Commission on July 24, 1991, including any amendment or report filed for the purpose of updating such description.</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10720" w:type="dxa"/>
            <w:vAlign w:val="bottom"/>
          </w:tcPr>
          <w:p>
            <w:pPr>
              <w:ind w:left="240"/>
              <w:spacing w:after="0"/>
              <w:rPr>
                <w:sz w:val="20"/>
                <w:szCs w:val="20"/>
                <w:color w:val="auto"/>
              </w:rPr>
            </w:pPr>
            <w:r>
              <w:rPr>
                <w:rFonts w:ascii="Arial" w:cs="Arial" w:eastAsia="Arial" w:hAnsi="Arial"/>
                <w:sz w:val="18"/>
                <w:szCs w:val="18"/>
                <w:color w:val="auto"/>
                <w:w w:val="97"/>
              </w:rPr>
              <w:t>Specimen of Class A Non-voting Common Stock certificate of the Company, incorporated by reference to Exhibit 4.1 to the Registration</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Statement on Form S-1 effective August 23, 1991 (File No. 33-41317).</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10720" w:type="dxa"/>
            <w:vAlign w:val="bottom"/>
          </w:tcPr>
          <w:p>
            <w:pPr>
              <w:ind w:left="240"/>
              <w:spacing w:after="0"/>
              <w:rPr>
                <w:sz w:val="20"/>
                <w:szCs w:val="20"/>
                <w:color w:val="auto"/>
              </w:rPr>
            </w:pPr>
            <w:r>
              <w:rPr>
                <w:rFonts w:ascii="Arial" w:cs="Arial" w:eastAsia="Arial" w:hAnsi="Arial"/>
                <w:sz w:val="18"/>
                <w:szCs w:val="18"/>
                <w:color w:val="auto"/>
              </w:rPr>
              <w:t>Opinion of Strasburger &amp; Price, L.L.P., as to the validity of the shares being offered.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10720" w:type="dxa"/>
            <w:vAlign w:val="bottom"/>
          </w:tcPr>
          <w:p>
            <w:pPr>
              <w:ind w:left="240"/>
              <w:spacing w:after="0"/>
              <w:rPr>
                <w:sz w:val="20"/>
                <w:szCs w:val="20"/>
                <w:color w:val="auto"/>
              </w:rPr>
            </w:pPr>
            <w:r>
              <w:rPr>
                <w:rFonts w:ascii="Arial" w:cs="Arial" w:eastAsia="Arial" w:hAnsi="Arial"/>
                <w:sz w:val="18"/>
                <w:szCs w:val="18"/>
                <w:color w:val="auto"/>
              </w:rPr>
              <w:t>Consulting Agreement between EZPAWN Nevada, Inc., and Craig A. McCall dated September 25, 2008.</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10720" w:type="dxa"/>
            <w:vAlign w:val="bottom"/>
          </w:tcPr>
          <w:p>
            <w:pPr>
              <w:ind w:left="240"/>
              <w:spacing w:after="0"/>
              <w:rPr>
                <w:sz w:val="20"/>
                <w:szCs w:val="20"/>
                <w:color w:val="auto"/>
              </w:rPr>
            </w:pPr>
            <w:r>
              <w:rPr>
                <w:rFonts w:ascii="Arial" w:cs="Arial" w:eastAsia="Arial" w:hAnsi="Arial"/>
                <w:sz w:val="18"/>
                <w:szCs w:val="18"/>
                <w:color w:val="auto"/>
                <w:w w:val="95"/>
              </w:rPr>
              <w:t>Right of First Refusal Agreement between Pawn Plus 1, LLC, Pawn Plus 2, LLC, Pawn Plus 3, LLC, Pawn Plus 4, LLC, Pawn Plus 5, LLC,</w:t>
            </w:r>
          </w:p>
        </w:tc>
      </w:tr>
      <w:tr>
        <w:trPr>
          <w:trHeight w:val="216"/>
        </w:trPr>
        <w:tc>
          <w:tcPr>
            <w:tcW w:w="680" w:type="dxa"/>
            <w:vAlign w:val="bottom"/>
          </w:tcPr>
          <w:p>
            <w:pPr>
              <w:spacing w:after="0"/>
              <w:rPr>
                <w:sz w:val="18"/>
                <w:szCs w:val="18"/>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w w:val="93"/>
              </w:rPr>
              <w:t>Pawn Plus 6, LLC, Pawn Plus 7, LLC, Pawn Plus 8, LLC, The Pawn Place, Inc., and ASAP Pawn, LLC, Craig McCall and EZPAWN Nevada,</w:t>
            </w:r>
          </w:p>
        </w:tc>
      </w:tr>
      <w:tr>
        <w:trPr>
          <w:trHeight w:val="230"/>
        </w:trPr>
        <w:tc>
          <w:tcPr>
            <w:tcW w:w="680" w:type="dxa"/>
            <w:vAlign w:val="bottom"/>
          </w:tcPr>
          <w:p>
            <w:pPr>
              <w:spacing w:after="0"/>
              <w:rPr>
                <w:sz w:val="20"/>
                <w:szCs w:val="20"/>
                <w:color w:val="auto"/>
              </w:rPr>
            </w:pPr>
          </w:p>
        </w:tc>
        <w:tc>
          <w:tcPr>
            <w:tcW w:w="10720" w:type="dxa"/>
            <w:vAlign w:val="bottom"/>
          </w:tcPr>
          <w:p>
            <w:pPr>
              <w:ind w:left="240"/>
              <w:spacing w:after="0"/>
              <w:rPr>
                <w:sz w:val="20"/>
                <w:szCs w:val="20"/>
                <w:color w:val="auto"/>
              </w:rPr>
            </w:pPr>
            <w:r>
              <w:rPr>
                <w:rFonts w:ascii="Arial" w:cs="Arial" w:eastAsia="Arial" w:hAnsi="Arial"/>
                <w:sz w:val="18"/>
                <w:szCs w:val="18"/>
                <w:color w:val="auto"/>
              </w:rPr>
              <w:t>Inc., dated October 10, 2008.</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10720" w:type="dxa"/>
            <w:vAlign w:val="bottom"/>
          </w:tcPr>
          <w:p>
            <w:pPr>
              <w:ind w:left="240"/>
              <w:spacing w:after="0"/>
              <w:rPr>
                <w:sz w:val="20"/>
                <w:szCs w:val="20"/>
                <w:color w:val="auto"/>
              </w:rPr>
            </w:pPr>
            <w:r>
              <w:rPr>
                <w:rFonts w:ascii="Arial" w:cs="Arial" w:eastAsia="Arial" w:hAnsi="Arial"/>
                <w:sz w:val="18"/>
                <w:szCs w:val="18"/>
                <w:color w:val="auto"/>
              </w:rPr>
              <w:t>Form of Bill of Sale and Assignment.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720" w:type="dxa"/>
            <w:vAlign w:val="bottom"/>
          </w:tcPr>
          <w:p>
            <w:pPr>
              <w:ind w:left="240"/>
              <w:spacing w:after="0"/>
              <w:rPr>
                <w:sz w:val="20"/>
                <w:szCs w:val="20"/>
                <w:color w:val="auto"/>
              </w:rPr>
            </w:pPr>
            <w:r>
              <w:rPr>
                <w:rFonts w:ascii="Arial" w:cs="Arial" w:eastAsia="Arial" w:hAnsi="Arial"/>
                <w:sz w:val="18"/>
                <w:szCs w:val="18"/>
                <w:color w:val="auto"/>
              </w:rPr>
              <w:t>Consent of BDO Seidman, LLP.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10720" w:type="dxa"/>
            <w:vAlign w:val="bottom"/>
          </w:tcPr>
          <w:p>
            <w:pPr>
              <w:ind w:left="240"/>
              <w:spacing w:after="0"/>
              <w:rPr>
                <w:sz w:val="20"/>
                <w:szCs w:val="20"/>
                <w:color w:val="auto"/>
              </w:rPr>
            </w:pPr>
            <w:r>
              <w:rPr>
                <w:rFonts w:ascii="Arial" w:cs="Arial" w:eastAsia="Arial" w:hAnsi="Arial"/>
                <w:sz w:val="18"/>
                <w:szCs w:val="18"/>
                <w:color w:val="auto"/>
              </w:rPr>
              <w:t>Consent of Strasburger &amp; Price, L.L.P. (included in Exhibit 5.1).</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10720" w:type="dxa"/>
            <w:vAlign w:val="bottom"/>
          </w:tcPr>
          <w:p>
            <w:pPr>
              <w:ind w:left="240"/>
              <w:spacing w:after="0"/>
              <w:rPr>
                <w:sz w:val="20"/>
                <w:szCs w:val="20"/>
                <w:color w:val="auto"/>
              </w:rPr>
            </w:pPr>
            <w:r>
              <w:rPr>
                <w:rFonts w:ascii="Arial" w:cs="Arial" w:eastAsia="Arial" w:hAnsi="Arial"/>
                <w:sz w:val="18"/>
                <w:szCs w:val="18"/>
                <w:color w:val="auto"/>
                <w:w w:val="97"/>
              </w:rPr>
              <w:t>Power of Attorney, incorporated by reference to the Registration Statement on Form S-3 filed November 14, 2008 (File # 333-155394).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with this Form S-3.</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ectPr>
          <w:pgSz w:w="11900" w:h="16838" w:orient="portrait"/>
          <w:cols w:equalWidth="0" w:num="1">
            <w:col w:w="11400"/>
          </w:cols>
          <w:pgMar w:left="240" w:top="419" w:right="259" w:bottom="1440" w:gutter="0" w:footer="0" w:header="0"/>
        </w:sectPr>
      </w:pPr>
    </w:p>
    <w:bookmarkStart w:id="39" w:name="page40"/>
    <w:bookmarkEnd w:id="39"/>
    <w:p>
      <w:pPr>
        <w:jc w:val="center"/>
        <w:ind w:right="-319"/>
        <w:spacing w:after="0"/>
        <w:rPr>
          <w:sz w:val="20"/>
          <w:szCs w:val="20"/>
          <w:color w:val="auto"/>
        </w:rPr>
      </w:pPr>
      <w:r>
        <w:rPr>
          <w:rFonts w:ascii="Arial" w:cs="Arial" w:eastAsia="Arial" w:hAnsi="Arial"/>
          <w:sz w:val="18"/>
          <w:szCs w:val="18"/>
          <w:color w:val="auto"/>
        </w:rPr>
        <w:t>EXHIBIT 23.1</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reports dated December 10, 2007, relating to the consolidated financial statements, the effectiveness of EZCORP, Inc.’s internal control over financial reporting, and schedule of EZCORP, Inc., which are incorporated by reference in that Prospectus.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BDO Seidman,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December 10, 2008</w:t>
      </w:r>
    </w:p>
    <w:sectPr>
      <w:pgSz w:w="11900" w:h="16838" w:orient="portrait"/>
      <w:cols w:equalWidth="0" w:num="1">
        <w:col w:w="11100"/>
      </w:cols>
      <w:pgMar w:left="24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lvl w:ilvl="1">
      <w:lvlJc w:val="left"/>
      <w:lvlText w:val="•"/>
      <w:numFmt w:val="bullet"/>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lowerRoman"/>
      <w:start w:val="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lowerLetter"/>
      <w:start w:val="1"/>
    </w:lvl>
    <w:lvl w:ilvl="1">
      <w:lvlJc w:val="left"/>
      <w:lvlText w:val="(%2)"/>
      <w:numFmt w:val="decimal"/>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lowerLetter"/>
      <w:start w:val="3"/>
    </w:lvl>
  </w:abstractNum>
  <w:abstractNum w:abstractNumId="18">
    <w:nsid w:val="257130A3"/>
    <w:multiLevelType w:val="hybridMultilevel"/>
    <w:lvl w:ilvl="0">
      <w:lvlJc w:val="left"/>
      <w:lvlText w:val="(%1)"/>
      <w:numFmt w:val="lowerLetter"/>
      <w:start w:val="5"/>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2020-01-31T21:56:38Z</dcterms:created>
  <dcterms:modified xsi:type="dcterms:W3CDTF">2020-01-31T21:56:38Z</dcterms:modified>
</cp:coreProperties>
</file>