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102870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463550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20" w:type="dxa"/>
            <w:vAlign w:val="bottom"/>
          </w:tcPr>
          <w:p>
            <w:pPr>
              <w:jc w:val="center"/>
              <w:ind w:right="1399"/>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right"/>
              <w:ind w:right="53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4920" w:type="dxa"/>
            <w:vAlign w:val="bottom"/>
          </w:tcPr>
          <w:p>
            <w:pPr>
              <w:jc w:val="center"/>
              <w:ind w:right="139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60" w:type="dxa"/>
            <w:vAlign w:val="bottom"/>
          </w:tcPr>
          <w:p>
            <w:pPr>
              <w:jc w:val="center"/>
              <w:ind w:left="1379"/>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4920" w:type="dxa"/>
            <w:vAlign w:val="bottom"/>
          </w:tcPr>
          <w:p>
            <w:pPr>
              <w:jc w:val="center"/>
              <w:ind w:right="1399"/>
              <w:spacing w:after="0"/>
              <w:rPr>
                <w:sz w:val="20"/>
                <w:szCs w:val="20"/>
                <w:color w:val="auto"/>
              </w:rPr>
            </w:pPr>
            <w:r>
              <w:rPr>
                <w:rFonts w:ascii="Arial" w:cs="Arial" w:eastAsia="Arial" w:hAnsi="Arial"/>
                <w:sz w:val="18"/>
                <w:szCs w:val="18"/>
                <w:b w:val="1"/>
                <w:bCs w:val="1"/>
                <w:color w:val="auto"/>
                <w:w w:val="88"/>
              </w:rPr>
              <w:t>2500 Bee Cave Road, Rollingwood, Texas</w:t>
            </w:r>
          </w:p>
        </w:tc>
        <w:tc>
          <w:tcPr>
            <w:tcW w:w="3560" w:type="dxa"/>
            <w:vAlign w:val="bottom"/>
          </w:tcPr>
          <w:p>
            <w:pPr>
              <w:jc w:val="right"/>
              <w:ind w:right="739"/>
              <w:spacing w:after="0"/>
              <w:rPr>
                <w:sz w:val="20"/>
                <w:szCs w:val="20"/>
                <w:color w:val="auto"/>
              </w:rPr>
            </w:pPr>
            <w:r>
              <w:rPr>
                <w:rFonts w:ascii="Arial" w:cs="Arial" w:eastAsia="Arial" w:hAnsi="Arial"/>
                <w:sz w:val="18"/>
                <w:szCs w:val="18"/>
                <w:b w:val="1"/>
                <w:bCs w:val="1"/>
                <w:color w:val="auto"/>
              </w:rPr>
              <w:t>78746</w:t>
            </w:r>
          </w:p>
        </w:tc>
      </w:tr>
      <w:tr>
        <w:trPr>
          <w:trHeight w:val="218"/>
        </w:trPr>
        <w:tc>
          <w:tcPr>
            <w:tcW w:w="4920" w:type="dxa"/>
            <w:vAlign w:val="bottom"/>
          </w:tcPr>
          <w:p>
            <w:pPr>
              <w:jc w:val="center"/>
              <w:ind w:right="1399"/>
              <w:spacing w:after="0"/>
              <w:rPr>
                <w:sz w:val="20"/>
                <w:szCs w:val="20"/>
                <w:color w:val="auto"/>
              </w:rPr>
            </w:pPr>
            <w:r>
              <w:rPr>
                <w:rFonts w:ascii="Arial" w:cs="Arial" w:eastAsia="Arial" w:hAnsi="Arial"/>
                <w:sz w:val="14"/>
                <w:szCs w:val="14"/>
                <w:color w:val="auto"/>
                <w:w w:val="95"/>
              </w:rPr>
              <w:t>(Address of principal executive offices)</w:t>
            </w:r>
          </w:p>
        </w:tc>
        <w:tc>
          <w:tcPr>
            <w:tcW w:w="3560" w:type="dxa"/>
            <w:vAlign w:val="bottom"/>
          </w:tcPr>
          <w:p>
            <w:pPr>
              <w:jc w:val="center"/>
              <w:ind w:left="1379"/>
              <w:spacing w:after="0"/>
              <w:rPr>
                <w:sz w:val="20"/>
                <w:szCs w:val="20"/>
                <w:color w:val="auto"/>
              </w:rPr>
            </w:pPr>
            <w:r>
              <w:rPr>
                <w:rFonts w:ascii="Arial" w:cs="Arial" w:eastAsia="Arial" w:hAnsi="Arial"/>
                <w:sz w:val="14"/>
                <w:szCs w:val="14"/>
                <w:color w:val="auto"/>
                <w:w w:val="93"/>
              </w:rPr>
              <w:t>(Zip Code)</w:t>
            </w:r>
          </w:p>
        </w:tc>
      </w:tr>
    </w:tbl>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28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43" w:lineRule="exact"/>
        <w:rPr>
          <w:sz w:val="24"/>
          <w:szCs w:val="24"/>
          <w:color w:val="auto"/>
        </w:rPr>
      </w:pPr>
    </w:p>
    <w:p>
      <w:pPr>
        <w:sectPr>
          <w:pgSz w:w="11900" w:h="16838" w:orient="portrait"/>
          <w:cols w:equalWidth="0" w:num="4">
            <w:col w:w="1940" w:space="720"/>
            <w:col w:w="3520" w:space="720"/>
            <w:col w:w="3380" w:space="720"/>
            <w:col w:w="380"/>
          </w:cols>
          <w:pgMar w:left="240" w:top="229"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9"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As of December 31, 2015, 51,924,627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PART I — FINANCIAL INFORMATION</w:t>
              </w:r>
            </w:hyperlink>
          </w:p>
        </w:tc>
        <w:tc>
          <w:tcPr>
            <w:tcW w:w="8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December 31, 2015 and 2014 (Unaudited) and September 30, 2015</w:t>
              </w:r>
            </w:hyperlink>
          </w:p>
        </w:tc>
        <w:tc>
          <w:tcPr>
            <w:tcW w:w="23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December 31, 2015 and 2014 (Unaudited)</w:t>
              </w:r>
            </w:hyperlink>
          </w:p>
        </w:tc>
        <w:tc>
          <w:tcPr>
            <w:tcW w:w="1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 for the Three Months Ended December 31, 2015 and 2014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r>
                <w:rPr>
                  <w:rFonts w:ascii="Arial" w:cs="Arial" w:eastAsia="Arial" w:hAnsi="Arial"/>
                  <w:sz w:val="18"/>
                  <w:szCs w:val="18"/>
                  <w:u w:val="single" w:color="auto"/>
                  <w:color w:val="000000"/>
                </w:rPr>
                <w:t>)</w:t>
              </w:r>
            </w:hyperlink>
          </w:p>
        </w:tc>
        <w:tc>
          <w:tcPr>
            <w:tcW w:w="188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December 31, 2015 and 2014 (Unaudited)</w:t>
              </w:r>
            </w:hyperlink>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Stockholders’ Equity for the Three Months Ended December 31, 2015 and 2014</w:t>
              </w:r>
            </w:hyperlink>
          </w:p>
        </w:tc>
        <w:tc>
          <w:tcPr>
            <w:tcW w:w="18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w:t>
              </w:r>
            </w:hyperlink>
          </w:p>
        </w:tc>
        <w:tc>
          <w:tcPr>
            <w:tcW w:w="964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Interim Condensed Consolidated Financial Statements (Unaudited)</w:t>
              </w:r>
            </w:hyperlink>
          </w:p>
        </w:tc>
        <w:tc>
          <w:tcPr>
            <w:tcW w:w="502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rFonts w:ascii="Arial" w:cs="Arial" w:eastAsia="Arial" w:hAnsi="Arial"/>
                <w:sz w:val="18"/>
                <w:szCs w:val="18"/>
                <w:i w:val="1"/>
                <w:iCs w:val="1"/>
                <w:color w:val="0000EE"/>
                <w:w w:val="91"/>
              </w:rPr>
            </w:pPr>
            <w:hyperlink w:anchor="page37">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1"/>
          </w:tcPr>
          <w:p>
            <w:pPr>
              <w:spacing w:after="0"/>
              <w:rPr>
                <w:rFonts w:ascii="Arial" w:cs="Arial" w:eastAsia="Arial" w:hAnsi="Arial"/>
                <w:sz w:val="18"/>
                <w:szCs w:val="18"/>
                <w:i w:val="1"/>
                <w:iCs w:val="1"/>
                <w:color w:val="0000EE"/>
              </w:rPr>
            </w:pPr>
            <w:hyperlink w:anchor="page54">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0"/>
          </w:tcPr>
          <w:p>
            <w:pPr>
              <w:spacing w:after="0"/>
              <w:rPr>
                <w:rFonts w:ascii="Arial" w:cs="Arial" w:eastAsia="Arial" w:hAnsi="Arial"/>
                <w:sz w:val="18"/>
                <w:szCs w:val="18"/>
                <w:i w:val="1"/>
                <w:iCs w:val="1"/>
                <w:color w:val="0000EE"/>
                <w:w w:val="90"/>
              </w:rPr>
            </w:pPr>
            <w:hyperlink w:anchor="page54">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r>
      <w:tr>
        <w:trPr>
          <w:trHeight w:val="372"/>
        </w:trPr>
        <w:tc>
          <w:tcPr>
            <w:tcW w:w="40" w:type="dxa"/>
            <w:vAlign w:val="bottom"/>
          </w:tcPr>
          <w:p>
            <w:pPr>
              <w:spacing w:after="0"/>
              <w:rPr>
                <w:sz w:val="24"/>
                <w:szCs w:val="24"/>
                <w:color w:val="auto"/>
              </w:rPr>
            </w:pPr>
          </w:p>
        </w:tc>
        <w:tc>
          <w:tcPr>
            <w:tcW w:w="1118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i w:val="1"/>
                <w:iCs w:val="1"/>
                <w:color w:val="0000EE"/>
                <w:w w:val="89"/>
              </w:rPr>
            </w:pPr>
            <w:hyperlink w:anchor="page56">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3"/>
          </w:tcPr>
          <w:p>
            <w:pPr>
              <w:spacing w:after="0"/>
              <w:rPr>
                <w:sz w:val="24"/>
                <w:szCs w:val="24"/>
                <w:color w:val="auto"/>
              </w:rPr>
            </w:pPr>
          </w:p>
        </w:tc>
        <w:tc>
          <w:tcPr>
            <w:tcW w:w="844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56">
              <w:r>
                <w:rPr>
                  <w:rFonts w:ascii="Arial" w:cs="Arial" w:eastAsia="Arial" w:hAnsi="Arial"/>
                  <w:sz w:val="18"/>
                  <w:szCs w:val="18"/>
                  <w:i w:val="1"/>
                  <w:iCs w:val="1"/>
                  <w:color w:val="0000EE"/>
                  <w:w w:val="90"/>
                </w:rPr>
                <w:t>Item 1A. Risk Factors</w:t>
              </w:r>
            </w:hyperlink>
          </w:p>
        </w:tc>
        <w:tc>
          <w:tcPr>
            <w:tcW w:w="92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1"/>
          </w:tcPr>
          <w:p>
            <w:pPr>
              <w:spacing w:after="0"/>
              <w:rPr>
                <w:rFonts w:ascii="Arial" w:cs="Arial" w:eastAsia="Arial" w:hAnsi="Arial"/>
                <w:sz w:val="18"/>
                <w:szCs w:val="18"/>
                <w:i w:val="1"/>
                <w:iCs w:val="1"/>
                <w:color w:val="0000EE"/>
              </w:rPr>
            </w:pPr>
            <w:hyperlink w:anchor="page56">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SIGNATURES</w:t>
              </w:r>
            </w:hyperlink>
          </w:p>
        </w:tc>
        <w:tc>
          <w:tcPr>
            <w:tcW w:w="1008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55</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EXHIBIT INDEX</w:t>
              </w:r>
            </w:hyperlink>
          </w:p>
        </w:tc>
        <w:tc>
          <w:tcPr>
            <w:tcW w:w="986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385"/>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59,124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15,137</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159,964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loans,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32,175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61,347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36,533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30,852</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 fees and interest receivable,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13,199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19,802</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income taxes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5,929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36,580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7,945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37,230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25,296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21,076</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613,091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511,747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53,404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99,219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56,182</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75,594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Restricted cash, non-current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4,310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2,883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327,460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40,443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49,523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41,263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consumer loans,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tax asset,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73,655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28,189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69,121</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net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42,985</w:t>
            </w:r>
          </w:p>
        </w:tc>
      </w:tr>
      <w:tr>
        <w:trPr>
          <w:trHeight w:val="284"/>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 (1)(3)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1,145,840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1,391,897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1,203,059</w:t>
            </w:r>
          </w:p>
        </w:tc>
      </w:tr>
      <w:tr>
        <w:trPr>
          <w:trHeight w:val="217"/>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Liabilities, temporary equity and stockholders’ equity: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75,586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74,832</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74,345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capital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81,417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107,871</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10,138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10,470</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179,413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208,070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281,545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374,600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297,166</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6,157</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liabilities (2)(4)</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466,875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550,686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511,393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Class A Non-voting Common Stock, subject to possible redemption at $10.06 per share; 1,168,456 shares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issued and outstanding at redemption value as of December 31, 2015 and September 30, 2015; and none as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December 31, 2014</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Redeemable noncontrolling interest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3,235</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temporary equity</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Class A Non-voting Common Stock, par value $.01 per share; shares authorized: 100 million as of December</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31, 2015 and 2014 and September 30, 2015; issued and outstanding: 50,756,171 as of December 31, 2015;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50,680,358 as of December 31, 2014; and 50,726,289 as of September 30, 2015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outstanding: 2,970,171</w:t>
            </w: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307,080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415,663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521,198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423,137</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(54,019)</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EZCORP, Inc. stockholders’ equity</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664,890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822,661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676,735</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temporary equity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1,145,840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1,391,897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1,203,059</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5"/>
          <w:szCs w:val="15"/>
          <w:i w:val="1"/>
          <w:iCs w:val="1"/>
          <w:color w:val="auto"/>
        </w:rPr>
        <w:t>See accompanying notes to interim condensed consolidated financial statements.</w:t>
      </w:r>
    </w:p>
    <w:p>
      <w:pPr>
        <w:spacing w:after="0" w:line="25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9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Consolidated Variable Interest Entities (See Note 12)</w:t>
      </w:r>
    </w:p>
    <w:p>
      <w:pPr>
        <w:spacing w:after="0" w:line="19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assets as of December 31, 2015 and 2014 and September 30, 2015 include the following assets of our consolidated variable interest entities: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080" w:type="dxa"/>
            <w:vAlign w:val="bottom"/>
          </w:tcPr>
          <w:p>
            <w:pPr>
              <w:jc w:val="right"/>
              <w:ind w:right="102"/>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r>
      <w:tr>
        <w:trPr>
          <w:trHeight w:val="379"/>
        </w:trPr>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1,361</w:t>
            </w:r>
          </w:p>
        </w:tc>
      </w:tr>
      <w:tr>
        <w:trPr>
          <w:trHeight w:val="237"/>
        </w:trPr>
        <w:tc>
          <w:tcPr>
            <w:tcW w:w="7200" w:type="dxa"/>
            <w:vAlign w:val="bottom"/>
          </w:tcPr>
          <w:p>
            <w:pPr>
              <w:ind w:left="20"/>
              <w:spacing w:after="0"/>
              <w:rPr>
                <w:sz w:val="20"/>
                <w:szCs w:val="20"/>
                <w:color w:val="auto"/>
              </w:rPr>
            </w:pPr>
            <w:r>
              <w:rPr>
                <w:rFonts w:ascii="Arial" w:cs="Arial" w:eastAsia="Arial" w:hAnsi="Arial"/>
                <w:sz w:val="16"/>
                <w:szCs w:val="16"/>
                <w:color w:val="auto"/>
              </w:rPr>
              <w:t>Consumer loans, net</w:t>
            </w: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8,581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16,810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5,846</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 loan fees and interest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6,399</w:t>
            </w:r>
          </w:p>
        </w:tc>
      </w:tr>
      <w:tr>
        <w:trPr>
          <w:trHeight w:val="237"/>
        </w:trPr>
        <w:tc>
          <w:tcPr>
            <w:tcW w:w="7200" w:type="dxa"/>
            <w:vAlign w:val="bottom"/>
          </w:tcPr>
          <w:p>
            <w:pPr>
              <w:ind w:left="20"/>
              <w:spacing w:after="0"/>
              <w:rPr>
                <w:sz w:val="20"/>
                <w:szCs w:val="20"/>
                <w:color w:val="auto"/>
              </w:rPr>
            </w:pPr>
            <w:r>
              <w:rPr>
                <w:rFonts w:ascii="Arial" w:cs="Arial" w:eastAsia="Arial" w:hAnsi="Arial"/>
                <w:sz w:val="16"/>
                <w:szCs w:val="16"/>
                <w:color w:val="auto"/>
              </w:rPr>
              <w:t>Non-current consumer loans, net</w:t>
            </w: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20,623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36,297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27,162</w:t>
            </w: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40,768</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consolidated liabilities as of December 31, 2015 and 2014 and September 30, 2015 include the following liabilities of our consolidated variable interest entities: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tcPr>
          <w:p>
            <w:pPr>
              <w:jc w:val="right"/>
              <w:ind w:right="102"/>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r>
      <w:tr>
        <w:trPr>
          <w:trHeight w:val="192"/>
        </w:trPr>
        <w:tc>
          <w:tcPr>
            <w:tcW w:w="7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379"/>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ind w:lef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6"/>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22"/>
                <w:szCs w:val="22"/>
                <w:color w:val="auto"/>
              </w:rPr>
            </w:pPr>
          </w:p>
        </w:tc>
      </w:tr>
      <w:tr>
        <w:trPr>
          <w:trHeight w:val="262"/>
        </w:trPr>
        <w:tc>
          <w:tcPr>
            <w:tcW w:w="720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40,715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50,043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42,017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2"/>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20,741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63,125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31,247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0"/>
        </w:trPr>
        <w:tc>
          <w:tcPr>
            <w:tcW w:w="7200" w:type="dxa"/>
            <w:vAlign w:val="bottom"/>
          </w:tcPr>
          <w:p>
            <w:pPr>
              <w:ind w:left="2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66,598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116,175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77,577</w:t>
            </w:r>
          </w:p>
        </w:tc>
        <w:tc>
          <w:tcPr>
            <w:tcW w:w="100" w:type="dxa"/>
            <w:vAlign w:val="bottom"/>
          </w:tcPr>
          <w:p>
            <w:pPr>
              <w:spacing w:after="0"/>
              <w:rPr>
                <w:sz w:val="21"/>
                <w:szCs w:val="2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180" w:hanging="8"/>
        <w:spacing w:after="0" w:line="255" w:lineRule="auto"/>
        <w:tabs>
          <w:tab w:leader="none" w:pos="434" w:val="left"/>
        </w:tabs>
        <w:numPr>
          <w:ilvl w:val="0"/>
          <w:numId w:val="5"/>
        </w:numPr>
        <w:rPr>
          <w:rFonts w:ascii="Arial" w:cs="Arial" w:eastAsia="Arial" w:hAnsi="Arial"/>
          <w:sz w:val="13"/>
          <w:szCs w:val="13"/>
          <w:color w:val="auto"/>
        </w:rPr>
      </w:pPr>
      <w:r>
        <w:rPr>
          <w:rFonts w:ascii="Arial" w:cs="Arial" w:eastAsia="Arial" w:hAnsi="Arial"/>
          <w:sz w:val="13"/>
          <w:szCs w:val="13"/>
          <w:color w:val="auto"/>
        </w:rPr>
        <w:t>This amount has been revised from the originally filed amount due to a reclassification error between current and non-current amounts as of September 30, 2015. The consolidated amounts previously reported in the balance sheet were correct.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 (See Note 12)</w:t>
      </w:r>
    </w:p>
    <w:p>
      <w:pPr>
        <w:spacing w:after="0" w:line="194" w:lineRule="exact"/>
        <w:rPr>
          <w:sz w:val="20"/>
          <w:szCs w:val="20"/>
          <w:color w:val="auto"/>
        </w:rPr>
      </w:pPr>
    </w:p>
    <w:p>
      <w:pPr>
        <w:ind w:left="340" w:right="480" w:hanging="332"/>
        <w:spacing w:after="0" w:line="353" w:lineRule="auto"/>
        <w:tabs>
          <w:tab w:leader="none" w:pos="328"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consolidated assets as of December 31, 2015 and 2014 and September 30, 2015 include the following assets of Grupo Finmart's securitization trust that can only be used to settle its liabilities:</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r>
      <w:tr>
        <w:trPr>
          <w:trHeight w:val="379"/>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5"/>
          </w:tcPr>
          <w:p>
            <w:pPr>
              <w:ind w:left="9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22,457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12,033</w:t>
            </w: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color w:val="auto"/>
              </w:rPr>
              <w:t>Consumer loans, net*</w:t>
            </w: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38,996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35,069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36,845</w:t>
            </w:r>
          </w:p>
        </w:tc>
      </w:tr>
      <w:tr>
        <w:trPr>
          <w:trHeight w:val="33"/>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 loan fees and interest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6,067</w:t>
            </w: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197</w:t>
            </w:r>
          </w:p>
        </w:tc>
      </w:tr>
      <w:tr>
        <w:trPr>
          <w:trHeight w:val="33"/>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62,586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55,142</w:t>
            </w:r>
          </w:p>
        </w:tc>
      </w:tr>
      <w:tr>
        <w:trPr>
          <w:trHeight w:val="20"/>
        </w:trPr>
        <w:tc>
          <w:tcPr>
            <w:tcW w:w="6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1080" w:hanging="100"/>
        <w:spacing w:after="0"/>
        <w:tabs>
          <w:tab w:leader="none" w:pos="1080" w:val="left"/>
        </w:tabs>
        <w:numPr>
          <w:ilvl w:val="1"/>
          <w:numId w:val="7"/>
        </w:numPr>
        <w:rPr>
          <w:rFonts w:ascii="Arial" w:cs="Arial" w:eastAsia="Arial" w:hAnsi="Arial"/>
          <w:sz w:val="13"/>
          <w:szCs w:val="13"/>
          <w:color w:val="auto"/>
        </w:rPr>
      </w:pPr>
      <w:r>
        <w:rPr>
          <w:rFonts w:ascii="Arial" w:cs="Arial" w:eastAsia="Arial" w:hAnsi="Arial"/>
          <w:sz w:val="13"/>
          <w:szCs w:val="13"/>
          <w:color w:val="auto"/>
        </w:rPr>
        <w:t>This amount includes current and non-current portions.</w:t>
      </w:r>
    </w:p>
    <w:p>
      <w:pPr>
        <w:spacing w:after="0" w:line="210" w:lineRule="exact"/>
        <w:rPr>
          <w:rFonts w:ascii="Arial" w:cs="Arial" w:eastAsia="Arial" w:hAnsi="Arial"/>
          <w:sz w:val="13"/>
          <w:szCs w:val="13"/>
          <w:color w:val="auto"/>
        </w:rPr>
      </w:pPr>
    </w:p>
    <w:p>
      <w:pPr>
        <w:ind w:left="340" w:right="240" w:hanging="332"/>
        <w:spacing w:after="0" w:line="353" w:lineRule="auto"/>
        <w:tabs>
          <w:tab w:leader="none" w:pos="328"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consolidated liabilities as of December 31, 2015 and 2014 and September 30, 2015 include the following liabilities for which the creditors of Grupo Finmart's securitization trust do not have recourse to the general credit of EZCORP, Inc.:</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3"/>
                <w:szCs w:val="13"/>
                <w:color w:val="auto"/>
              </w:rPr>
            </w:pPr>
          </w:p>
        </w:tc>
        <w:tc>
          <w:tcPr>
            <w:tcW w:w="1240" w:type="dxa"/>
            <w:vAlign w:val="bottom"/>
          </w:tcPr>
          <w:p>
            <w:pPr>
              <w:jc w:val="center"/>
              <w:ind w:right="165"/>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6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2015</w:t>
            </w:r>
          </w:p>
        </w:tc>
      </w:tr>
      <w:tr>
        <w:trPr>
          <w:trHeight w:val="379"/>
        </w:trPr>
        <w:tc>
          <w:tcPr>
            <w:tcW w:w="6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6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40,080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46,110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40,493</w:t>
            </w:r>
          </w:p>
        </w:tc>
      </w:tr>
      <w:tr>
        <w:trPr>
          <w:trHeight w:val="33"/>
        </w:trPr>
        <w:tc>
          <w:tcPr>
            <w:tcW w:w="6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w w:val="93"/>
              </w:rPr>
              <w:t>Three Months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379"/>
        </w:trPr>
        <w:tc>
          <w:tcPr>
            <w:tcW w:w="7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c>
          <w:tcPr>
            <w:tcW w:w="680" w:type="dxa"/>
            <w:vAlign w:val="bottom"/>
          </w:tcPr>
          <w:p>
            <w:pPr>
              <w:spacing w:after="0"/>
              <w:rPr>
                <w:sz w:val="24"/>
                <w:szCs w:val="24"/>
                <w:color w:val="auto"/>
              </w:rPr>
            </w:pPr>
          </w:p>
        </w:tc>
      </w:tr>
      <w:tr>
        <w:trPr>
          <w:trHeight w:val="209"/>
        </w:trPr>
        <w:tc>
          <w:tcPr>
            <w:tcW w:w="7540" w:type="dxa"/>
            <w:vAlign w:val="bottom"/>
          </w:tcPr>
          <w:p>
            <w:pPr>
              <w:spacing w:after="0"/>
              <w:rPr>
                <w:sz w:val="18"/>
                <w:szCs w:val="18"/>
                <w:color w:val="auto"/>
              </w:rPr>
            </w:pPr>
          </w:p>
        </w:tc>
        <w:tc>
          <w:tcPr>
            <w:tcW w:w="3200" w:type="dxa"/>
            <w:vAlign w:val="bottom"/>
            <w:gridSpan w:val="4"/>
          </w:tcPr>
          <w:p>
            <w:pPr>
              <w:jc w:val="center"/>
              <w:ind w:left="641"/>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68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108,584</w:t>
            </w:r>
          </w:p>
        </w:tc>
        <w:tc>
          <w:tcPr>
            <w:tcW w:w="120" w:type="dxa"/>
            <w:vAlign w:val="bottom"/>
          </w:tcPr>
          <w:p>
            <w:pPr>
              <w:spacing w:after="0"/>
              <w:rPr>
                <w:sz w:val="20"/>
                <w:szCs w:val="20"/>
                <w:color w:val="auto"/>
              </w:rPr>
            </w:pP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109,639</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18,534</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66,594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64,927</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198,454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212,726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66,259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72,478</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14,675</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12,603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8,515</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111,516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117,058</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85,606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80,087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19,983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12,552</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8,008</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17"/>
        </w:trPr>
        <w:tc>
          <w:tcPr>
            <w:tcW w:w="75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115,373</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100,925</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(loss) income</w:t>
            </w: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16,133</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9,192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12,034</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(11,724)</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6,065</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3,264</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(8,028)</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2,801</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6,877</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(8,266)</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9,678</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r>
      <w:tr>
        <w:trPr>
          <w:trHeight w:val="28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12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11,612</w:t>
            </w:r>
          </w:p>
        </w:tc>
      </w:tr>
      <w:tr>
        <w:trPr>
          <w:trHeight w:val="109"/>
        </w:trPr>
        <w:tc>
          <w:tcPr>
            <w:tcW w:w="75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1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0.13</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earnings (loss) per share</w:t>
            </w: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0"/>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r>
      <w:tr>
        <w:trPr>
          <w:trHeight w:val="28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 (loss) earnings per share</w:t>
            </w:r>
          </w:p>
        </w:tc>
        <w:tc>
          <w:tcPr>
            <w:tcW w:w="12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0.22</w:t>
            </w:r>
          </w:p>
        </w:tc>
      </w:tr>
      <w:tr>
        <w:trPr>
          <w:trHeight w:val="109"/>
        </w:trPr>
        <w:tc>
          <w:tcPr>
            <w:tcW w:w="75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53,650</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Diluted</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54,895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53,698</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22"/>
        </w:trPr>
        <w:tc>
          <w:tcPr>
            <w:tcW w:w="7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Net (loss) income from continuing operations attributable to EZCORP, Inc.</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(7,236)</w:t>
            </w:r>
          </w:p>
        </w:tc>
        <w:tc>
          <w:tcPr>
            <w:tcW w:w="120" w:type="dxa"/>
            <w:vAlign w:val="bottom"/>
          </w:tcPr>
          <w:p>
            <w:pPr>
              <w:spacing w:after="0"/>
              <w:rPr>
                <w:sz w:val="20"/>
                <w:szCs w:val="20"/>
                <w:color w:val="auto"/>
              </w:rPr>
            </w:pP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4,735</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attributable to EZCORP, Inc.</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6,877</w:t>
            </w:r>
          </w:p>
        </w:tc>
      </w:tr>
      <w:tr>
        <w:trPr>
          <w:trHeight w:val="244"/>
        </w:trPr>
        <w:tc>
          <w:tcPr>
            <w:tcW w:w="7540" w:type="dxa"/>
            <w:vAlign w:val="bottom"/>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12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11,612</w:t>
            </w:r>
          </w:p>
        </w:tc>
      </w:tr>
      <w:tr>
        <w:trPr>
          <w:trHeight w:val="20"/>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1" w:right="239" w:bottom="74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746"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264"/>
        </w:trPr>
        <w:tc>
          <w:tcPr>
            <w:tcW w:w="82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379"/>
        </w:trPr>
        <w:tc>
          <w:tcPr>
            <w:tcW w:w="8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020" w:type="dxa"/>
            <w:vAlign w:val="bottom"/>
          </w:tcPr>
          <w:p>
            <w:pPr>
              <w:spacing w:after="0"/>
              <w:rPr>
                <w:sz w:val="24"/>
                <w:szCs w:val="24"/>
                <w:color w:val="auto"/>
              </w:rPr>
            </w:pPr>
          </w:p>
        </w:tc>
      </w:tr>
      <w:tr>
        <w:trPr>
          <w:trHeight w:val="209"/>
        </w:trPr>
        <w:tc>
          <w:tcPr>
            <w:tcW w:w="8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020" w:type="dxa"/>
            <w:vAlign w:val="bottom"/>
          </w:tcPr>
          <w:p>
            <w:pPr>
              <w:spacing w:after="0"/>
              <w:rPr>
                <w:sz w:val="18"/>
                <w:szCs w:val="18"/>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9,678</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Foreign currency translation loss, net of income tax benefit for our investment in unconsolidated affiliate of $2,603 and</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$419 for the three months ended December 31, 2015 and 2014, respectively</w:t>
            </w: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(21,102)</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(20,750)</w:t>
            </w:r>
          </w:p>
        </w:tc>
      </w:tr>
      <w:tr>
        <w:trPr>
          <w:trHeight w:val="33"/>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(15,184)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(11,072)</w:t>
            </w:r>
          </w:p>
        </w:tc>
      </w:tr>
      <w:tr>
        <w:trPr>
          <w:trHeight w:val="231"/>
        </w:trPr>
        <w:tc>
          <w:tcPr>
            <w:tcW w:w="8240" w:type="dxa"/>
            <w:vAlign w:val="bottom"/>
          </w:tcPr>
          <w:p>
            <w:pPr>
              <w:ind w:left="280"/>
              <w:spacing w:after="0"/>
              <w:rPr>
                <w:sz w:val="20"/>
                <w:szCs w:val="20"/>
                <w:color w:val="auto"/>
              </w:rPr>
            </w:pPr>
            <w:r>
              <w:rPr>
                <w:rFonts w:ascii="Arial" w:cs="Arial" w:eastAsia="Arial" w:hAnsi="Arial"/>
                <w:sz w:val="16"/>
                <w:szCs w:val="16"/>
                <w:color w:val="auto"/>
              </w:rPr>
              <w:t>Attributable to redeemable noncontrolling interest:</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r>
      <w:tr>
        <w:trPr>
          <w:trHeight w:val="237"/>
        </w:trPr>
        <w:tc>
          <w:tcPr>
            <w:tcW w:w="8240" w:type="dxa"/>
            <w:vAlign w:val="bottom"/>
          </w:tcPr>
          <w:p>
            <w:pPr>
              <w:ind w:left="500"/>
              <w:spacing w:after="0"/>
              <w:rPr>
                <w:sz w:val="20"/>
                <w:szCs w:val="20"/>
                <w:color w:val="auto"/>
              </w:rPr>
            </w:pPr>
            <w:r>
              <w:rPr>
                <w:rFonts w:ascii="Arial" w:cs="Arial" w:eastAsia="Arial" w:hAnsi="Arial"/>
                <w:sz w:val="16"/>
                <w:szCs w:val="16"/>
                <w:color w:val="auto"/>
              </w:rPr>
              <w:t>Foreign currency translation loss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(2,402)</w:t>
            </w:r>
          </w:p>
        </w:tc>
      </w:tr>
      <w:tr>
        <w:trPr>
          <w:trHeight w:val="33"/>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Comprehensive loss attributable to redeemable noncontrolling interest</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(4,250)</w:t>
            </w:r>
          </w:p>
        </w:tc>
      </w:tr>
      <w:tr>
        <w:trPr>
          <w:trHeight w:val="33"/>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EZCORP, Inc.</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(14,328)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(6,822)</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79"/>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6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(8,266)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9,678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8,090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9,030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consumer loan premium,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9,691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7,590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prepaid commissions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3,013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on sale or disposal of assets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(3,361)</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accrued expenses and deferred gains and 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(13,955)</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income taxes and income taxes receivable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3,903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(223,748)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repaid</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106,372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166,771</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69,886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sale of assets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and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bank borrowings, net of debt issuance costs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14,302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66,560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bank borrowings and capital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(34,650)</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(21,675)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27,428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(36,343)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22,274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55,325</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22,781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77,599</w:t>
            </w:r>
          </w:p>
        </w:tc>
      </w:tr>
      <w:tr>
        <w:trPr>
          <w:trHeight w:val="163"/>
        </w:trPr>
        <w:tc>
          <w:tcPr>
            <w:tcW w:w="8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65,629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66,699</w:t>
            </w:r>
          </w:p>
        </w:tc>
      </w:tr>
      <w:tr>
        <w:trPr>
          <w:trHeight w:val="33"/>
        </w:trPr>
        <w:tc>
          <w:tcPr>
            <w:tcW w:w="8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8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786"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interim condensed consolidated financial statements.</w:t>
      </w:r>
    </w:p>
    <w:p>
      <w:pPr>
        <w:spacing w:after="0" w:line="25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1" w:right="1440"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EZCORP, Inc.</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220"/>
              <w:spacing w:after="0" w:line="13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restart"/>
          </w:tcPr>
          <w:p>
            <w:pPr>
              <w:ind w:left="100"/>
              <w:spacing w:after="0" w:line="139"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4"/>
                <w:szCs w:val="4"/>
                <w:color w:val="auto"/>
              </w:rPr>
            </w:pPr>
          </w:p>
        </w:tc>
        <w:tc>
          <w:tcPr>
            <w:tcW w:w="13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4"/>
                <w:szCs w:val="4"/>
                <w:color w:val="auto"/>
              </w:rPr>
            </w:pPr>
          </w:p>
        </w:tc>
        <w:tc>
          <w:tcPr>
            <w:tcW w:w="1180" w:type="dxa"/>
            <w:vAlign w:val="bottom"/>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4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79"/>
        </w:trPr>
        <w:tc>
          <w:tcPr>
            <w:tcW w:w="4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10"/>
          </w:tcPr>
          <w:p>
            <w:pPr>
              <w:jc w:val="center"/>
              <w:ind w:left="240"/>
              <w:spacing w:after="0"/>
              <w:rPr>
                <w:sz w:val="20"/>
                <w:szCs w:val="20"/>
                <w:color w:val="auto"/>
              </w:rPr>
            </w:pPr>
            <w:r>
              <w:rPr>
                <w:rFonts w:ascii="Arial" w:cs="Arial" w:eastAsia="Arial" w:hAnsi="Arial"/>
                <w:sz w:val="14"/>
                <w:szCs w:val="14"/>
                <w:b w:val="1"/>
                <w:bCs w:val="1"/>
                <w:color w:val="auto"/>
                <w:w w:val="91"/>
              </w:rPr>
              <w:t>(Unaudited, except balances as of September 30, 2015 and 2014)</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2014</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332,264</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$ 509,586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832,304</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Excess tax benefit from 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Taxes paid related to net share settlement of equity awards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20"/>
        </w:trPr>
        <w:tc>
          <w:tcPr>
            <w:tcW w:w="4460" w:type="dxa"/>
            <w:vAlign w:val="bottom"/>
          </w:tcPr>
          <w:p>
            <w:pPr>
              <w:ind w:left="280"/>
              <w:spacing w:after="0"/>
              <w:rPr>
                <w:sz w:val="20"/>
                <w:szCs w:val="20"/>
                <w:color w:val="auto"/>
              </w:rPr>
            </w:pPr>
            <w:r>
              <w:rPr>
                <w:rFonts w:ascii="Arial" w:cs="Arial" w:eastAsia="Arial" w:hAnsi="Arial"/>
                <w:sz w:val="16"/>
                <w:szCs w:val="16"/>
                <w:color w:val="auto"/>
                <w:w w:val="96"/>
              </w:rPr>
              <w:t>Amounts reclassified from accumulated other comprehensive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280"/>
              <w:spacing w:after="0"/>
              <w:rPr>
                <w:sz w:val="20"/>
                <w:szCs w:val="20"/>
                <w:color w:val="auto"/>
              </w:rPr>
            </w:pPr>
            <w:r>
              <w:rPr>
                <w:rFonts w:ascii="Arial" w:cs="Arial" w:eastAsia="Arial" w:hAnsi="Arial"/>
                <w:sz w:val="16"/>
                <w:szCs w:val="16"/>
                <w:color w:val="auto"/>
              </w:rPr>
              <w:t>loss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(18,700)</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Net income attributable to EZCORP, Inc.</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11,612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11,612</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December 31, 2014</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53,650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329,443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$ 521,198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822,661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2015</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307,080</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$ 423,137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676,735</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2,608</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2,608</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Excess tax benefit from 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Taxes paid related to net share settlement of equity awards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4460" w:type="dxa"/>
            <w:vAlign w:val="bottom"/>
          </w:tcPr>
          <w:p>
            <w:pPr>
              <w:ind w:left="280"/>
              <w:spacing w:after="0"/>
              <w:rPr>
                <w:sz w:val="20"/>
                <w:szCs w:val="20"/>
                <w:color w:val="auto"/>
              </w:rPr>
            </w:pPr>
            <w:r>
              <w:rPr>
                <w:rFonts w:ascii="Arial" w:cs="Arial" w:eastAsia="Arial" w:hAnsi="Arial"/>
                <w:sz w:val="16"/>
                <w:szCs w:val="16"/>
                <w:color w:val="auto"/>
                <w:w w:val="96"/>
              </w:rPr>
              <w:t>Amounts reclassified from accumulated other comprehensive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280"/>
              <w:spacing w:after="0"/>
              <w:rPr>
                <w:sz w:val="20"/>
                <w:szCs w:val="20"/>
                <w:color w:val="auto"/>
              </w:rPr>
            </w:pPr>
            <w:r>
              <w:rPr>
                <w:rFonts w:ascii="Arial" w:cs="Arial" w:eastAsia="Arial" w:hAnsi="Arial"/>
                <w:sz w:val="16"/>
                <w:szCs w:val="16"/>
                <w:color w:val="auto"/>
              </w:rPr>
              <w:t>loss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Net loss attributable to EZCORP, Inc.</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(7,474)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(7,474)</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December 31, 2015</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53,726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309,562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$ 415,663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664,890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153" w:lineRule="exact"/>
        <w:rPr>
          <w:sz w:val="20"/>
          <w:szCs w:val="20"/>
          <w:color w:val="auto"/>
        </w:rPr>
      </w:pPr>
    </w:p>
    <w:p>
      <w:pPr>
        <w:ind w:right="4040"/>
        <w:spacing w:after="0" w:line="440"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a leading provider of pawn loans in the United States and Mexico and consumer loans in Mexico. In the United States and Mexico, we offer pawn loans, which are non-recourse loans collateralized by tangible property, and we sell merchandise, primarily collateral forfeited from pawn lending operations and used merchandise purchased from customers.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Through our 94%-owned subsidiary, Prestaciones Finmart, S.A.P.I. de C.V., SOFOM, E.N.R. ("Grupo Finmart"), headquartered in Mexico City, we offer unsecured installment loans to employees of various Mexican employers (principally federal, state and local government agencies), which are repaid through payroll deductions.</w:t>
      </w:r>
    </w:p>
    <w:p>
      <w:pPr>
        <w:spacing w:after="0" w:line="12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also own approximately 32% of Cash Converters International Limited ("Cash Converters International"), based in Australia and publicly-traded on the Australian Stock Exchange, which franchises and operates a worldwide network of over 700 locations that provide pawn loans, short-term unsecured loans and other consumer finance products, and buy and sell second-hand goods, with significant store concentration in Australia and the United Kingdom.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w:t>
      </w:r>
    </w:p>
    <w:p>
      <w:pPr>
        <w:spacing w:after="0" w:line="13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accompanying financial statements should be read in conjunction with the condensed consolidated financial statements and notes included in our Annual Report on Form 10-K for the year ended September 30, 2015. The balance sheet as of September 30, 2015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three-months ended December 31, 2015 (the "current quarter" and "current three-month period") are not necessarily indicative of the results of operations for the full fiscal year.</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EZCORP, Inc. ("EZCORP") and its consolidated subsidiaries. All intercompany accounts and transactions have been eliminated in consolidation.</w:t>
      </w:r>
    </w:p>
    <w:p>
      <w:pPr>
        <w:spacing w:after="0" w:line="11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Grupo Finmart has completed several transfers of consumer loans to various securitization trusts. We consolidate those securitization entities under the VIE model as described in Note 12.</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account for our investment in our unconsolidated affiliate Cash Converters International Limited ("Cash Converters International") using the equity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Recasting of Certain Prior Period Information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reclassifications of prior period amounts have been made to conform to the current period presentation. These reclassifications, other than those pertaining to the recasting of prior period segment information and discontinued operations discussed in our Annual Report on Form 10-K for the year ended September 30, 2015 and the adoption of Financial Accounting Standards Board ("FASB") Accounting Standards Updates ("ASU") discussed below, primarily include the removal of historical corporate overhead allocations totaling $4.3 million for the three-month period ended December 31, 2014 from segment level "Operations" expense and including them in corporate "Administrative" expense. These allocations were reclassified to provide greater clarity into the results of our operating segment operations. These changes primarily impacted Note 8 with no net impact on our consolidated financial position, results of operations or cash flows.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in significant accounting policies as described in our Annual Report on Form 10-K for the year ended September 30, 2015, other than those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November 2015, the FASB issued ASU 2015-17, Income Taxes (Topic 740): Balance Sheet Classification of Deferred Taxes. This ASU requires reporting entities to classify deferred income taxes as non-current on the condensed consolidated balance sheets. Deferred income taxes were previously required to be classified as current or non-current on the condensed consolidated balance sheets. The provisions of this ASU are effective for fiscal years, and interim periods within those fiscal years, beginning after December 15, 2016. Early adoption is permitted. A reporting entity should apply the amendment prospectively or retrospectively. We early adopted ASU 2015-17 during the current quarter on a retrospective basis. The impact of adopting ASU 2015-17 on our condensed consolidated financial statements was the reclassification of current "Deferred tax asset, net" to non-current "Deferred tax asset, net" as of December 31, 2015 and 2014 and September 30, 2015 of $43.8 million, $17.6 million and $44.1 million, respectively, within the condensed consolidated balance sheets. Other than these reclassifications, the adoption of ASU 2015-17 did not have an impact on our consolidated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Early adoption is permitted for each. A reporting entity may apply each amendment retrospectively. We early adopted ASU 2015-03 during the current quarter on a retrospective basis. The impact of adopting ASU 2015-03 on our condensed consolidated financial statements was the reclassification of debt issuance costs included in "Intangible assets, net" to "Long-term debt less current maturities" as of December 31, 2015 and 2014 and September 30, 2015 of $8.4 million, $12.6 million and $9.2 million, respectively, within the condensed consolidated balance sheets. Other than these reclassifications and additional disclosures, the adoption of ASU 2015-03 did not have an impact on our consolidated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Discontinued Operations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 Reporting Discontinued Operations and Disclosures of Disposals of Components of an Entity. This ASU provides guidance for the reporting of discontinued operations if (1) a component or group of components of an entity meets the criteria in FASB ASC Paragraph 205-20-45-1E to be classified as held for sale; (2) the component of an entity or group of components of an entity is disposed of by sale; or (3) the component of an entity or group of components of an entity is disposed of other than by sale (for example, by abandonment or in a distribution to owners in a spinoff). Among other disclosures, ASU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interim periods within those years. There was no impact of adopting ASU 2014-08 on our consolidated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(Subtopic 828-10): Recognition and Measurement of Financial Assets and Financial Liabilities. This ASU makes targeted improvements to the accounting for, and presentation and disclosure of, financial assets and liabilities. The ASU further requires separate presentation of financial assets and financial liabilities by measurement category on the balance sheet or the accompanying notes to the financial statements. The provisions of this ASU are effective for fiscal years, and interim periods within those fiscal years, beginning after December 15, 2017. Early adoption is permitted based upon guidance issued within the ASU. A reporting entity should apply the amendment prospectively, with a cumulative-effect adjustment to the balance sheet as of the beginning of the fiscal year of adoption. We have not completed the process of evaluating the impact that will result from adopting ASU 2016-01. Therefore we are unable to disclose the impact that adopting ASU 2016-01 will have on our financial position, results of operations and cash flows when such statement is adopted.</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2"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fourth quarter of fiscal 2015, in the context of a transformational change in strategy following an intensive six-month review of all Company activities, we implemented a plan that included exiting our U.S. financial services business ("USFS"). During the fourth quarter of fiscal 2014, as part of our new strategy to concentrate on an integrated, customer-centric financial services model that is focused on our core businesses of pawn and unsecured payroll lending, we implemented a plan to exit our online lending businesses in the United States (EZOnline) and the United Kingdom (Cash Genie). These costs are included under "Income from discontinued operations, net of tax" in our condensed consolidated statements of operations.</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pre-tax charges (gains), inclusive of the charges presented in the accrued lease termination costs, severance costs and other costs rollforward below, pertaining to the above discontinued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December 31, 2014</w:t>
            </w:r>
          </w:p>
        </w:tc>
      </w:tr>
      <w:tr>
        <w:trPr>
          <w:trHeight w:val="385"/>
        </w:trPr>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gridSpan w:val="4"/>
          </w:tcPr>
          <w:p>
            <w:pPr>
              <w:ind w:left="1200"/>
              <w:spacing w:after="0"/>
              <w:rPr>
                <w:sz w:val="20"/>
                <w:szCs w:val="20"/>
                <w:color w:val="auto"/>
              </w:rPr>
            </w:pPr>
            <w:r>
              <w:rPr>
                <w:rFonts w:ascii="Arial" w:cs="Arial" w:eastAsia="Arial" w:hAnsi="Arial"/>
                <w:sz w:val="14"/>
                <w:szCs w:val="14"/>
                <w:i w:val="1"/>
                <w:iCs w:val="1"/>
                <w:color w:val="auto"/>
              </w:rPr>
              <w:t>(in thousands)</w:t>
            </w:r>
          </w:p>
        </w:tc>
      </w:tr>
      <w:tr>
        <w:trPr>
          <w:trHeight w:val="24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estimated costs related to employee severance and accelerated amortization of prepaid expenses and other assets.</w:t>
      </w:r>
    </w:p>
    <w:p>
      <w:pPr>
        <w:spacing w:after="0" w:line="1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Accrued lease termination costs, severance costs and other costs related to discontinued operations are included under "Accounts payable and other accrued expenses" in our condensed consolidated balance sheets and are primarily expected to be paid during fiscal 2016. Changes in these amounts during the three-month periods ended December 31, 2015 and 2014 are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20" w:type="dxa"/>
            <w:vAlign w:val="bottom"/>
          </w:tcPr>
          <w:p>
            <w:pPr>
              <w:jc w:val="right"/>
              <w:ind w:right="235"/>
              <w:spacing w:after="0"/>
              <w:rPr>
                <w:sz w:val="20"/>
                <w:szCs w:val="20"/>
                <w:color w:val="auto"/>
              </w:rPr>
            </w:pPr>
            <w:r>
              <w:rPr>
                <w:rFonts w:ascii="Arial" w:cs="Arial" w:eastAsia="Arial" w:hAnsi="Arial"/>
                <w:sz w:val="14"/>
                <w:szCs w:val="14"/>
                <w:b w:val="1"/>
                <w:bCs w:val="1"/>
                <w:color w:val="auto"/>
                <w:w w:val="92"/>
              </w:rPr>
              <w:t>Three Months Ended</w:t>
            </w: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December 31, 2014</w:t>
            </w:r>
          </w:p>
        </w:tc>
      </w:tr>
      <w:tr>
        <w:trPr>
          <w:trHeight w:val="385"/>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62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Other (b)</w:t>
            </w: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Beginning balance includes a $10.5 million charge associated with the settlement of outstanding issues with the U.S. Consumer Financial Protection Bureau.</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adjustments due to foreign currency effects and other individually immaterial adjustments.</w:t>
      </w:r>
    </w:p>
    <w:p>
      <w:pPr>
        <w:spacing w:after="0" w:line="168"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Total revenue included in "(Loss) income from discontinued operations, net of tax" in our condensed consolidated statements of operations for the three-month periods ended December 31, 2015 and 2014 was $2.1 million and $41.4 million, respectively. All revenue, expense and income reported in these condensed consolidated financial statements have been adjusted to reflect reclassification of all discontinued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fourth quarter of fiscal 2015, in the context of a transformational change in strategy following an intensive six-month review of all Company activities, we implemented a plan that included streamlining our structure and operating model to improve overall efficiency and reduce costs. The costs of streamlining our structure and operating model are included under "Restructuring" expenses in our condensed consolidated statements of operations and are allocated to certain of our segments as presented in Note 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 summarizes the pre-tax charges, inclusive of the charges presented in the changes in the balance of restructuring costs rollforward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December</w:t>
            </w:r>
          </w:p>
        </w:tc>
      </w:tr>
      <w:tr>
        <w:trPr>
          <w:trHeight w:val="192"/>
        </w:trPr>
        <w:tc>
          <w:tcPr>
            <w:tcW w:w="9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5"/>
              </w:rPr>
              <w:t>31, 2015</w:t>
            </w:r>
          </w:p>
        </w:tc>
      </w:tr>
      <w:tr>
        <w:trPr>
          <w:trHeight w:val="385"/>
        </w:trPr>
        <w:tc>
          <w:tcPr>
            <w:tcW w:w="9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center"/>
              <w:ind w:right="316"/>
              <w:spacing w:after="0"/>
              <w:rPr>
                <w:sz w:val="20"/>
                <w:szCs w:val="20"/>
                <w:color w:val="auto"/>
              </w:rPr>
            </w:pPr>
            <w:r>
              <w:rPr>
                <w:rFonts w:ascii="Arial" w:cs="Arial" w:eastAsia="Arial" w:hAnsi="Arial"/>
                <w:sz w:val="14"/>
                <w:szCs w:val="14"/>
                <w:i w:val="1"/>
                <w:iCs w:val="1"/>
                <w:color w:val="auto"/>
                <w:w w:val="94"/>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Asset disposals</w:t>
            </w:r>
          </w:p>
        </w:tc>
        <w:tc>
          <w:tcPr>
            <w:tcW w:w="400" w:type="dxa"/>
            <w:vAlign w:val="bottom"/>
          </w:tcPr>
          <w:p>
            <w:pPr>
              <w:spacing w:after="0"/>
              <w:rPr>
                <w:sz w:val="21"/>
                <w:szCs w:val="21"/>
                <w:color w:val="auto"/>
              </w:rPr>
            </w:pP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323</w:t>
            </w:r>
          </w:p>
        </w:tc>
      </w:tr>
      <w:tr>
        <w:trPr>
          <w:trHeight w:val="27"/>
        </w:trPr>
        <w:tc>
          <w:tcPr>
            <w:tcW w:w="9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819</w:t>
            </w:r>
          </w:p>
        </w:tc>
      </w:tr>
      <w:tr>
        <w:trPr>
          <w:trHeight w:val="237"/>
        </w:trPr>
        <w:tc>
          <w:tcPr>
            <w:tcW w:w="926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1,692</w:t>
            </w:r>
          </w:p>
        </w:tc>
      </w:tr>
      <w:tr>
        <w:trPr>
          <w:trHeight w:val="27"/>
        </w:trPr>
        <w:tc>
          <w:tcPr>
            <w:tcW w:w="9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costs related to employee severance and other.</w:t>
      </w:r>
    </w:p>
    <w:p>
      <w:pPr>
        <w:spacing w:after="0" w:line="16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Accrued lease termination costs, severance costs and other costs related to restructuring are included under "Accounts payable and other accrued expenses" in our condensed consolidated balance sheets. Changes in these amounts during the three-month period ended December 31, 2015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9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December 31, 2015</w:t>
            </w:r>
          </w:p>
        </w:tc>
      </w:tr>
      <w:tr>
        <w:trPr>
          <w:trHeight w:val="385"/>
        </w:trPr>
        <w:tc>
          <w:tcPr>
            <w:tcW w:w="9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8,076</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1,376</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Other (a)</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6,718</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other individually immaterial adjustments.</w:t>
      </w:r>
    </w:p>
    <w:p>
      <w:pPr>
        <w:spacing w:after="0" w:line="1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above amount includes accrued lease termination costs of $6.4 million that we expect to be offset by future sublease payments through 2029. The remaining other amounts accrued are expected to be paid during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2014</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Restructuring charges related to this action are considered corporate costs and therefore are not allocated to specific segments. Changes in these amounts during the three-month periods ended December 31, 2015 and 2014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72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gridSpan w:val="4"/>
          </w:tcPr>
          <w:p>
            <w:pPr>
              <w:jc w:val="right"/>
              <w:ind w:right="143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3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8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880" w:type="dxa"/>
            <w:vAlign w:val="bottom"/>
            <w:vMerge w:val="restart"/>
          </w:tcPr>
          <w:p>
            <w:pPr>
              <w:jc w:val="right"/>
              <w:ind w:right="165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(loss)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w w:val="96"/>
              </w:rPr>
              <w:t>(in thousands, except per share amounts)</w:t>
            </w: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from continuing operations attributable to EZCORP (A)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 (B)</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11,612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53,650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53,698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97"/>
        </w:trPr>
        <w:tc>
          <w:tcPr>
            <w:tcW w:w="8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11"/>
        </w:trPr>
        <w:tc>
          <w:tcPr>
            <w:tcW w:w="8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(loss) 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57"/>
        </w:trPr>
        <w:tc>
          <w:tcPr>
            <w:tcW w:w="824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14,511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we owned 151,948,000 shares, or approximately 32%, of our unconsolidated affiliate Cash Converters International. The following tables present summary financial information for Cash Converters International’s most recently reported results as of December 31, 2015 after translation to U.S. dollars: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186,472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207,415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151,287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178,764</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4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337,759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386,179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86,374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95,242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51,044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60,441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4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200,340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233,788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4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57"/>
        </w:trPr>
        <w:tc>
          <w:tcPr>
            <w:tcW w:w="450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40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337,759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386,179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w w:val="91"/>
              </w:rPr>
              <w:t>Fiscal Year Ended June 30,</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4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313,748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304,432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197,873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195,325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profit attributable to:</w:t>
            </w:r>
          </w:p>
        </w:tc>
        <w:tc>
          <w:tcPr>
            <w:tcW w:w="4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Owners of the parent</w:t>
            </w:r>
          </w:p>
        </w:tc>
        <w:tc>
          <w:tcPr>
            <w:tcW w:w="4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4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57"/>
        </w:trPr>
        <w:tc>
          <w:tcPr>
            <w:tcW w:w="4500" w:type="dxa"/>
            <w:vAlign w:val="bottom"/>
          </w:tcPr>
          <w:p>
            <w:pPr>
              <w:ind w:left="500"/>
              <w:spacing w:after="0"/>
              <w:rPr>
                <w:sz w:val="20"/>
                <w:szCs w:val="20"/>
                <w:color w:val="auto"/>
              </w:rPr>
            </w:pPr>
            <w:r>
              <w:rPr>
                <w:rFonts w:ascii="Arial" w:cs="Arial" w:eastAsia="Arial" w:hAnsi="Arial"/>
                <w:sz w:val="18"/>
                <w:szCs w:val="18"/>
                <w:color w:val="auto"/>
              </w:rPr>
              <w:t>(Loss) profit for the year</w:t>
            </w:r>
          </w:p>
        </w:tc>
        <w:tc>
          <w:tcPr>
            <w:tcW w:w="40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19,397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60" w:type="dxa"/>
            <w:vAlign w:val="bottom"/>
            <w:vMerge w:val="restart"/>
          </w:tcPr>
          <w:p>
            <w:pPr>
              <w:jc w:val="right"/>
              <w:ind w:right="267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as of December 31, 2015 and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Debt (Discount)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(Discount) and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and (Issuance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(Issuance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(Issuance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385"/>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2.125% Cash convertible senior notes due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190,089</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(39,911)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179,796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(50,204)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187,471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(42,529)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convertible senior notes due 2019 embedded derivative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Capital lease obligations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Non-recourse to EZCORP*:</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w w:val="95"/>
              </w:rPr>
              <w:t>8.2% Secured foreign currency debt up to $14 million due 2016 (a) (b)</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8"/>
              </w:rPr>
              <w:t>14.5% Secured foreign currency debt up to $17 million due 2017 (a)</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5.8% Consumer loans facility due 2019 (b)</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40,080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40,493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8.5%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10% Unsecured notes due 2015</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11%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17% Secured notes due 2015 consolidated from VIEs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 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2,884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13.5% Unsecured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5,767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15%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15% Secured notes due 2016 consolidated from VIEs</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4,221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18%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20% Unsecured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11% Secured notes due 2017 consolidated from VIEs (c)</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46,469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86,541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56,113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14.5% Secured notes due 2017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12.4% Secured notes due 2020</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20,028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449,690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371,511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Less current portion</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75,586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75,090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74,345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debt and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281,545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374,600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340" w:hanging="332"/>
        <w:spacing w:after="0" w:line="273" w:lineRule="auto"/>
        <w:tabs>
          <w:tab w:leader="none" w:pos="340" w:val="left"/>
        </w:tabs>
        <w:numPr>
          <w:ilvl w:val="0"/>
          <w:numId w:val="12"/>
        </w:numPr>
        <w:rPr>
          <w:rFonts w:ascii="Arial" w:cs="Arial" w:eastAsia="Arial" w:hAnsi="Arial"/>
          <w:sz w:val="14"/>
          <w:szCs w:val="14"/>
          <w:color w:val="252525"/>
        </w:rPr>
      </w:pPr>
      <w:r>
        <w:rPr>
          <w:rFonts w:ascii="Arial" w:cs="Arial" w:eastAsia="Arial" w:hAnsi="Arial"/>
          <w:sz w:val="14"/>
          <w:szCs w:val="14"/>
          <w:color w:val="252525"/>
        </w:rPr>
        <w:t>Even though Grupo Finmart debt may be non-recourse to EZCORP, a default on more than $25 million of such debt could constitute an event of default under our Cash Convertible Notes (described below). See "Part II, Item 1A — Risk Factors."</w:t>
      </w:r>
    </w:p>
    <w:p>
      <w:pPr>
        <w:spacing w:after="0" w:line="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252525"/>
        </w:rPr>
      </w:pPr>
      <w:r>
        <w:rPr>
          <w:rFonts w:ascii="Arial" w:cs="Arial" w:eastAsia="Arial" w:hAnsi="Arial"/>
          <w:sz w:val="14"/>
          <w:szCs w:val="14"/>
          <w:color w:val="252525"/>
        </w:rPr>
        <w:t>Maximum amounts of debt are translated from Mexican pesos to United States dollars as of December 31, 2015.</w:t>
      </w:r>
    </w:p>
    <w:p>
      <w:pPr>
        <w:spacing w:after="0" w:line="109" w:lineRule="exact"/>
        <w:rPr>
          <w:rFonts w:ascii="Arial" w:cs="Arial" w:eastAsia="Arial" w:hAnsi="Arial"/>
          <w:sz w:val="14"/>
          <w:szCs w:val="14"/>
          <w:color w:val="252525"/>
        </w:rPr>
      </w:pPr>
    </w:p>
    <w:p>
      <w:pPr>
        <w:ind w:left="340" w:hanging="332"/>
        <w:spacing w:after="0"/>
        <w:tabs>
          <w:tab w:leader="none" w:pos="340" w:val="left"/>
        </w:tabs>
        <w:numPr>
          <w:ilvl w:val="0"/>
          <w:numId w:val="13"/>
        </w:numPr>
        <w:rPr>
          <w:rFonts w:ascii="Arial" w:cs="Arial" w:eastAsia="Arial" w:hAnsi="Arial"/>
          <w:sz w:val="14"/>
          <w:szCs w:val="14"/>
          <w:color w:val="252525"/>
        </w:rPr>
      </w:pPr>
      <w:r>
        <w:rPr>
          <w:rFonts w:ascii="Arial" w:cs="Arial" w:eastAsia="Arial" w:hAnsi="Arial"/>
          <w:sz w:val="14"/>
          <w:szCs w:val="14"/>
          <w:color w:val="252525"/>
        </w:rPr>
        <w:t xml:space="preserve">Interest is </w:t>
      </w:r>
      <w:r>
        <w:rPr>
          <w:rFonts w:ascii="Arial" w:cs="Arial" w:eastAsia="Arial" w:hAnsi="Arial"/>
          <w:sz w:val="14"/>
          <w:szCs w:val="14"/>
          <w:color w:val="000000"/>
        </w:rPr>
        <w:t>charged at the Mexican Interbank Equilibrium rate (“TIIE”) plus an applicable margin. The rate presented is as of December 31, 2015.</w:t>
      </w:r>
    </w:p>
    <w:p>
      <w:pPr>
        <w:spacing w:after="0" w:line="109" w:lineRule="exact"/>
        <w:rPr>
          <w:rFonts w:ascii="Arial" w:cs="Arial" w:eastAsia="Arial" w:hAnsi="Arial"/>
          <w:sz w:val="14"/>
          <w:szCs w:val="14"/>
          <w:color w:val="252525"/>
        </w:rPr>
      </w:pPr>
    </w:p>
    <w:p>
      <w:pPr>
        <w:ind w:left="340" w:right="100" w:hanging="332"/>
        <w:spacing w:after="0" w:line="273" w:lineRule="auto"/>
        <w:tabs>
          <w:tab w:leader="none" w:pos="340" w:val="left"/>
        </w:tabs>
        <w:numPr>
          <w:ilvl w:val="0"/>
          <w:numId w:val="13"/>
        </w:numPr>
        <w:rPr>
          <w:rFonts w:ascii="Arial" w:cs="Arial" w:eastAsia="Arial" w:hAnsi="Arial"/>
          <w:sz w:val="14"/>
          <w:szCs w:val="14"/>
          <w:color w:val="252525"/>
        </w:rPr>
      </w:pPr>
      <w:r>
        <w:rPr>
          <w:rFonts w:ascii="Arial" w:cs="Arial" w:eastAsia="Arial" w:hAnsi="Arial"/>
          <w:sz w:val="14"/>
          <w:szCs w:val="14"/>
          <w:color w:val="auto"/>
        </w:rPr>
        <w:t xml:space="preserve">Grupo Finmart has entered into foreign exchange forward contracts to mitigate the VIE's currency risk, as described in Notes 11 and 12, and </w:t>
      </w:r>
      <w:r>
        <w:rPr>
          <w:rFonts w:ascii="Arial" w:cs="Arial" w:eastAsia="Arial" w:hAnsi="Arial"/>
          <w:sz w:val="14"/>
          <w:szCs w:val="14"/>
          <w:color w:val="252525"/>
        </w:rPr>
        <w:t>EZCORP has guaranteed the future cash outflows</w:t>
      </w:r>
      <w:r>
        <w:rPr>
          <w:rFonts w:ascii="Arial" w:cs="Arial" w:eastAsia="Arial" w:hAnsi="Arial"/>
          <w:sz w:val="14"/>
          <w:szCs w:val="14"/>
          <w:color w:val="auto"/>
        </w:rPr>
        <w:t xml:space="preserve"> </w:t>
      </w:r>
      <w:r>
        <w:rPr>
          <w:rFonts w:ascii="Arial" w:cs="Arial" w:eastAsia="Arial" w:hAnsi="Arial"/>
          <w:sz w:val="14"/>
          <w:szCs w:val="14"/>
          <w:color w:val="252525"/>
        </w:rPr>
        <w:t>of the forward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52525"/>
        </w:rPr>
        <w:t xml:space="preserve">In June 2014 ("Original Issuance Date"), we issued $200 million aggregate principal amount of 2.125% Cash Convertible Senior Notes due 2019 (the </w:t>
      </w:r>
      <w:r>
        <w:rPr>
          <w:rFonts w:ascii="Arial" w:cs="Arial" w:eastAsia="Arial" w:hAnsi="Arial"/>
          <w:sz w:val="18"/>
          <w:szCs w:val="18"/>
          <w:color w:val="000000"/>
        </w:rPr>
        <w:t>“Cash</w:t>
      </w:r>
      <w:r>
        <w:rPr>
          <w:rFonts w:ascii="Arial" w:cs="Arial" w:eastAsia="Arial" w:hAnsi="Arial"/>
          <w:sz w:val="18"/>
          <w:szCs w:val="18"/>
          <w:color w:val="252525"/>
        </w:rPr>
        <w:t xml:space="preserve"> </w:t>
      </w:r>
      <w:r>
        <w:rPr>
          <w:rFonts w:ascii="Arial" w:cs="Arial" w:eastAsia="Arial" w:hAnsi="Arial"/>
          <w:sz w:val="18"/>
          <w:szCs w:val="18"/>
          <w:color w:val="000000"/>
        </w:rPr>
        <w:t>Convertible Notes”). We granted the initial purchasers the option to purchase up to an additional $30 million aggregate principal amount of Cash Convertible Notes. That option was exercised in full on June 27, 2014, and we issued an additional $30 million principal amount of Cash Convertible Notes on July 2, 2014. All of the Cash</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Convertible Notes were issued </w:t>
      </w:r>
      <w:r>
        <w:rPr>
          <w:rFonts w:ascii="Arial" w:cs="Arial" w:eastAsia="Arial" w:hAnsi="Arial"/>
          <w:sz w:val="18"/>
          <w:szCs w:val="18"/>
          <w:color w:val="252525"/>
        </w:rPr>
        <w:t>pursuant to an indenture dated June 23, 2014 (the "Indenture") by and between us and Wells Fargo Bank, National</w:t>
      </w:r>
      <w:r>
        <w:rPr>
          <w:rFonts w:ascii="Arial" w:cs="Arial" w:eastAsia="Arial" w:hAnsi="Arial"/>
          <w:sz w:val="18"/>
          <w:szCs w:val="18"/>
          <w:color w:val="auto"/>
        </w:rPr>
        <w:t xml:space="preserve"> </w:t>
      </w:r>
      <w:r>
        <w:rPr>
          <w:rFonts w:ascii="Arial" w:cs="Arial" w:eastAsia="Arial" w:hAnsi="Arial"/>
          <w:sz w:val="18"/>
          <w:szCs w:val="18"/>
          <w:color w:val="252525"/>
        </w:rPr>
        <w:t xml:space="preserve">Association, as the trustee. The Cash Convertible Notes were issued in a private offering </w:t>
      </w:r>
      <w:r>
        <w:rPr>
          <w:rFonts w:ascii="Arial" w:cs="Arial" w:eastAsia="Arial" w:hAnsi="Arial"/>
          <w:sz w:val="18"/>
          <w:szCs w:val="18"/>
          <w:color w:val="000000"/>
        </w:rPr>
        <w:t>under Rule 144A under the Securities Act of 1933.</w:t>
      </w:r>
      <w:r>
        <w:rPr>
          <w:rFonts w:ascii="Arial" w:cs="Arial" w:eastAsia="Arial" w:hAnsi="Arial"/>
          <w:sz w:val="18"/>
          <w:szCs w:val="18"/>
          <w:color w:val="252525"/>
        </w:rPr>
        <w:t xml:space="preserve"> The Cash Convertible Notes pay interest semi-annually in arrears at a rate of 2.125% per annum on June 15 and December 15 of each year, commencing December 15, 2014, and will mature on June 15, 2019 (the "Maturity Date").</w:t>
      </w:r>
    </w:p>
    <w:p>
      <w:pPr>
        <w:spacing w:after="0" w:line="13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52525"/>
        </w:rPr>
        <w:t>We incurred transaction costs of approximately $8.8 million related to the issuance of the Cash Convertible Notes, which we recorded as deferred financing costs and have included as a deduction to the corresponding debt liability. Deferred financing costs are being amortized to interest expense using the effective interest method over the expected term of the Cash Convertible Notes.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252525"/>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Embedded Derivative</w:t>
      </w:r>
    </w:p>
    <w:p>
      <w:pPr>
        <w:spacing w:after="0" w:line="17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We account for the cash conversion feature of the Cash Convertible Notes as a separate derivative instrument (the “Cash Convertible Notes </w:t>
      </w:r>
      <w:r>
        <w:rPr>
          <w:rFonts w:ascii="Arial" w:cs="Arial" w:eastAsia="Arial" w:hAnsi="Arial"/>
          <w:sz w:val="16"/>
          <w:szCs w:val="16"/>
          <w:color w:val="252525"/>
        </w:rPr>
        <w:t>Embedded</w:t>
      </w:r>
      <w:r>
        <w:rPr>
          <w:rFonts w:ascii="Arial" w:cs="Arial" w:eastAsia="Arial" w:hAnsi="Arial"/>
          <w:sz w:val="16"/>
          <w:szCs w:val="16"/>
          <w:color w:val="auto"/>
        </w:rPr>
        <w:t xml:space="preserve"> </w:t>
      </w:r>
      <w:r>
        <w:rPr>
          <w:rFonts w:ascii="Arial" w:cs="Arial" w:eastAsia="Arial" w:hAnsi="Arial"/>
          <w:sz w:val="16"/>
          <w:szCs w:val="16"/>
          <w:color w:val="252525"/>
        </w:rPr>
        <w:t>Derivative</w:t>
      </w:r>
      <w:r>
        <w:rPr>
          <w:rFonts w:ascii="Arial" w:cs="Arial" w:eastAsia="Arial" w:hAnsi="Arial"/>
          <w:sz w:val="16"/>
          <w:szCs w:val="16"/>
          <w:color w:val="000000"/>
        </w:rPr>
        <w:t>”), which had a fair value of $46.5 million on the issuance date that was recognized as the original issue discount of the Cash Convertible Notes.</w:t>
      </w:r>
      <w:r>
        <w:rPr>
          <w:rFonts w:ascii="Arial" w:cs="Arial" w:eastAsia="Arial" w:hAnsi="Arial"/>
          <w:sz w:val="16"/>
          <w:szCs w:val="16"/>
          <w:color w:val="252525"/>
        </w:rPr>
        <w:t xml:space="preserve"> </w:t>
      </w:r>
      <w:r>
        <w:rPr>
          <w:rFonts w:ascii="Arial" w:cs="Arial" w:eastAsia="Arial" w:hAnsi="Arial"/>
          <w:sz w:val="16"/>
          <w:szCs w:val="16"/>
          <w:color w:val="000000"/>
        </w:rPr>
        <w:t>This original issue discount is being amortized to interest expense over the term of the Cash Convertible Notes using the effective interest method. As of December 31, 2015 and 2014 and September 30, 2014, the Cash Convertible Notes Embedded Derivative was recorded as a non-current liability under "Long-term debt, less current maturities" in our condensed consolidated balance sheets, and will be marked to market in subsequent reporting periods. The classification of the Cash Convertible Notes Embedded Derivative liability as current or non-current on the condensed consolidated balance sheets corresponds with the classification of the net balance of the Cash Convertible Notes as discussed below.</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7"/>
          <w:szCs w:val="17"/>
          <w:color w:val="000000"/>
        </w:rPr>
        <w:t>(1) during any fiscal quarter commencing after the fiscal quarter ending on September 30, 2014 (and only during such fiscal</w:t>
      </w:r>
      <w:r>
        <w:rPr>
          <w:rFonts w:ascii="Arial" w:cs="Arial" w:eastAsia="Arial" w:hAnsi="Arial"/>
          <w:sz w:val="17"/>
          <w:szCs w:val="17"/>
          <w:color w:val="252525"/>
        </w:rPr>
        <w:t xml:space="preserve"> </w:t>
      </w:r>
      <w:r>
        <w:rPr>
          <w:rFonts w:ascii="Arial" w:cs="Arial" w:eastAsia="Arial" w:hAnsi="Arial"/>
          <w:sz w:val="17"/>
          <w:szCs w:val="17"/>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7"/>
          <w:szCs w:val="17"/>
          <w:color w:val="252525"/>
        </w:rPr>
        <w:t>On 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after December 15, 2018 until the close of business on the second scheduled trading day immediately preceding the Maturity Date, holders may convert their notes into cash at any time, regardless of the foregoing circumstances.</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As of December 31, 2015, the Cash Convertible Notes were not convertible because the </w:t>
      </w:r>
      <w:r>
        <w:rPr>
          <w:rFonts w:ascii="Arial" w:cs="Arial" w:eastAsia="Arial" w:hAnsi="Arial"/>
          <w:sz w:val="16"/>
          <w:szCs w:val="16"/>
          <w:color w:val="252525"/>
        </w:rPr>
        <w:t>Early Conversion Conditions described above</w:t>
      </w:r>
      <w:r>
        <w:rPr>
          <w:rFonts w:ascii="Arial" w:cs="Arial" w:eastAsia="Arial" w:hAnsi="Arial"/>
          <w:sz w:val="16"/>
          <w:szCs w:val="16"/>
          <w:color w:val="auto"/>
        </w:rPr>
        <w:t xml:space="preserve"> had not been met. Accordingly, the net balance of the Cash Convertible Notes was classified as a non-current liability in our condensed consolidated balance sheets as</w:t>
      </w:r>
    </w:p>
    <w:p>
      <w:pPr>
        <w:ind w:right="340"/>
        <w:spacing w:after="0" w:line="255" w:lineRule="auto"/>
        <w:rPr>
          <w:sz w:val="20"/>
          <w:szCs w:val="20"/>
          <w:color w:val="auto"/>
        </w:rPr>
      </w:pPr>
      <w:r>
        <w:rPr>
          <w:rFonts w:ascii="Arial" w:cs="Arial" w:eastAsia="Arial" w:hAnsi="Arial"/>
          <w:sz w:val="18"/>
          <w:szCs w:val="18"/>
          <w:color w:val="auto"/>
        </w:rPr>
        <w:t>of December 31, 2015 and 2014 and September 30, 2015. The classification of the Cash Convertible Notes as current or non-current in the condensed consolidated balance sheets is evaluated at each balance sheet date and may change from time to time depending on whether any of the Early Conversion Conditions has been met.</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any of the Early Conversion Conditions is met in any future fiscal quarter, we would classify our net liability under the Cash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Cash Convertible Notes as a non-current liability in the condensed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December 31, 2015, we would have recorded an expense of $39.9 million associated with the conversion, comprised of $33.9 million of unamortized debt discount and $6.0 million of unamortized debt issuance costs. As of December 31, 2015, none of the note holders had elected to convert their Cash Convertible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Cash Convertible Notes, we purchased cash-settled call options (the “Cash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Cash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14.3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Cash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Cash Convertible Notes. The Cash Convertible Notes Hedges have </w:t>
      </w:r>
      <w:r>
        <w:rPr>
          <w:rFonts w:ascii="Arial" w:cs="Arial" w:eastAsia="Arial" w:hAnsi="Arial"/>
          <w:sz w:val="16"/>
          <w:szCs w:val="16"/>
          <w:color w:val="252525"/>
        </w:rPr>
        <w:t>an expiration date that is the same as the Maturity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52525"/>
        </w:rPr>
        <w:t>Cash Convertible Notes, subject to earlier exercise</w:t>
      </w:r>
      <w:r>
        <w:rPr>
          <w:rFonts w:ascii="Arial" w:cs="Arial" w:eastAsia="Arial" w:hAnsi="Arial"/>
          <w:sz w:val="17"/>
          <w:szCs w:val="17"/>
          <w:color w:val="000000"/>
        </w:rPr>
        <w:t>. The Cash Convertible Notes Hedges have customary anti-dilution provisions similar to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16"/>
          <w:szCs w:val="16"/>
          <w:color w:val="252525"/>
        </w:rPr>
        <w:t>If we exercise the Cash Convertible Notes</w:t>
      </w:r>
      <w:r>
        <w:rPr>
          <w:rFonts w:ascii="Arial" w:cs="Arial" w:eastAsia="Arial" w:hAnsi="Arial"/>
          <w:sz w:val="16"/>
          <w:szCs w:val="16"/>
          <w:color w:val="auto"/>
        </w:rPr>
        <w:t xml:space="preserve"> Hedges</w:t>
      </w:r>
      <w:r>
        <w:rPr>
          <w:rFonts w:ascii="Arial" w:cs="Arial" w:eastAsia="Arial" w:hAnsi="Arial"/>
          <w:sz w:val="16"/>
          <w:szCs w:val="16"/>
          <w:color w:val="252525"/>
        </w:rPr>
        <w:t>, the aggregate amount of cash we will receive from the option counterparties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Cash Convertible Notes </w:t>
      </w:r>
      <w:r>
        <w:rPr>
          <w:rFonts w:ascii="Arial" w:cs="Arial" w:eastAsia="Arial" w:hAnsi="Arial"/>
          <w:sz w:val="16"/>
          <w:szCs w:val="16"/>
          <w:color w:val="000000"/>
        </w:rPr>
        <w:t>Hedges</w:t>
      </w:r>
      <w:r>
        <w:rPr>
          <w:rFonts w:ascii="Arial" w:cs="Arial" w:eastAsia="Arial" w:hAnsi="Arial"/>
          <w:sz w:val="16"/>
          <w:szCs w:val="16"/>
          <w:color w:val="252525"/>
        </w:rPr>
        <w:t xml:space="preserve"> will cover the aggregate amount of cash that we would be required to pay to the holders of the converted Cash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52525"/>
        </w:rPr>
        <w:t xml:space="preserve">Notes, less the principal amount thereof. </w:t>
      </w:r>
      <w:r>
        <w:rPr>
          <w:rFonts w:ascii="Arial" w:cs="Arial" w:eastAsia="Arial" w:hAnsi="Arial"/>
          <w:sz w:val="17"/>
          <w:szCs w:val="17"/>
          <w:color w:val="000000"/>
        </w:rPr>
        <w:t>As of December 31, 2015, we have not purchased any shares under the Cash Convertible Notes Hedges.</w:t>
      </w:r>
    </w:p>
    <w:p>
      <w:pPr>
        <w:spacing w:after="0" w:line="1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under "Other assets, net."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 statements of operations.</w:t>
      </w:r>
    </w:p>
    <w:p>
      <w:pPr>
        <w:spacing w:after="0" w:line="1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classification of the Cash Convertible Notes Hedges asset as current or long-term on the condensed consolidated balance sheets corresponds with the classification of the Cash Convertible Notes, which is evaluated at each balance sheet date and may change from time to time depending on whether any of the Early Conversion Conditions has been met.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December 31, 2015,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252525"/>
        </w:rPr>
        <w:t xml:space="preserve">Total interest expense attributable to the Cash Convertible Notes for the three-month periods ended December 31, 2015 and </w:t>
      </w:r>
      <w:r>
        <w:rPr>
          <w:rFonts w:ascii="Arial" w:cs="Arial" w:eastAsia="Arial" w:hAnsi="Arial"/>
          <w:sz w:val="17"/>
          <w:szCs w:val="17"/>
          <w:color w:val="000000"/>
        </w:rPr>
        <w:t>2014</w:t>
      </w:r>
      <w:r>
        <w:rPr>
          <w:rFonts w:ascii="Arial" w:cs="Arial" w:eastAsia="Arial" w:hAnsi="Arial"/>
          <w:sz w:val="17"/>
          <w:szCs w:val="17"/>
          <w:color w:val="252525"/>
        </w:rPr>
        <w:t xml:space="preserve"> was $3.7 million </w:t>
      </w:r>
      <w:r>
        <w:rPr>
          <w:rFonts w:ascii="Arial" w:cs="Arial" w:eastAsia="Arial" w:hAnsi="Arial"/>
          <w:sz w:val="17"/>
          <w:szCs w:val="17"/>
          <w:color w:val="000000"/>
        </w:rPr>
        <w:t>and</w:t>
      </w:r>
      <w:r>
        <w:rPr>
          <w:rFonts w:ascii="Arial" w:cs="Arial" w:eastAsia="Arial" w:hAnsi="Arial"/>
          <w:sz w:val="17"/>
          <w:szCs w:val="17"/>
          <w:color w:val="252525"/>
        </w:rPr>
        <w:t xml:space="preserve"> $3.6 million, respectively, comprised of contractual interest expense of $1.2 million </w:t>
      </w:r>
      <w:r>
        <w:rPr>
          <w:rFonts w:ascii="Arial" w:cs="Arial" w:eastAsia="Arial" w:hAnsi="Arial"/>
          <w:sz w:val="17"/>
          <w:szCs w:val="17"/>
          <w:color w:val="000000"/>
        </w:rPr>
        <w:t>and 1.3 million</w:t>
      </w:r>
      <w:r>
        <w:rPr>
          <w:rFonts w:ascii="Arial" w:cs="Arial" w:eastAsia="Arial" w:hAnsi="Arial"/>
          <w:sz w:val="17"/>
          <w:szCs w:val="17"/>
          <w:color w:val="252525"/>
        </w:rPr>
        <w:t xml:space="preserve">, respectively, and debt discount and deferred financing cost amortization of $2.5 million and $2.3 million, respectively. The effective interest rate approximates 8% after inclusion of deferred financing costs upon adoption of </w:t>
      </w:r>
      <w:r>
        <w:rPr>
          <w:rFonts w:ascii="Arial" w:cs="Arial" w:eastAsia="Arial" w:hAnsi="Arial"/>
          <w:sz w:val="17"/>
          <w:szCs w:val="17"/>
          <w:color w:val="000000"/>
        </w:rPr>
        <w:t>ASU 2015-03, from the effective interest rate of approximately 7%</w:t>
      </w:r>
      <w:r>
        <w:rPr>
          <w:rFonts w:ascii="Arial" w:cs="Arial" w:eastAsia="Arial" w:hAnsi="Arial"/>
          <w:sz w:val="17"/>
          <w:szCs w:val="17"/>
          <w:color w:val="252525"/>
        </w:rPr>
        <w:t xml:space="preserve"> during fiscal 2015.</w:t>
      </w:r>
    </w:p>
    <w:p>
      <w:pPr>
        <w:spacing w:after="0" w:line="117"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As of December 31, 2015, the remaining unamortized issuance discount and costs will be amortized over the next three years assuming no early conversion. </w:t>
      </w:r>
      <w:r>
        <w:rPr>
          <w:rFonts w:ascii="Arial" w:cs="Arial" w:eastAsia="Arial" w:hAnsi="Arial"/>
          <w:sz w:val="18"/>
          <w:szCs w:val="18"/>
          <w:b w:val="1"/>
          <w:bCs w:val="1"/>
          <w:i w:val="1"/>
          <w:iCs w:val="1"/>
          <w:color w:val="auto"/>
        </w:rPr>
        <w:t>Non-Recourse Debt to EZCORP</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Non-recourse debt amounts in the table above represent Grupo Finmart’s third-party debt including secured notes consolidated from VIEs. Amounts due in Mexican pesos are translated each reporting period. Effective interest rates approximate stated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Foreign Currency Debt, Secured Notes not Consolidated from VIEs and Unsecured Notes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Foreign currency debt and secured notes (not including secured notes consolidated from VIEs, which are discussed below) are guaranteed by Grupo Finmart's loan portfolio or collateralized cash at Grupo Finmart’s option. As of December 31, 2015 and 2014, Grupo Finmart’s secured foreign currency debt and notes, excluding secured notes consolidated from VIEs, were guaranteed by consumer loans totaling $37.0 million and $8.7 million, respectively, included in “Consumer loans, net” and “Non-current consumer loans, net” in our condensed consolidated balance sheets, and collateralized cash totaling $2.4</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million and $34.1 million, respectively, included in “Restricted cash” and “Restricted cash, non-current” in our condensed consolidated balance sheets. All unsecured notes are collateralized with Grupo Finmart’s assets.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Grupo Finmart issued $6.1 million of 13.5% unsecured notes due September 2016, $6.1 million of 18% unsecured notes due September 2016 and $2.3 million of 20% unsecured notes due March 2016.</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Grupo Finmart repaid the remaining $12.3 million 8.5% unsecured notes due 2015, $1.5 million 10% unsecured notes due 2015, $3.9 million 11% unsecured notes due 2015 and $1.2 million 13% unsecured notes due 2016 outstanding as of September 30,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Consolidated from VIEs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debt described below is collateralized by all of the assets of the VIEs as presented in our condensed consolidated balance sheets described in Note 12.</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secured notes consolidated from VIEs contain certain prepayment clauses. Where the collections on consumer loans held by the VIEs are greater than anticipated in future reporting periods, we expect an accelerated repayment of the secured notes. See “Assets and Liabilities of Consolidated Variable Interest Entities” included in our condensed consolidated balance sheets.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the VIEs repaid a net $11.8 million of outstanding debt, including the impact of foreign exchange effects, of its notes outstanding as of September 30,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TEMPORARY EQUITY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activity in our temporary equity balances during the three-month periods ended December 31, 2015 and 2014: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Common Stock, Subject to</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Redeemable</w:t>
            </w: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Total Temporary</w:t>
            </w:r>
          </w:p>
        </w:tc>
      </w:tr>
      <w:tr>
        <w:trPr>
          <w:trHeight w:val="192"/>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Possible Redemption</w:t>
            </w: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Noncontrolling Interest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Equity</w:t>
            </w:r>
          </w:p>
        </w:tc>
      </w:tr>
      <w:tr>
        <w:trPr>
          <w:trHeight w:val="385"/>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22,800</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18,550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2015</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14,931</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December 31, 2015</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14,075</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19,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less a $0.2 million Holding Period Adjustment discussed below. The Shares were issued in an unregistered private placement transaction pursuant to Section 4(a)(2) of the Securities Act of 1933 to a small number of related individuals and entities (the "Sellers") who were either "accredited investors" or "sophisticated investors."</w:t>
      </w:r>
    </w:p>
    <w:p>
      <w:pPr>
        <w:spacing w:after="0" w:line="1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or such later date when we are in compliance with Rule 144(c) (the "Holding Period"). If the trading price of the Class A Non-voting Common Stock at the end of the Holding Period is less than $10.06 per share (the average closing sales price of the stock on The Nasdaq Stock Market for the five trading days immediately preceding the closing),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December 31, 2015, the Sellers had not terminated the Put Option in whole or in part.</w:t>
      </w:r>
    </w:p>
    <w:p>
      <w:pPr>
        <w:spacing w:after="0" w:line="12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Put Option is not accounted for separately from the Shares and does not require bifurcation. The Shares are accounted for as common stock, subject to possible redemption under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included in temporary equity in our condensed consolidated balance sheet as of December 31, 2015. The Holding Period Adjustment is accounted for as a contingent consideration asset under FASB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will be adjusted to fair value in subsequent reporting periods, and is recorded in our condensed consolidated balance sheet at its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under "Other assets, net" as of December 31, 2015. See Note 10 for additional information regarding the Holding Period Adjustment.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30, 2012, we acquired a 60% interest in Grupo Finmart. On June 30, 2014, we acquired an additional 16% of the ordinary shares outstanding of Grupo Finmart, increasing our ownership percentage to 76%. On August 31, 2015, we acquired an additional 18% of the outstanding ordinary shares of Grupo Finmart, increasing our ownership percentage to 94%. The holders of the remaining 6% of the outstanding ordinary shares of Grupo Finmart have the right, exercisable once in fiscal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160"/>
        <w:spacing w:after="0" w:line="438" w:lineRule="auto"/>
        <w:rPr>
          <w:sz w:val="20"/>
          <w:szCs w:val="20"/>
          <w:color w:val="auto"/>
        </w:rPr>
      </w:pPr>
      <w:r>
        <w:rPr>
          <w:rFonts w:ascii="Arial" w:cs="Arial" w:eastAsia="Arial" w:hAnsi="Arial"/>
          <w:sz w:val="18"/>
          <w:szCs w:val="18"/>
          <w:color w:val="auto"/>
        </w:rPr>
        <w:t xml:space="preserve">and once in fiscal 2017, to require us to purchase their remaining shares at a purchase price based on an independent valuation of the business. </w:t>
      </w:r>
      <w:r>
        <w:rPr>
          <w:rFonts w:ascii="Arial" w:cs="Arial" w:eastAsia="Arial" w:hAnsi="Arial"/>
          <w:sz w:val="18"/>
          <w:szCs w:val="18"/>
          <w:b w:val="1"/>
          <w:bCs w:val="1"/>
          <w:color w:val="auto"/>
        </w:rPr>
        <w:t>NOTE 7: CONTINGENCIES</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December 31, 2015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0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February 4, 2016, the remaining defendants filed an Application for Certification of Interlocutory Appeal, and the Court has set a hearing on the application for February 22, 2016.</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Federal securities litigation (SDNY) </w:t>
      </w:r>
      <w:r>
        <w:rPr>
          <w:rFonts w:ascii="Arial" w:cs="Arial" w:eastAsia="Arial" w:hAnsi="Arial"/>
          <w:sz w:val="18"/>
          <w:szCs w:val="18"/>
          <w:color w:val="auto"/>
        </w:rPr>
        <w:t>— On August 22, 2014, Jason Close,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Mark Kuchenrither (our former chief financial officer and former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16, 2015, appointed the lead plaintiff and lead counsel.</w:t>
      </w:r>
    </w:p>
    <w:p>
      <w:pPr>
        <w:spacing w:after="0" w:line="13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March 13,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4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4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(as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defendants have filed motions to dismiss, and the parties have submitted their respective supporting and opposing briefs. That motion is pending before the Court.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Federal Securities Litigation (WDT) </w:t>
      </w:r>
      <w:r>
        <w:rPr>
          <w:rFonts w:ascii="Arial" w:cs="Arial" w:eastAsia="Arial" w:hAnsi="Arial"/>
          <w:sz w:val="18"/>
          <w:szCs w:val="18"/>
          <w:color w:val="auto"/>
        </w:rPr>
        <w:t>— On July 20, 2015, Wu Winfred Huang,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Western District of Texas styled </w:t>
      </w:r>
      <w:r>
        <w:rPr>
          <w:rFonts w:ascii="Arial" w:cs="Arial" w:eastAsia="Arial" w:hAnsi="Arial"/>
          <w:sz w:val="18"/>
          <w:szCs w:val="18"/>
          <w:i w:val="1"/>
          <w:iCs w:val="1"/>
          <w:color w:val="auto"/>
        </w:rPr>
        <w:t>Huang v. EZCORP, Inc., et al.</w:t>
      </w:r>
      <w:r>
        <w:rPr>
          <w:rFonts w:ascii="Arial" w:cs="Arial" w:eastAsia="Arial" w:hAnsi="Arial"/>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2 lawsuits filed an agreed stipulation to be appointed co-lead plaintiffs and agreed that their two actions should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consolidated. On November 3, 2015, the Court entered an order consolidating the two actions under the caption </w:t>
      </w:r>
      <w:r>
        <w:rPr>
          <w:rFonts w:ascii="Arial" w:cs="Arial" w:eastAsia="Arial" w:hAnsi="Arial"/>
          <w:sz w:val="18"/>
          <w:szCs w:val="18"/>
          <w:i w:val="1"/>
          <w:iCs w:val="1"/>
          <w:color w:val="auto"/>
        </w:rPr>
        <w:t>In re EZCORP, Inc.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(Master File No. 1:15-cv-00608-SS), and appointed the two plaintiffs as co-lead plaintiffs, with their respective counsel appointed as co-lead</w:t>
      </w:r>
      <w:r>
        <w:rPr>
          <w:rFonts w:ascii="Arial" w:cs="Arial" w:eastAsia="Arial" w:hAnsi="Arial"/>
          <w:sz w:val="18"/>
          <w:szCs w:val="18"/>
          <w:i w:val="1"/>
          <w:iCs w:val="1"/>
          <w:color w:val="auto"/>
        </w:rPr>
        <w:t xml:space="preserve"> </w:t>
      </w:r>
      <w:r>
        <w:rPr>
          <w:rFonts w:ascii="Arial" w:cs="Arial" w:eastAsia="Arial" w:hAnsi="Arial"/>
          <w:sz w:val="18"/>
          <w:szCs w:val="18"/>
          <w:color w:val="auto"/>
        </w:rPr>
        <w:t>counsel.</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January 11, 2016, the plaintiffs filed an Amended Class Action Complaint (the "Amended Complaint"). In the Amended Complaint, the plaintiffs seek to represent a class of purchasers of our Class A Common Stock between November 6, 2015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Under the Court’s current scheduling order, we have until February 29, 2016 to respond to the Amended Complaint, and we intend to file a motion to dismiss the claims.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This case is in the very early stages. We cannot predict the outcome of the litigation, but we intend to defend vigorously against all allegations and claims.</w:t>
      </w:r>
    </w:p>
    <w:p>
      <w:pPr>
        <w:spacing w:after="0" w:line="1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Mexico Pawn — All pawn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Grupo Finmart — All payroll lending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International — Our equity interest in the net income of Cash Converters International and consumer finance activities in Canada</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There are no inter-segment revenues, and the amounts below were determined in accordance with the same accounting principles used in our condensed consolidated financial statements. The following tables present operating segment information for the three-month periods ended December 31, 2015 and 2014, including reclassifications discussed in Note 1 and adjustments to reflect reclassification of all discontinued operations discussed in Note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December 31,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Grupo Finmart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left="132"/>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91,994</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16,586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108,584</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108,584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58,621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66,594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13,188</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198,454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55,461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10,798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66,259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111,516</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Segment and corporate expenses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85,606</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Loss on sale or disposal of assets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net income of</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28,799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15,628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Loss from continuing operations before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15,628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3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December 31, 2014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Grupo</w:t>
            </w: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Finmart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left="132"/>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89,442</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19,580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109,639</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57,035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64,927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212,726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72,478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117,058</w:t>
            </w: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80,087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unconsolidated 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28,767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25,048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ALLOWANCE FOR LOSSES AND CREDIT QUALITY OF CONSUMER LOANS</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Grupo Finmart customers obtain installment loans with a series of payments due over the stated term, 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do not reclassify non-performing loans to performing status if there are subsequent collections on the non-performing loans. We establish reserves for Grupo Finmart loans as follows:</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reserve 100% of non-performing loans, which for this purpose we consider to be: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In-payroll loans for which Grupo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also establish additional reserves on loan principal and accrued interest reserves for performing loans based on historical experience.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 collections are recorded as a reduction of consumer loan bad debt expense (in the case of written-off principal) and an increase in consumer loan fee revenue (in the case of written-off accrued interest) after principal has been recovered. Long-term unsecured consumer loan bad debt expense is included in "Consumer loan bad debt" expense in our condensed consolidated statements of operations.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Grupo Finmart provides an allowance for losses on performing, in-payroll loans and related interest receivable based on historical collection experience. Changes in the principal valuation allowance are charged to "Consumer loan bad debt" expense and changes in the interest receivable valuation allowance are charged to "Consumer loan fees and interest" in our condensed consolidated statements of operations.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 presents changes in the allowance for credit losses, as well as the recorded investment in our financing receivables by portfolio segment for the periods presented and excludes items such as non-sufficient funds fees, repossession fees, auction fees and interest: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92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Charge-offs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of Period</w:t>
            </w:r>
          </w:p>
        </w:tc>
        <w:tc>
          <w:tcPr>
            <w:tcW w:w="14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Period (a)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Period (a)</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 (b)</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December 31, 2015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11,498</w:t>
            </w:r>
          </w:p>
        </w:tc>
        <w:tc>
          <w:tcPr>
            <w:tcW w:w="14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8,992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11,149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14,645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31,159</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Secured short-term consumer loans: (c)</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December 31, 2014</w:t>
            </w:r>
          </w:p>
        </w:tc>
        <w:tc>
          <w:tcPr>
            <w:tcW w:w="20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1,049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12,989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1,533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7,866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December 31, 2015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50,645</w:t>
            </w:r>
          </w:p>
        </w:tc>
        <w:tc>
          <w:tcPr>
            <w:tcW w:w="14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11,802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61,158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162,678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December 31, 2014</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38,087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42,182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157,368</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Portions of these amounts are included in "Consumer loans, net" and "Non-current consumer loans, net" in our condensed consolidated balance sheets.</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aging allowance disclosure provided for these amounts as our policy is to charge-off all amounts on the first day after the due date.</w:t>
      </w:r>
    </w:p>
    <w:p>
      <w:pPr>
        <w:spacing w:after="0" w:line="163" w:lineRule="exact"/>
        <w:rPr>
          <w:rFonts w:ascii="Arial" w:cs="Arial" w:eastAsia="Arial" w:hAnsi="Arial"/>
          <w:sz w:val="14"/>
          <w:szCs w:val="14"/>
          <w:color w:val="auto"/>
        </w:rPr>
      </w:pPr>
    </w:p>
    <w:p>
      <w:pPr>
        <w:ind w:left="340" w:right="26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a result of our discontinuance of USFS, our secured short-term consumer loan balance was reduced to zero as of December 31, 2015. As such, no further aging allowance disclosure has been provided for these amounts. Refer to Note 2 for further detail on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held by Grupo Finmart: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5"/>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9"/>
                <w:szCs w:val="9"/>
                <w:color w:val="auto"/>
              </w:rPr>
            </w:pPr>
          </w:p>
        </w:tc>
        <w:tc>
          <w:tcPr>
            <w:tcW w:w="88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9"/>
                <w:szCs w:val="9"/>
                <w:color w:val="auto"/>
              </w:rPr>
            </w:pPr>
          </w:p>
        </w:tc>
        <w:tc>
          <w:tcPr>
            <w:tcW w:w="8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5"/>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88"/>
              </w:rPr>
              <w:t>Receivable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w w:val="89"/>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5"/>
              </w:rPr>
              <w:t>Unsecured long-term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78,914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106,794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3,921</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51,122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53,987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55,884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55,884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162,678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3,921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December 31,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107,414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121,177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28,293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33,399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2,794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36,191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36,193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110,208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157,368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87,272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112,776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41,670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43,537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89,252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158,293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accordance with FASB ASC 820-10, our assets and liabilities discussed below are classified in one of the following three categories based on the inputs used to develop their fair values:</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our financial assets (liabilities) that were measured at fair value on a recurring basis as of December 31, 2015 and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Phantom share-based awards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(3,440)</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Phantom share-based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Grupo Finmart measured the value of the forward currency forwards using Level 2 inputs such as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in the condensed consolidated balance sheets under “Other assets, net.”</w:t>
      </w:r>
    </w:p>
    <w:p>
      <w:pPr>
        <w:spacing w:after="0" w:line="133"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We measured the fair value of the Holding Period Adjustment using an option pricing model based on observable Level 1 and Level 2 inputs such as conversion price of underlying shares, current share price, implied volatility, risk free interest rate and other factors. The Holding Period Adjustment is recorded in the condensed consolidated balance sheets under "Other assets, net" and had no value as of December 31, 2015.</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measured the fair value of the Cash Convertible Notes Hedges and the Cash Convertible Notes Embedded Derivative using an option pricing model based on observable Level 1 and Level 2 inputs such as conversion price of underlying shares, current share price, implied volatility, risk free interest rate and other factors. The Cash Convertible Notes Hedges are recorded in the condensed consolidated balance sheets under “Other assets, net.” The Cash Convertible Notes Embedded Derivative is recorded in the condensed consolidated balance sheets under “Long-term debt, less current maturities.”</w:t>
      </w:r>
    </w:p>
    <w:p>
      <w:pPr>
        <w:spacing w:after="0" w:line="1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26, 2013, Grupo Finmart purchased 100% of the outstanding shares of Fondo ACH, S.A. de C.V., a specialty consumer finance company. The total purchase price was performance-based and will be determined over a period of four</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years from the date of purchase. Total contingent consideration due on January 2, 2017 is based on interest income generated by the acquired portfolios and new loans made through Fondo ACH's contractual relationships. We used an income approach to measure the fair value of the contingent consideration using a probability-weighted discounted cash flow approach. Some of the significant inputs used for the valuation are not observable in the market and are thus Level 3 inputs. Contingent consideration is recorded in the condensed consolidated balance sheets under "Deferred gains and other long-term liabilities." Significant increases or decreases in the underlying assumptions used to value the contingent consideration could significantly increase or decrease the fair value estimates recorded in the condensed consolidated balance sheets. During the three-month period ended December 31, 2015, we recorded no valuation adjustment to the $2.6 million balance of the contingent consideration liability.</w:t>
      </w:r>
    </w:p>
    <w:p>
      <w:pPr>
        <w:spacing w:after="0" w:line="11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fiscal 2015, we granted awards to employees based upon underlying shares that were not issued, and therefore we accounted for these as phantom share-based awards under FASB ASC 718-30. These awards are recorded in the condensed consolidated balance sheets under “Accounts payable and other accrued expenses” for unvested share-based payment awards. The fair value of fiscal 2015 phantom share-based awards that were estimated using the Monte Carlo simulation model incorporated the closing share price of our Class A Common Stock on the date of grant (considered, for this purpose, to be October 1, 2014), as well as the following assumptions, which we consider to be Level 3 inputs under the fair value hierarchy: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 of EZCORP, Inc. Class A Common Stock</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Cost of equity</w:t>
            </w:r>
          </w:p>
        </w:tc>
        <w:tc>
          <w:tcPr>
            <w:tcW w:w="3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three-month period ended December 31, 2015, we settled and released $0.1 million of phantom share-based awards, expensed an additional $0.2 million of phantom share-based awards and reclassified $1.9 million of phantom share-based awards from liability awards to equity awards recorded in the condensed consolidated balance sheets under "Additional paid-in capital," leaving a $2.1 million balance in phantom share-based awards as of December 31, 2015.</w:t>
      </w:r>
    </w:p>
    <w:p>
      <w:pPr>
        <w:spacing w:after="0" w:line="13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Financial Liabilities Not Measured at Fair Value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financial assets, temporary equity and financial liabilities as of December 31, 2015 and 2014 and September 30, 2015 that are not measured at fair value in our condensed consolidated balance sheets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Carrying Value</w:t>
            </w:r>
          </w:p>
        </w:tc>
        <w:tc>
          <w:tcPr>
            <w:tcW w:w="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2015</w:t>
            </w:r>
          </w:p>
        </w:tc>
        <w:tc>
          <w:tcPr>
            <w:tcW w:w="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22,781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22,781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22,781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157,905</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157,905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157,905</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32,715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31,342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31,342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31,342</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12,827</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53,404</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58,773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71,502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72,789</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400,760</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407,956</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307,578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11,696</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11,639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11,639</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5,467</w:t>
            </w:r>
          </w:p>
        </w:tc>
      </w:tr>
      <w:tr>
        <w:trPr>
          <w:trHeight w:val="237"/>
        </w:trPr>
        <w:tc>
          <w:tcPr>
            <w:tcW w:w="4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17,106</w:t>
            </w:r>
          </w:p>
        </w:tc>
      </w:tr>
      <w:tr>
        <w:trPr>
          <w:trHeight w:val="67"/>
        </w:trPr>
        <w:tc>
          <w:tcPr>
            <w:tcW w:w="42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190,089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156,400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17,802</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19,893</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20,521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20,034</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61,456</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349,354</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312,239</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312,239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29</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9"/>
              </w:rPr>
              <w:t>December 31, 2014</w:t>
            </w:r>
          </w:p>
        </w:tc>
        <w:tc>
          <w:tcPr>
            <w:tcW w:w="34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77,599</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77,599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77,599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60,218</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150,930</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150,930</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61,347</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61,936</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30,241</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30,241</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13,199</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13,199</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99,219</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123,932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123,932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78,362</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79,615</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575,425</w:t>
            </w: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601,980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266,059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335,921</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18,550</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44,771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44,771</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179,796</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185,461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23,199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23,952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46,110</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18,461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113,168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111,523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404,269</w:t>
            </w: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413,284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413,284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Carrying Value</w:t>
            </w: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4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9"/>
              </w:rPr>
              <w:t>September 30, 2015</w:t>
            </w:r>
          </w:p>
        </w:tc>
        <w:tc>
          <w:tcPr>
            <w:tcW w:w="20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2015</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Level 3</w:t>
            </w:r>
          </w:p>
        </w:tc>
      </w:tr>
      <w:tr>
        <w:trPr>
          <w:trHeight w:val="387"/>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5"/>
          </w:tcPr>
          <w:p>
            <w:pPr>
              <w:ind w:left="2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59,124</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59,124</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59,124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159,964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159,964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159,964</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36,533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37,559</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30,852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30,852</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56,182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75,824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77,644</w:t>
            </w: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456,301</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459,147</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133,326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325,821</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11,438</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11,438</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3,235</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5,467</w:t>
            </w:r>
          </w:p>
        </w:tc>
      </w:tr>
      <w:tr>
        <w:trPr>
          <w:trHeight w:val="237"/>
        </w:trPr>
        <w:tc>
          <w:tcPr>
            <w:tcW w:w="10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14,931</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16,905</w:t>
            </w:r>
          </w:p>
        </w:tc>
      </w:tr>
      <w:tr>
        <w:trPr>
          <w:trHeight w:val="67"/>
        </w:trPr>
        <w:tc>
          <w:tcPr>
            <w:tcW w:w="102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305"/>
        </w:trPr>
        <w:tc>
          <w:tcPr>
            <w:tcW w:w="10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187,471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169,050</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18,505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40,493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20,987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20,286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73,264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361,006</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341,313</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in "Current maturities of long-term debt" and "Long-term debt, less current maturities" in our condensed consolidated balance sheets.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short-term nature of cash and cash equivalents, restricted cash, pawn loans, pawn service charges receivable and consumer loan fees and interest receivable, we estimate that their carrying value approximates fair value. Significant increases or decreases in the underlying assumptions used to value the pawn loans, pawn service charges receivable and consumer loan fees and interest receivable could significantly increase or decrease the fair value estimates disclosed above.</w:t>
      </w:r>
    </w:p>
    <w:p>
      <w:pPr>
        <w:spacing w:after="0" w:line="133"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Consumer loans, other than those made by Grupo Finmart, have relatively short maturity periods that are generally 12 months; therefore, we estimate that their carrying value approximates fair value. Consumer loans made by Grupo Finmart have an average contractual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our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Level 3 inputs that are not observable in the market. Key assumptions include discount</w:t>
      </w:r>
    </w:p>
    <w:p>
      <w:pPr>
        <w:sectPr>
          <w:pgSz w:w="11900" w:h="16838" w:orient="portrait"/>
          <w:cols w:equalWidth="0" w:num="1">
            <w:col w:w="11420"/>
          </w:cols>
          <w:pgMar w:left="240" w:top="11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4"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rates up to 25%, representing discount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is based on significant Level 3 inputs that are not observable in the market. Key assumptions include a discount rate of 7%, which approximated the Company’s incremental borrowing rate. Significant increases or decreases in the underlying assumptions used to value the common stock, subject to possible redemption could significantly increase or decrease the fair value estimates disclosed above.</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measured the fair value of our Cash Convertible Notes using quoted price inputs from Bloomberg. The Cash Convertible Notes are not actively traded and thus the price inputs represent a Level 2 measurement. As the Cash Convertible Notes are not actively traded, the quoted price inputs obtained from Bloomberg are highly variable from day to day and thus the fair value estimates disclosed above could significantly increase or decrease.</w:t>
      </w:r>
    </w:p>
    <w:p>
      <w:pPr>
        <w:spacing w:after="0" w:line="11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 discussion of the Cash Convertible Notes Hedges and Cash Convertible Notes Embedded Derivative presented below.</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During the fiscal years ended September 30, 2015 and 2014, Grupo Finmart entered into cross-currency forward contracts to hedge foreign exchange rate fluctuations in connection with the formation of the VIEs and related transfer of certain loans as described in Note 12. The Company guarantees the future cash outflows of the forward contract, which is included in the Company’s condensed consolidated balance sheets and adjusted to fair value each reporting period through earnings.</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Grupo Finmart received proceeds of $3.6 million, net with the settlement of remaining foreign currency forwards attributable to the cross-border 8.5% unsecured notes due 2015 which were repaid during the three-month period ended December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2015</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4"/>
              </w:rPr>
              <w:t>(in thousands)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14,169</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10,505</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Cash Convertible Notes Embedded Derivative</w:t>
            </w: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4"/>
                <w:szCs w:val="14"/>
                <w:b w:val="1"/>
                <w:bCs w:val="1"/>
                <w:color w:val="auto"/>
                <w:w w:val="93"/>
              </w:rPr>
              <w:t>Amount of Unrealized Gain (Loss) on Derivatives</w:t>
            </w: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80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r>
      <w:tr>
        <w:trPr>
          <w:trHeight w:val="38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tcPr>
          <w:p>
            <w:pPr>
              <w:jc w:val="center"/>
              <w:ind w:left="1024"/>
              <w:spacing w:after="0"/>
              <w:rPr>
                <w:sz w:val="20"/>
                <w:szCs w:val="20"/>
                <w:color w:val="auto"/>
              </w:rPr>
            </w:pPr>
            <w:r>
              <w:rPr>
                <w:rFonts w:ascii="Arial" w:cs="Arial" w:eastAsia="Arial" w:hAnsi="Arial"/>
                <w:sz w:val="14"/>
                <w:szCs w:val="14"/>
                <w:i w:val="1"/>
                <w:iCs w:val="1"/>
                <w:color w:val="auto"/>
                <w:w w:val="92"/>
              </w:rPr>
              <w:t>(in thousands)</w:t>
            </w:r>
          </w:p>
        </w:tc>
        <w:tc>
          <w:tcPr>
            <w:tcW w:w="1420" w:type="dxa"/>
            <w:vAlign w:val="bottom"/>
          </w:tcPr>
          <w:p>
            <w:pPr>
              <w:spacing w:after="0"/>
              <w:rPr>
                <w:sz w:val="24"/>
                <w:szCs w:val="24"/>
                <w:color w:val="auto"/>
              </w:rPr>
            </w:pPr>
          </w:p>
        </w:tc>
      </w:tr>
      <w:tr>
        <w:trPr>
          <w:trHeight w:val="24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7,014</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*Amount is partially offset by gains and losses caused by related foreign currency fluctuations.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VARIABLE INTEREST ENTITIES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performs ongoing qualitative assessments of VIEs it is involved with to determine if it has a controlling financial interest in the VIE and therefore is the VIE’s primary beneficiary. If it is determined to be the primary beneficiary, the Company consolidates the VIE 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During fiscal 2014 and the first quarter of fiscal 2015, Grupo Finmart completed six transfers of consumer loans to various securitization trusts. We consolidate those securitization trusts under the VIE model. Each VIE issued its notes to third party investors and used the related net proceeds to purchase the loans from Grupo Finmart at a premium over their principal amount. We consolidate these VIEs as we have the power to direct the activities that significantly affect each VIE’s economic performance and have the right to receive benefits or the obligation to absorb losses that could potentially be significant to each VIE.</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VIE B cash flows and 50% of VIE A cash flows after (1) the VIE’s operating expenses are paid and (2) the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Grupo Finmart has entered into foreign exchange forward contracts with a third party to provide U.S. dollars on the payment of Mexican Pesos, and has assigned the rights under those contracts to VIE B to mitigate the risk associated with its U.S. dollar denominated liabilities and Mexican peso denominated assets. </w:t>
      </w:r>
      <w:r>
        <w:rPr>
          <w:rFonts w:ascii="Arial" w:cs="Arial" w:eastAsia="Arial" w:hAnsi="Arial"/>
          <w:sz w:val="18"/>
          <w:szCs w:val="18"/>
          <w:color w:val="252525"/>
        </w:rPr>
        <w:t>EZCORP has guaranteed the future cash outflows under those foreign exchange forward contracts.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condensed consolidated balance sheets and are net of intercompany balances which are eliminated in our condensed consolidated financial statements.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loans the VIEs purchased from Grupo Finmart are reflected in our condensed consolidated financial statements at amortized cost based on Grupo Finmart’s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(principally, interest and fees on loans) earned by our consolidated VIEs was $3.2 million and $10.6 million for the three-months ended December 31, 2015 and 2014, respectively. Related expenses, consisting primarily of interest expense, foreign exchange losses and consumer loan bad debt expense</w:t>
      </w:r>
    </w:p>
    <w:p>
      <w:pPr>
        <w:ind w:right="420"/>
        <w:spacing w:after="0" w:line="261" w:lineRule="auto"/>
        <w:rPr>
          <w:sz w:val="20"/>
          <w:szCs w:val="20"/>
          <w:color w:val="auto"/>
        </w:rPr>
      </w:pPr>
      <w:r>
        <w:rPr>
          <w:rFonts w:ascii="Arial" w:cs="Arial" w:eastAsia="Arial" w:hAnsi="Arial"/>
          <w:sz w:val="18"/>
          <w:szCs w:val="18"/>
          <w:color w:val="auto"/>
        </w:rPr>
        <w:t>were $4.2 million and $11.0 million for the three-months ended December 31, 2015 and 2014, respectively. These amounts do not include intercompany transactions which are eliminated in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 Securitization Trust</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5.8% consumer loans facility due 2019 debt securities pertaining to the Grupo Finmart Securitization Trust are presented in Note 5. 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 The assets and liabilities of the Grupo Finmart Securitization Trust described above are presented in our condensed consolidated balance sheets and are net of intercompany balances which are eliminated in our condensed 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Non-Consolidated Variable Interest Entities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historically held a significant variable interest in two VIEs for which it was not the primary beneficiary and, therefore, were not consolidated. Prior to our discontinuance of USFS as discussed in Note 2, we issued letters of credit (“LOC”) to enhance the creditworthiness of our customers seeking unsecured loans from unaffiliated lenders. We had no further substantial involvement with such lenders as of December 31, 2015.</w:t>
      </w:r>
    </w:p>
    <w:p>
      <w:pPr>
        <w:spacing w:after="0" w:line="107"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13: SUPPLEMENTAL CONSOLIDATED FINANCIAL INFORMATION </w:t>
      </w:r>
      <w:r>
        <w:rPr>
          <w:rFonts w:ascii="Arial" w:cs="Arial" w:eastAsia="Arial" w:hAnsi="Arial"/>
          <w:sz w:val="18"/>
          <w:szCs w:val="18"/>
          <w:b w:val="1"/>
          <w:bCs w:val="1"/>
          <w:i w:val="1"/>
          <w:iCs w:val="1"/>
          <w:color w:val="auto"/>
        </w:rPr>
        <w:t>Supplemental Condensed Consolidated Balance Sheets Information</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on net amounts included under "Pawn service charges receivable, net," "Consumer loan fees and interest receivable, net," "Inventory, net" and "Property and equipment, net" in our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2015</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2014</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Gross pawn service charges receivable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39,517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38,568</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39,877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pawn service charges receivable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31,342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30,241</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30,852</w:t>
            </w: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consumer loan fees and interest receivable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Gross inventory</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139,570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144,442</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131,174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reserves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132,980</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132,659</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124,084</w:t>
            </w: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211,889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241,419</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212,384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(136,790)</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69,963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104,353</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75,594</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See Note 9 for information on net amounts included under "Consumer loans, net" and "Non-current consumer loans, net" in our condensed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OPERATIONS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2015, as supplemented by the information set forth in “Part I, Item 3</w:t>
      </w:r>
    </w:p>
    <w:p>
      <w:pPr>
        <w:spacing w:after="0" w:line="3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Quantitative and Qualitative Disclosures about Market Risk,” "Part II, Item 1 — Legal Proceedings" and "Part II, Item 1A — Risk Factors" of this Quarterly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Mexico and consumer loans in Mexico.</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vision is to be the market leader in North America, within three years,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our pawn stores, we offer pawn loans, which are non-recourse loans collateralized by tangible property, and we sell merchandise, primarily collateral forfeited from pawn lending operations and used merchandise purchased from customers.</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Through our 94%-owned subsidiary, Prestaciones Finmart, S.A.P.I. de C.V., SOFOM, E.N.R. ("Grupo Finmart" doing business under the names "Crediamigo" and "Adex"), headquartered in Mexico City, we offer unsecured installment loans to employees of various Mexican employers (principally federal, state and local government agencies), which are repaid through payroll deductions.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revenue by product for the three-month periods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48985" cy="3138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2" w:right="3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December 31, 2015</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Company-owned Stores</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4"/>
        </w:trPr>
        <w:tc>
          <w:tcPr>
            <w:tcW w:w="3500" w:type="dxa"/>
            <w:vAlign w:val="bottom"/>
          </w:tcPr>
          <w:p>
            <w:pPr>
              <w:spacing w:after="0"/>
              <w:rPr>
                <w:sz w:val="22"/>
                <w:szCs w:val="22"/>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 Pawn</w:t>
            </w: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Grupo Finmart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5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As of December 31, 2015</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3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ind w:left="40"/>
              <w:spacing w:after="0"/>
              <w:rPr>
                <w:sz w:val="20"/>
                <w:szCs w:val="20"/>
                <w:color w:val="auto"/>
              </w:rPr>
            </w:pPr>
            <w:r>
              <w:rPr>
                <w:rFonts w:ascii="Arial" w:cs="Arial" w:eastAsia="Arial" w:hAnsi="Arial"/>
                <w:sz w:val="14"/>
                <w:szCs w:val="14"/>
                <w:color w:val="auto"/>
              </w:rPr>
              <w:t>*  Includes five buy/sell stores.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44"/>
        </w:trPr>
        <w:tc>
          <w:tcPr>
            <w:tcW w:w="36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December 31, 2014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36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3660" w:type="dxa"/>
            <w:vAlign w:val="bottom"/>
          </w:tcPr>
          <w:p>
            <w:pPr>
              <w:spacing w:after="0"/>
              <w:rPr>
                <w:sz w:val="22"/>
                <w:szCs w:val="22"/>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U.S. Pawn</w:t>
            </w: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Mexico Pawn</w:t>
            </w: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6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As of December 31, 2014</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our pawn stores, we offer secured loans, which are typically small, non-recourse loans collateralized by tangible personal property. As of December 31, 2015, we had an aggregate pawn loan principal balance of $157.9 million. We earn pawn service charge revenue on our pawn loans that vary by location and loan size.</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pawn stores, we acquire inventory for retail sales through pawn loan forfeitures,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w:t>
      </w:r>
    </w:p>
    <w:p>
      <w:pPr>
        <w:spacing w:after="0" w:line="13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4.7% of gross inventory as of December 31, 2015, compared to 8.2% as of December 31, 2014 and 5.4% as of September 30, 2015. The decrease in valuation allowance from September 30, 2015 to December 31, 2015 is reflective of our focus on reducing our aged inventory balances.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Withholding Loans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Mexico, Grupo Finmart offers payroll withholding loans or unsecured consumer loans. Grupo Finmart enters into payroll withholding agreements (called “convenios”) with Mexican employers, primarily federal, state and local governments and agencies, and provides unsecured installment consumer loans to the employees of the various employers. Interest and principal payments are collected through payroll deductions.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17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Within our Mexican consumer loan business, we anticipate Grupo Finmart will continue to sign new contracts with federal, state and local governments as well as further penetrate the existing contracts. In addition, we are seeking to diversify our product offerings to this customer base. We expect to continue to obtain local financing to fund Grupo Finmart’s lending growth, and we anticipate this financing will be non-recourse to EZCORP.</w:t>
      </w:r>
    </w:p>
    <w:p>
      <w:pPr>
        <w:spacing w:after="0" w:line="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intend to continue to maximize lending opportunity in key product categories as well as evaluate potential acquisition targets in our Mexican pawn business, but will adjust growth from time-to-time to conform to near-term market conditions. The Mexican pawn environment has mirrored the U.S. pawn environment as gold prices have dropped and the industry has seen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shift from gold and jewelry pawn activity to general merchandise pawn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Historically, U.S. pawn service charges are highest in our fourth fiscal quarter (July through September) due to a higher average loan balance during the summer lending season. U.S. merchandise sales are highest in the first and second fiscal quarters (October through March) due to the holiday season with jewelry sales surrounding Valentine’s Day and additionally impacted by tax refunds in the United States.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Three Months Ended December 31, 2015</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selected, unaudited, consolidated financial data for our three-month periods ended December 31, 2015 and 2014 (the "current quarter" or "current three-month period" and "prior-year quarter," respectively).</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discussion presents selected consolidated summary financial data from continuing operations on a constant currency basis unless otherwise noted. The discussion includes consolidated results including constant currency results from Mexico Pawn, after translation to U.S. dollars from its functional currency of the Mexican peso. See “Results of Operations — Non-GAAP Financial Information”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Core Pawn Business Improvement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Momentum Continues</w:t>
      </w:r>
    </w:p>
    <w:p>
      <w:pPr>
        <w:spacing w:after="0" w:line="171" w:lineRule="exact"/>
        <w:rPr>
          <w:sz w:val="20"/>
          <w:szCs w:val="20"/>
          <w:color w:val="auto"/>
        </w:rPr>
      </w:pPr>
    </w:p>
    <w:p>
      <w:pPr>
        <w:ind w:left="660" w:right="4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Quality loan growth continued with pawn loans outstanding increasing 6% (5% increase on a GAAP basis including ending Mexico Pawn loan balance increase of $1.7 million to $14.5 million) from the end of the prior-year quarter.</w:t>
      </w:r>
    </w:p>
    <w:p>
      <w:pPr>
        <w:spacing w:after="0" w:line="116"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new loans made increased 8% with average loan size up 2% (down 1% on a GAAP basis including a 9% decrease in average Mexico Pawn loan size) from the prior-year quarter.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same store loan balances increased 3% from the prior-year quarter (2% increase on a GAAP basis including a 14% increase in Mexico Pawn same store loan balances).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Pawn loan redemption rates remain at 83% as compared to the prior-year quarter on a GAAP basis.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Pawn service charges increased 5% from the prior-year quarter (3% increase on a GAAP basis including Mexico Pawn service charges increase of $0.1 million to $8.0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Merchandise Sales Margin and Inventory Position</w:t>
      </w:r>
    </w:p>
    <w:p>
      <w:pPr>
        <w:spacing w:after="0" w:line="171" w:lineRule="exact"/>
        <w:rPr>
          <w:sz w:val="20"/>
          <w:szCs w:val="20"/>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Merchandise margin increased from 34% in the prior-year quarter to 39% in the current quarter on a GAAP basis, a result of disciplined loan valuations and effective product lifecycle pricing.</w:t>
      </w:r>
    </w:p>
    <w:p>
      <w:pPr>
        <w:spacing w:after="0" w:line="116" w:lineRule="exact"/>
        <w:rPr>
          <w:rFonts w:ascii="Arial" w:cs="Arial" w:eastAsia="Arial" w:hAnsi="Arial"/>
          <w:sz w:val="18"/>
          <w:szCs w:val="18"/>
          <w:i w:val="1"/>
          <w:iCs w:val="1"/>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Merchandise sales gross profit increased from $37.2 million in the prior-year quarter to $42.3 million in the current quarter on a GAAP basis.</w:t>
      </w:r>
    </w:p>
    <w:p>
      <w:pPr>
        <w:spacing w:after="0" w:line="182"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Aged inventory reduced to 11% for U.S. Pawn and 3% for Mexico Pawn at the end of the current quarter from 16% for U.S. Pawn and 16% for Mexico Pawn at the end of the prior-year quarter on a GAAP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Growing Return on Pawn Earning Assets</w:t>
      </w:r>
    </w:p>
    <w:p>
      <w:pPr>
        <w:spacing w:after="0" w:line="171" w:lineRule="exact"/>
        <w:rPr>
          <w:sz w:val="20"/>
          <w:szCs w:val="20"/>
          <w:color w:val="auto"/>
        </w:rPr>
      </w:pPr>
    </w:p>
    <w:p>
      <w:pPr>
        <w:ind w:left="660" w:right="300" w:hanging="328"/>
        <w:spacing w:after="0" w:line="308" w:lineRule="auto"/>
        <w:tabs>
          <w:tab w:leader="none" w:pos="6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Annualized return on pawn earning assets (defined as average annual merchandise and scrap sales gross profit yield on pawn loans and inventory balances outstanding) increased to 151% in the current quarter on a GAAP basis versus 142% in the prior-year quarter.</w:t>
      </w:r>
    </w:p>
    <w:p>
      <w:pPr>
        <w:spacing w:after="0" w:line="92" w:lineRule="exact"/>
        <w:rPr>
          <w:rFonts w:ascii="Arial" w:cs="Arial" w:eastAsia="Arial" w:hAnsi="Arial"/>
          <w:sz w:val="17"/>
          <w:szCs w:val="17"/>
          <w:i w:val="1"/>
          <w:iCs w:val="1"/>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Inventory yield (defined as average annual merchandise and scrap sales gross profit yield on inventory balances outstanding) increased from 116% in the prior-year quarter to 132% in the current quarter on a GAAP basis, driven by improved gross margin on merchandise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right="20"/>
        <w:spacing w:after="0" w:line="272" w:lineRule="auto"/>
        <w:rPr>
          <w:sz w:val="20"/>
          <w:szCs w:val="20"/>
          <w:color w:val="auto"/>
        </w:rPr>
      </w:pPr>
      <w:r>
        <w:rPr>
          <w:rFonts w:ascii="Arial" w:cs="Arial" w:eastAsia="Arial" w:hAnsi="Arial"/>
          <w:sz w:val="17"/>
          <w:szCs w:val="17"/>
          <w:color w:val="auto"/>
        </w:rPr>
        <w:t>currency"). We use constant currency results to evaluate results of the Mexico Pawn and Grupo Finmart segment operations, which are denominated in Mexican pesos and believe that presentation of constant currency results is meaningful and useful in understanding the activities and business metrics of our Mexico Pawn and Grupo Finmart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end of period rate as of December 31, 2015 of 17.3 to 1 was used, compared to the end of period rate as of December 31, 2014 of 14.7 to 1. For condensed consolidated statement of operations items, the average closing daily exchange rate for the appropriate period was used. The average exchange rate for the current three-month period ended December 31, 2015 was 16.8 to 1 as compared to the prior year three-month period ended December 31, 2014 rate of 13.9 to 1. Constant currency results, where presented, also exclude foreign currency gain or loss and the related foreign currency derivative gain or loss impact.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This table, as well as the discussion that follows, should be read with the accompanying condensed consolidated financial statements and related notes.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108,584</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109,639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66,594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64,927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18,971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198,454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72,478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8,515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117,058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115,373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100,925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9,678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loss from continuing operations attributable to redeemable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(loss) income attributable to EZCORP</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11,612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150,930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Consumer loans, net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32,175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61,347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132,659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71,502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78,362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earning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394,562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423,298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from continuing operations, net of tax decreased $10.8 million from the prior-year quarter to a loss of $8.0 million in the current quarter. This decrease was due to a $5.5 million decrease in net revenues and a $14.4 million increase in operating expenses, partially offset by a $7.0 million decrease in income tax expense and a $2.2 million decrease in non-operating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$5.5 million decrease in net revenues was primarily due to:</w:t>
      </w:r>
    </w:p>
    <w:p>
      <w:pPr>
        <w:spacing w:after="0" w:line="171" w:lineRule="exact"/>
        <w:rPr>
          <w:sz w:val="20"/>
          <w:szCs w:val="20"/>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$2.3 million, or 60% decrease in jewelry scrapping net revenue due to a decrease in proceeds realized per gram of gold jewelry scrapped coupled with a decrease in gold volume primarily as a result of our continued strategy to sell rather than scrap jewelry;</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$9.9 million, or 94% decrease in consumer loan net revenue due to an increase in non-performing loans held by Grupo Finmart in the current quarter; partially offset by</w:t>
      </w:r>
    </w:p>
    <w:p>
      <w:pPr>
        <w:spacing w:after="0" w:line="116"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$5.2 million, or 14%, increase in merchandise sales gross profit attributable to improved margins in both our U.S. Pawn and Mexico Pawn segments in comparison to the prior-year quarter as a result of liquidating aged inventory during fiscal 2015 in addition to revenue growth driven by new stores acquired in the U.S. Pawn segment; and</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$1.7 million, or 3%, increase in pawn service charges due to new stores acquired in the U.S. pawn segment in addition to an increased annualized average yield coupled with an increase in average monthly ending pawn loans outstanding in comparison to the prior-year quarter in both our U.S. Pawn and Mexico Pawn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$14.4 million increase in operating expenses was primarily due to:</w:t>
      </w:r>
    </w:p>
    <w:p>
      <w:pPr>
        <w:spacing w:after="0" w:line="171" w:lineRule="exact"/>
        <w:rPr>
          <w:sz w:val="20"/>
          <w:szCs w:val="20"/>
          <w:color w:val="auto"/>
        </w:rPr>
      </w:pPr>
    </w:p>
    <w:p>
      <w:pPr>
        <w:ind w:left="660" w:right="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$1.4 million increase in labor and related expenses and commissions primarily attributable to an increase in-line with the overall increase in net revenues from the U.S. Pawn and Mexico Pawn segments (measured, in the case of Mexico Pawn, on a constant currency basis) in addition to new stores acquired by the U.S. Pawn segment and overall originations by Grupo Finmart;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$3.0 million increase in stock compensation due to the timing of reversal of compensation costs in the prior-year quarter as a result of forfeitures;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$3.3 million increase due primarily to a change in the store-level bonus programs during fiscal 2016 to better incentivize performance;</w:t>
      </w:r>
    </w:p>
    <w:p>
      <w:pPr>
        <w:spacing w:after="0" w:line="182"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$3.5 million increase in legal and professional fees primarily associated with the restatement of previously-issued financial statements and other that we finalized during the current quarter;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$1.7 million increase in restructuring costs due to wind downs of certain costs that were expensed in the current quarter relative to services being performed related to our fiscal 2015 restructuring plan.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tax expense decreased $7.0 million to a $3.7 million benefit in the current quarter, primarily due to an $11.7 million loss from continuing operations before income taxes in the current quarter as compared to income from continuing operations before income taxes of $6.1 million in the prior-year quarter. The effective tax rate from continuing operations for the three-month period ended December 31, 2015 was 32% of pre-tax loss compared to 54% of pre-tax income for the three-month period ended December 31, 2014.</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Non-operating expenses decreased $2.2 million primarily due to a $2.8 million decrease in overall interest expense as a result in the decrease in weighted-average Grupo Finmart debt outstanding during the current quarter as compared to the prior-year quarter.</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decrease in (loss) income from discontinued operations, net of tax, was due to substantial exit of our U.S. financial services business during the fourth quarter of fiscal 2015 resulting in minimal activity during the current quarter.</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122" w:right="3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58,621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57,035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91,994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89,442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36,533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30,825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17,007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96,887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91,718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318"/>
        </w:trPr>
        <w:tc>
          <w:tcPr>
            <w:tcW w:w="6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63,545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59,507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28,759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28,799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28,767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258,798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251,317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Inventory turnover — jewelry</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200bps</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0bps</w:t>
            </w:r>
          </w:p>
        </w:tc>
      </w:tr>
      <w:tr>
        <w:trPr>
          <w:trHeight w:val="27"/>
        </w:trPr>
        <w:tc>
          <w:tcPr>
            <w:tcW w:w="6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80" w:hanging="345"/>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revenues increased 6% ($5.2 million), with core pawn revenue increasing $4.2 million, or 3%, from the prior-year quarter. The increase in core pawn revenue attributable to same stores and new stores added since the prior-year quarter in addition to change in pawn loan originations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right"/>
              <w:ind w:right="114"/>
              <w:spacing w:after="0"/>
              <w:rPr>
                <w:sz w:val="20"/>
                <w:szCs w:val="20"/>
                <w:color w:val="auto"/>
              </w:rPr>
            </w:pPr>
            <w:r>
              <w:rPr>
                <w:rFonts w:ascii="Arial" w:cs="Arial" w:eastAsia="Arial" w:hAnsi="Arial"/>
                <w:sz w:val="14"/>
                <w:szCs w:val="14"/>
                <w:b w:val="1"/>
                <w:bCs w:val="1"/>
                <w:color w:val="auto"/>
                <w:w w:val="96"/>
              </w:rPr>
              <w:t>Current Quarter from Prior-Year Quarter Change in Core Pawn Revenue</w:t>
            </w:r>
          </w:p>
        </w:tc>
        <w:tc>
          <w:tcPr>
            <w:tcW w:w="0" w:type="dxa"/>
            <w:vAlign w:val="bottom"/>
          </w:tcPr>
          <w:p>
            <w:pPr>
              <w:spacing w:after="0"/>
              <w:rPr>
                <w:sz w:val="1"/>
                <w:szCs w:val="1"/>
                <w:color w:val="auto"/>
              </w:rPr>
            </w:pPr>
          </w:p>
        </w:tc>
      </w:tr>
      <w:tr>
        <w:trPr>
          <w:trHeight w:val="139"/>
        </w:trPr>
        <w:tc>
          <w:tcPr>
            <w:tcW w:w="4660" w:type="dxa"/>
            <w:vAlign w:val="bottom"/>
          </w:tcPr>
          <w:p>
            <w:pPr>
              <w:spacing w:after="0"/>
              <w:rPr>
                <w:sz w:val="12"/>
                <w:szCs w:val="12"/>
                <w:color w:val="auto"/>
              </w:rPr>
            </w:pPr>
          </w:p>
        </w:tc>
        <w:tc>
          <w:tcPr>
            <w:tcW w:w="176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Change in Pawn Loan</w:t>
            </w:r>
          </w:p>
        </w:tc>
        <w:tc>
          <w:tcPr>
            <w:tcW w:w="1600" w:type="dxa"/>
            <w:vAlign w:val="bottom"/>
            <w:gridSpan w:val="2"/>
            <w:vMerge w:val="restart"/>
          </w:tcPr>
          <w:p>
            <w:pPr>
              <w:jc w:val="right"/>
              <w:ind w:right="37"/>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Merchandise Sales</w:t>
            </w:r>
          </w:p>
        </w:tc>
        <w:tc>
          <w:tcPr>
            <w:tcW w:w="10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6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Originations</w:t>
            </w:r>
          </w:p>
        </w:tc>
        <w:tc>
          <w:tcPr>
            <w:tcW w:w="1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5"/>
          </w:tcPr>
          <w:p>
            <w:pPr>
              <w:ind w:left="110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Pawn service charges increased 3%, with the annualized average yield increasing to 163% from 161% in the prior-year quarter coupled with an increase in average monthly ending pawn loans outstanding of 1%, driven by the addition of new stores.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margin on merchandise sales increased to 40% from 34% in the prior-year quarter as a result of liquidating aged inventory during fiscal 2015. We reduced total aged inventory (as a percentage of total inventory) to 11% from 16%, comprised of a reduction of aged general merchandise inventory to 6% from 7% and a reduction of aged jewelry inventory to 16% from 26% in the prior-year quarter. This fiscal 2015 decrease in aged inventory coupled with the addition of new stores drove an increase in merchandise sales gross profit of $5.7 million.</w:t>
      </w:r>
    </w:p>
    <w:p>
      <w:pPr>
        <w:spacing w:after="0" w:line="1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Gross margin on jewelry scrapping sales decreased to 16% from 22% in the prior-year quarter as a result of an 8% decrease in proceeds realized per gram of gold jewelry scrapped, coupled with a 37% decrease in gold volume, primarily as a result of our continued strategy to sell rather than scrap jewelry. Jewelry scrapping sales gross profit decreased to 2% of net revenues from 4% in the prior-year quarter.</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segment expenses increased to $68.1 million (42% of revenues) in the current quarter from $63.0 million (38% of revenues) in the prior-year quarter primarily due to:</w:t>
      </w:r>
    </w:p>
    <w:p>
      <w:pPr>
        <w:spacing w:after="0" w:line="116" w:lineRule="exact"/>
        <w:rPr>
          <w:sz w:val="20"/>
          <w:szCs w:val="20"/>
          <w:color w:val="auto"/>
        </w:rPr>
      </w:pPr>
    </w:p>
    <w:p>
      <w:pPr>
        <w:ind w:left="660" w:right="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$4.0 million, or 7%, increase in operations expense primarily attributable to $2.8 million in additional expenses from new stores opened, primarily labor and associated costs, in addition to other smaller items;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$0.9 million in wind downs of restructuring expense for certain costs that were expensed in the current quarter relative to services being performed related to our fiscal 2015 restructuring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3"/>
              </w:rPr>
              <w:t>Three Months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340" w:type="dxa"/>
            <w:vAlign w:val="bottom"/>
          </w:tcPr>
          <w:p>
            <w:pPr>
              <w:spacing w:after="0"/>
              <w:rPr>
                <w:sz w:val="13"/>
                <w:szCs w:val="13"/>
                <w:color w:val="auto"/>
              </w:rPr>
            </w:pPr>
          </w:p>
        </w:tc>
        <w:tc>
          <w:tcPr>
            <w:tcW w:w="8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 (a)</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USD thousands)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7,892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16,586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20,046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19,580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6,096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16,863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14,374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13,528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32,074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37,747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31,764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-400bps</w:t>
            </w: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-500bps</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380" w:right="80" w:hanging="345"/>
        <w:spacing w:after="0" w:line="281" w:lineRule="auto"/>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three-month period ended December 31, 2015 constant currency balance excludes $0.1 million of net foreign currency transaction losses resulting from movement in exchange rates. The net foreign currency transaction losses for the three-month period ended December 31, 2014 were $0.4 million and are not excluded from the above results.</w:t>
      </w:r>
    </w:p>
    <w:p>
      <w:pPr>
        <w:spacing w:after="0" w:line="1" w:lineRule="exact"/>
        <w:rPr>
          <w:rFonts w:ascii="Arial" w:cs="Arial" w:eastAsia="Arial" w:hAnsi="Arial"/>
          <w:sz w:val="13"/>
          <w:szCs w:val="13"/>
          <w:color w:val="auto"/>
        </w:rPr>
      </w:pPr>
    </w:p>
    <w:p>
      <w:pPr>
        <w:ind w:left="380" w:hanging="345"/>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Mexico pawn operations continued to grow significantly, with core pawn revenue increasing $2.2 million, or 8%, from the prior-year quarter. Merchandise sales increased $0.5 million, or 2%, from the prior-year quarter to $20.0 million. The increase in core pawn revenue attributable to same store and new stores added since the prior-year quarter in addition to change in pawn loan originations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6"/>
              </w:rPr>
              <w:t>Current Quarter from Prior-Year Quarter Change in Core Pawn Revenue</w:t>
            </w: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7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Change in Pawn Loan</w:t>
            </w:r>
          </w:p>
        </w:tc>
        <w:tc>
          <w:tcPr>
            <w:tcW w:w="158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7"/>
              </w:rPr>
              <w:t>Pawn Service Charges</w:t>
            </w:r>
          </w:p>
        </w:tc>
        <w:tc>
          <w:tcPr>
            <w:tcW w:w="120" w:type="dxa"/>
            <w:vAlign w:val="bottom"/>
            <w:vMerge w:val="restart"/>
          </w:tcPr>
          <w:p>
            <w:pPr>
              <w:spacing w:after="0"/>
              <w:rPr>
                <w:sz w:val="12"/>
                <w:szCs w:val="12"/>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Originations</w:t>
            </w:r>
          </w:p>
        </w:tc>
        <w:tc>
          <w:tcPr>
            <w:tcW w:w="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gridSpan w:val="3"/>
          </w:tcPr>
          <w:p>
            <w:pPr>
              <w:jc w:val="right"/>
              <w:ind w:right="376"/>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000" w:type="dxa"/>
            <w:vAlign w:val="bottom"/>
          </w:tcPr>
          <w:p>
            <w:pPr>
              <w:ind w:left="20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Pawn service charges increased 22% from the prior-year quarter driven by an increase in average monthly ending pawn loans outstanding of 29%, partially offset by the annualized average yield decreasing to 194% from 199% in the prior-year quarter.</w:t>
      </w:r>
    </w:p>
    <w:p>
      <w:pPr>
        <w:spacing w:after="0" w:line="11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Gross margin on merchandise sales increased to 35% from 31% in the prior-year quarter as a result of liquidating aged inventory during fiscal 2015. We reduced total aged inventory to 3% from 16%, comprised of a reduction of aged general merchandise inventory to 4% from 16% and a reduction of aged jewelry inventory to a nominal amount from 15% in the prior-year quarter.</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segment expenses increased to $15.0 million (50% of revenues) in the current quarter from $12.5 million (43% of revenues) in the prior-year quarter primarily due to:</w:t>
      </w:r>
    </w:p>
    <w:p>
      <w:pPr>
        <w:spacing w:after="0" w:line="1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$1.0 million increase in labor and related expenses from short-term incentive bonuses in-line with the overall increase in net revenues;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$0.5 million increase in marketing expenses as a result of growth initiatives; and</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$0.4 million in wind downs of restructuring expense for certain costs that were expensed in the current quarter relative to services being performed related to our fiscal 2015 restructuring plan aimed to streamline our structure and operating model to improve overall efficiency and reduce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table below presents selected summary financial data from continuing operations for the Grupo Finmart segment, including constant currency results, after translation to U.S. dollars from its functional currency of the Mexican peso. See “Results of Operations — Non-GAAP Financial Information” above.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4"/>
              </w:rPr>
              <w:t>Three Months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340" w:type="dxa"/>
            <w:vAlign w:val="bottom"/>
          </w:tcPr>
          <w:p>
            <w:pPr>
              <w:spacing w:after="0"/>
              <w:rPr>
                <w:sz w:val="13"/>
                <w:szCs w:val="13"/>
                <w:color w:val="auto"/>
              </w:rPr>
            </w:pPr>
          </w:p>
        </w:tc>
        <w:tc>
          <w:tcPr>
            <w:tcW w:w="8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10,814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13,070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16,315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10,897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16,371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11,991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14,493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7,740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8,631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(b)</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(16,901)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(19,500)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(8,197)</w:t>
            </w:r>
          </w:p>
        </w:tc>
        <w:tc>
          <w:tcPr>
            <w:tcW w:w="120" w:type="dxa"/>
            <w:vAlign w:val="bottom"/>
            <w:tcBorders>
              <w:bottom w:val="single" w:sz="8" w:color="CCEEFF"/>
            </w:tcBorders>
          </w:tcPr>
          <w:p>
            <w:pPr>
              <w:spacing w:after="0"/>
              <w:rPr>
                <w:sz w:val="24"/>
                <w:szCs w:val="24"/>
                <w:color w:val="auto"/>
              </w:rPr>
            </w:pPr>
          </w:p>
        </w:tc>
        <w:tc>
          <w:tcPr>
            <w:tcW w:w="1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7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Net earning assets —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119,475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115,186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15,970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19,302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21,897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gross average consumer loan balance (d)</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36"/>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120" w:hanging="465"/>
        <w:spacing w:after="0" w:line="281" w:lineRule="auto"/>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three-month period ended December 31, 2015 constant currency balance excludes a $0.8 million of net foreign currency transaction losses resulting from movement in exchange rates. The net foreign currency transaction losses for the three-month period ended December 31, 2014 were $0.2 million and are not excluded from the above results.</w:t>
      </w:r>
    </w:p>
    <w:p>
      <w:pPr>
        <w:ind w:left="500" w:hanging="465"/>
        <w:spacing w:after="0" w:line="184" w:lineRule="auto"/>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500" w:right="320" w:hanging="465"/>
        <w:spacing w:after="0" w:line="190" w:lineRule="auto"/>
        <w:tabs>
          <w:tab w:leader="none" w:pos="500" w:val="left"/>
        </w:tabs>
        <w:numPr>
          <w:ilvl w:val="0"/>
          <w:numId w:val="36"/>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spacing w:after="0" w:line="16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December 31, 2015 and 2014 we owned a 94% and 76% controlling interest, respectively, in Grupo Finmart. The results presented above and discussed below include the noncontrolling interest portion of Grupo Finmart’s segment loss.</w:t>
      </w:r>
    </w:p>
    <w:p>
      <w:pPr>
        <w:spacing w:after="0" w:line="12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Total revenues decreased $3.2 million, or 20%, from the prior-year quarter to $13.2 million. This decrease is inclusive of a $6.8 million in reversal of previously accrued interest as a result of reclassification of loans from performing to non-performing during the current quarter. Consumer loan bad debt increased $6.8 million from the prior-year quarter to $14.5 million. The overall decrease in net revenue was as a result of delays in collections. Grupo Finmart’s non-performing loans represented 34% of its overall portfolio as of December 31, 2015, a 19% increase from September 30, 2015. A majority of the delays in payment during the quarter are expected to be recovered in future periods.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analyzes cost recovery of our non-performing loan balance of $55.9 million as of December 31, 2015 in two buckets:</w:t>
      </w:r>
    </w:p>
    <w:p>
      <w:pPr>
        <w:spacing w:after="0" w:line="171" w:lineRule="exact"/>
        <w:rPr>
          <w:sz w:val="20"/>
          <w:szCs w:val="20"/>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75% related to delays in timing of cash receipts pertaining to "in-payroll" loans that were caused to be reserved as a result of our accounting policies;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 attributable to “out-of-payroll” loans, in which no significant future collections from employees are expected.</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segment expenses increased to $18.2 million (138% of revenues) in the current quarter from $16.8 million (103% of revenues) in the prior-year quarter primarily due to:</w:t>
      </w:r>
    </w:p>
    <w:p>
      <w:pPr>
        <w:spacing w:after="0" w:line="116" w:lineRule="exact"/>
        <w:rPr>
          <w:sz w:val="20"/>
          <w:szCs w:val="20"/>
          <w:color w:val="auto"/>
        </w:rPr>
      </w:pPr>
    </w:p>
    <w:p>
      <w:pPr>
        <w:ind w:left="660" w:right="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$3.3 million, or 40%, increase in operations expense primarily attributable to a $2.2 million increase in deferred commissions in addition to a $0.9 million increase in labor and related expenses associated with strengthening of the executive team and talent acquisition; partially offset by</w:t>
      </w:r>
    </w:p>
    <w:p>
      <w:pPr>
        <w:spacing w:after="0" w:line="69"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$2.2 million, or 26%, decrease in interest expense due to a decrease in weighted-average debt outstanding during the current quarter as compared to the prior-year quarter.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Initiatives have been implemented at Grupo Finmart to drive long-term value and reduce bad debt. We have further initiated a strategic review of the Grupo Finmart segment and are currently reviewing all alternatives to maximize long-term shareholder value. We anticipate that this review will be completed by the third quarter of fiscal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2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cost of goods sold</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Jewelry scrapping cost of goods sold</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Segment contribution from the Other International segment decreased $0.3 million, or 10%, from the prior-year quarter to $2.3 million in the current quarter, primarily due to a decrease in merchandise sales gross profit of $0.2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6,877</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 increased $8.4 million, or 44%, primarily due to:</w:t>
      </w:r>
    </w:p>
    <w:p>
      <w:pPr>
        <w:spacing w:after="0" w:line="171" w:lineRule="exact"/>
        <w:rPr>
          <w:sz w:val="20"/>
          <w:szCs w:val="20"/>
          <w:color w:val="auto"/>
        </w:rPr>
      </w:pPr>
    </w:p>
    <w:p>
      <w:pPr>
        <w:ind w:left="660" w:right="120" w:hanging="328"/>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$7.4 million, or 59%, increase in administrative expense due to a $3.8 million increase in labor expenses and associated costs and a $3.5 million increase in legal and professional fees from the prior-year quarter. The increase in labor expenses and associated costs is primarily attributable to a $2.6 million increase in stock compensation due to the timing of reversal of compensation costs in the prior-year quarter as a result of forfeitures, in addition to other smaller items. The increase in professional fees is primarily associated with the restatement of previously-issued financial statements that we finalized during the current quarter.</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decreased $7.0 million to a $3.7 million benefit in the current quarter, primarily due to an $11.7 million loss from continuing operations before income taxes in the current quarter as compared to income from continuing operations before income taxes of $6.1 million in the prior-year quarter. The effective tax rate from continuing operations for the three-month period ended December 31, 2015 was 32% compared to 54% for the three-month period ended December 31, 2014.</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decrease in (loss) income from discontinued operations, net of tax, was due to substantial exit of our U.S. financial services business during the fourth quarter of fiscal 2015 resulting in minimal activity during the current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27,428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22,274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flows from net (loss) income exclusive of non-cash items for the three-month period ended December 31, 2015 were $10.7 million. We further had net payments of $10.3 million pertaining to working capital items, primarily paydowns of accounts payable and other accrued expenses, in addition to $4.9 million in restructuring payments. The net result of these cash flows was $4.5 million of cash used in operating activities for the three-month period ended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the Current Quarter Compared to the Prior-Year Quarter</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cash flows from operating activities was primarily due to a $19.2 million decrease in net (loss) income exclusive of non-cash items, a $2.7 million increase in restructuring payments and a $2.4 million decrease in dividends from unconsolidated affiliates, partially offset by a $14.3 million increase from changes in operating assets and liabilities.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decrease in cash flows from investing activities was primarily due to a $21.1 million net decrease in proceeds related to loan activities (net loans repaid and recovery of pawn loan principal through sale of forfeited collateral), partially offset by a $12.1 million decrease in investments in unconsolidated affiliate and a $7.8 million decrease in additions to property and equipment.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cash flows from financing activities was primarily due to a $47.0 million net decrease in our receipts/payments on outstanding Grupo Finmart bank borrowings, a $2.9 million increase in payout of deferred and contingent consideration and a $0.5 million decrease in restricted cash, partially offset by a $1.2 million increase in proceeds from settlement of forward currency contracts.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debt and capital lease obligations outstanding decreased by $92.6 million, or 21%, to $357.1 million as compared to the prior-year quarter. Grupo Finmart received proceeds of $3.6 million from settlement of remaining foreign currency forwards attributable to the cross-border 8.5% unsecured notes due 2015 which were repaid during the three-month period ended December 31, 2015, which nominally increased our exposure to foreign currency rate movements.</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net effect of these and other smaller items was a $36.3 million decrease in cash on hand, providing a $22.8 million ending cash balance, $7.4 million of which was held by foreign subsidiaries and is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"Part II, Item 7 — Management's Discussion and Analysis of Financial Condition and Results of Operations " of our Annual Report on Form 10-K for the year ended September 30, 2015, we reported that we had $742.1 million in total contractual obligations as of September 30, 2015. There have been no material changes to this total obligation during the current three-month period ended December 31, 2015, other than ordinary fulfillment of obligations in addition to the remaining accrual of $7.5 million associated with the settlement of outstanding issues with the U.S. Consumer Financial Protection Bureau </w:t>
      </w:r>
      <w:r>
        <w:rPr>
          <w:rFonts w:ascii="Arial" w:cs="Arial" w:eastAsia="Arial" w:hAnsi="Arial"/>
          <w:sz w:val="17"/>
          <w:szCs w:val="17"/>
          <w:color w:val="252525"/>
        </w:rPr>
        <w:t>as</w:t>
      </w:r>
      <w:r>
        <w:rPr>
          <w:rFonts w:ascii="Arial" w:cs="Arial" w:eastAsia="Arial" w:hAnsi="Arial"/>
          <w:sz w:val="17"/>
          <w:szCs w:val="17"/>
          <w:color w:val="auto"/>
        </w:rPr>
        <w:t xml:space="preserve"> </w:t>
      </w:r>
      <w:r>
        <w:rPr>
          <w:rFonts w:ascii="Arial" w:cs="Arial" w:eastAsia="Arial" w:hAnsi="Arial"/>
          <w:sz w:val="17"/>
          <w:szCs w:val="17"/>
          <w:color w:val="252525"/>
        </w:rPr>
        <w:t>described in Note 2 of Notes to Interim Condensed Financial Statements included in "Part I, Item 1 — Financial Statements."</w:t>
      </w:r>
    </w:p>
    <w:p>
      <w:pPr>
        <w:spacing w:after="0" w:line="1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2015, these collectively amounted to $25.1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Under the terms of the transaction, on the first anniversary of the closing date, the Sellers have the right to require us to repurchase the Shares for an aggregate price of $11.8 million (the "Put Option"). The Sellers may terminate the Put Option, in whole or in part, at any time. As of December 31, 2015, the Sellers had not terminated the Put Option in whole or in part, and since then, the Sellers have notified us that they intend to exercise the Put Option on the first anniversary date (February 19, 2016). We will be required to pay the cash to the Sellers within 20 days after they formally exercise the Put Option.</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As of December 31, 2015, the Cash Convertible Notes were not convertible because the </w:t>
      </w:r>
      <w:r>
        <w:rPr>
          <w:rFonts w:ascii="Arial" w:cs="Arial" w:eastAsia="Arial" w:hAnsi="Arial"/>
          <w:sz w:val="18"/>
          <w:szCs w:val="18"/>
          <w:color w:val="252525"/>
        </w:rPr>
        <w:t>conversion conditions</w:t>
      </w:r>
      <w:r>
        <w:rPr>
          <w:rFonts w:ascii="Arial" w:cs="Arial" w:eastAsia="Arial" w:hAnsi="Arial"/>
          <w:sz w:val="18"/>
          <w:szCs w:val="18"/>
          <w:color w:val="auto"/>
        </w:rPr>
        <w:t xml:space="preserve"> have not been met. Accordingly, the net balance of the Cash Convertible Notes of $190.1 million was classified as a non-current liability on our condensed consolidated balance sheets as of December 31, 2015.</w:t>
      </w:r>
    </w:p>
    <w:p>
      <w:pPr>
        <w:spacing w:after="0" w:line="12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 an additional description of the Cash Convertible Notes, the conversion terms thereof and the hedges and warrants transactions, see Note 5 of Notes to Interim Condensed Consolidated Financial Statements included in "Part I, Item 1 — Financial Statements." See also "Part II, Item 1A — Risk Factors."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xml:space="preserve">, we paid $3.0 million of $10.5 million accrued associated with the settlement of outstanding issues with the U.S. Consumer Financial Protection Bureau </w:t>
      </w:r>
      <w:r>
        <w:rPr>
          <w:rFonts w:ascii="Arial" w:cs="Arial" w:eastAsia="Arial" w:hAnsi="Arial"/>
          <w:sz w:val="18"/>
          <w:szCs w:val="18"/>
          <w:color w:val="252525"/>
        </w:rPr>
        <w:t>as described in Note 2 of Notes to Interim Condensed Financial Statements included in "Part I, Item 1 —</w:t>
      </w:r>
      <w:r>
        <w:rPr>
          <w:rFonts w:ascii="Arial" w:cs="Arial" w:eastAsia="Arial" w:hAnsi="Arial"/>
          <w:sz w:val="18"/>
          <w:szCs w:val="18"/>
          <w:color w:val="auto"/>
        </w:rPr>
        <w:t xml:space="preserve"> </w:t>
      </w:r>
      <w:r>
        <w:rPr>
          <w:rFonts w:ascii="Arial" w:cs="Arial" w:eastAsia="Arial" w:hAnsi="Arial"/>
          <w:sz w:val="18"/>
          <w:szCs w:val="18"/>
          <w:color w:val="252525"/>
        </w:rPr>
        <w:t>Financial Statements."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Grupo Finmart issued $6.1 million of 13.5% unsecured notes due September 2016, $6.1 million of 18% unsecured notes due September 2016 and $2.3 million of 20% unsecured notes due March 2016.</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Grupo Finmart repaid the remaining $12.3 million 8.5% unsecured notes due 2015, $1.5 million 10% unsecured notes due 2015, $3.9 million 11% unsecured notes due 2015 and $1.2 million 13% unsecured notes due 2016 outstanding as of September 30, 2015.</w:t>
      </w:r>
    </w:p>
    <w:p>
      <w:pPr>
        <w:spacing w:after="0" w:line="1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During the three-month period ended </w:t>
      </w:r>
      <w:r>
        <w:rPr>
          <w:rFonts w:ascii="Arial" w:cs="Arial" w:eastAsia="Arial" w:hAnsi="Arial"/>
          <w:sz w:val="18"/>
          <w:szCs w:val="18"/>
          <w:color w:val="252525"/>
        </w:rPr>
        <w:t>December 31, 2015</w:t>
      </w:r>
      <w:r>
        <w:rPr>
          <w:rFonts w:ascii="Arial" w:cs="Arial" w:eastAsia="Arial" w:hAnsi="Arial"/>
          <w:sz w:val="18"/>
          <w:szCs w:val="18"/>
          <w:color w:val="auto"/>
        </w:rPr>
        <w:t>, the VIEs repaid a net $11.8 million, including the impact of foreign exchange effects, of its consolidated notes outstanding as of September 30,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anticipate that cash flow from operations and our cash on hand will be adequate to fund our contractual obligations, planned capital expenditures and working capital requirements during the remainder of the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result of exiting USFS, our off-balance sheet arrangements discussed in "Part II, Item 7 — Management's Discussion and Analysis of Financial Condition and Results of Operations" of our Annual Report on Form 10-K for the year ended September 30, 2015 have been substantially eliminated as of December 31,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"Part II, Item 8 — Financial Statements and Supplementary Data" of our Annual Report on Form 10-K for the year ended September 30, 2015, we disclosed certain critical accounting policies, including Grupo Finmart revenue recognition, bad debt and allowance for losses, as well as goodwill and other intangible assets. The following provides supplementary discussion of those accounting policies during the current quarter.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Finmart Revenue Recognition for Long-Term Unsecured Consumer Loan Revenue and Bad Debt Allowance for Losses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current quarter we became aware of processing and timing delays from certain agencies in remitting cash to Grupo Finmart. We do not believe this will have a significant impact upon ultimate cash collection. We are evaluating the collectability of all Grupo Finmart convenios to ensure timely future receipt of cash. Any future cash collections for loans that are currently non-performing will be accounted for under the cost recovery method.</w:t>
      </w:r>
    </w:p>
    <w:p>
      <w:pPr>
        <w:spacing w:after="0" w:line="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allowance recorded on Grupo Finmart performing loans as of December 31, 2015 was 5%. We continue to monitor collections and may revise our reserve rate on performing loans in future reporting periods as a result of additional information that becomes known.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current quarter, we continued to experience a decline in share price which reduced our overall market capitalization. We reviewed our calculated enterprise fair value, used during our annual goodwill impairment assessment as of September 30, 2015, to market capitalization reconciliation as of December 31, 2015. Given the substantial decline in share price during the current quarter, we considered both the market capitalization calculated using the ending share price as of December 31, 2015 multiplied by the number of shares outstanding as of December 31, 2015, in addition to the market capitalization calculated using the 90-day average share price for the current quarter multiplied by the average number of shares outstanding during the current quarter. In reviewing these reconciliations of enterprise fair value to market capitalization, we noted that the implied control premium remained within what we consider to be a reasonable range. As such, we have not performed an interim goodwill impairment assessment. We continue to evaluate future declines in stock price in addition to other factors including those in FASB ASC 350-20-35-3C to determine whether goodwill shall be tested for impairment based on changes in events or circumstances that would more likely than not reduce the fair value of our reporting units below their carrying amounts.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2015, supplemented by those described in "Part II, Item 1A — Risk Factors" of this Quarterly Report.</w:t>
      </w:r>
    </w:p>
    <w:p>
      <w:pPr>
        <w:spacing w:after="0" w:line="1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2015. There have been no material changes to our exposure to market risks since September 30,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preparation of this Quarterly Report, our management, under the supervision and with the participation of our Chief Executive Officer and Chief Financial Officer, evaluated the effectiveness of the design and operation of our disclosure controls and procedures as of December 31, 2015. Based on that evaluation, our Chief Executive Officer and Chief Financial Officer concluded that our disclosure controls and procedures were not effective as of December 31, 2015 due to the existence of the material weaknesses in internal control over financial reporting described below (which we view as an integral part of our disclosure controls and procedures). Based on the performance of additional procedures designed to ensure the reliability of our financial reporting, we believe that the condensed consolidated financial statements included in this Quarterly Report fairly present, in all material respects, our financial position, results of operations and cash flows as of the dates, and for the periods, presented, in conformity with U.S. GAAP.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our Annual Report on Form 10-K for the year ended September 30, 2015, our management, under the supervision and with the participation of our current Chief Executive Officer and Chief Financial Officer, evaluated the effectiveness of our internal control over financial reporting as of September 30, 2015, and concluded that we did not maintain effective internal control over financial reporting as of September 30, 2015 due to the identification of material weaknesses.</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Management identified a number of deficiencies in the design and operating effectiveness of the Company’s internal controls as of September 30, 2015 that represent material weaknesses in our internal control over financial reporting. These deficiencies are the result of management’s failure to design, implement and maintain adequate operational and internal controls and processes to (1) identify complex transactions requiring specialized accounting expertise and other financial reporting requirements, (2) monitor and report the performance of the Grupo Finmart loan portfolio, and (3) identify various accounting errors (including errors in accounting for income taxes, stock-based compensation, restructuring and other less material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Management is in the process of designing and implementing remediation efforts intended to address the material weaknesses described above. These remediation efforts are focused on:</w:t>
      </w:r>
    </w:p>
    <w:p>
      <w:pPr>
        <w:spacing w:after="0" w:line="11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and hiring additional internal resources in both Corporate Accounting and Grupo Finmart;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Improving the organizational structure to provide more direct management oversight for Grupo Finmart;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Enhancing the overall control environment within both EZCORP and Grupo Finmart.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Management, under the supervision of the Audit Committee, is developing a comprehensive remediation plan, including a detailed plan and timetable for implementation, and reports regularly to the Audit Committee regarding the status of the implementation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2015 that have materially affected or are reasonably likely to materially affect our internal control over financial reporting, other than the effects of the remediation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60" w:hanging="325"/>
        <w:spacing w:after="0" w:line="27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320" w:hanging="325"/>
        <w:spacing w:after="0" w:line="27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60" w:hanging="325"/>
        <w:spacing w:after="0"/>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7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2015, as supplemented by the information set forth below. These factors are further supplemented by those discussed in “Part I, Item 3 — Quantitative and Qualitative Disclosures about Market Risk” and "Part II, Item 1 — Legal Proceedings" of this Quarterly Report.</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252525"/>
        </w:rPr>
        <w:t xml:space="preserve">Our financial position and liquidity could be adversely affected by Grupo Finmart's liquidity needs — </w:t>
      </w:r>
      <w:r>
        <w:rPr>
          <w:rFonts w:ascii="Arial" w:cs="Arial" w:eastAsia="Arial" w:hAnsi="Arial"/>
          <w:sz w:val="17"/>
          <w:szCs w:val="17"/>
          <w:color w:val="252525"/>
        </w:rPr>
        <w:t>Under the Indenture governing our Cash Convertible</w:t>
      </w:r>
      <w:r>
        <w:rPr>
          <w:rFonts w:ascii="Arial" w:cs="Arial" w:eastAsia="Arial" w:hAnsi="Arial"/>
          <w:sz w:val="17"/>
          <w:szCs w:val="17"/>
          <w:b w:val="1"/>
          <w:bCs w:val="1"/>
          <w:i w:val="1"/>
          <w:iCs w:val="1"/>
          <w:color w:val="252525"/>
        </w:rPr>
        <w:t xml:space="preserve"> </w:t>
      </w:r>
      <w:r>
        <w:rPr>
          <w:rFonts w:ascii="Arial" w:cs="Arial" w:eastAsia="Arial" w:hAnsi="Arial"/>
          <w:sz w:val="17"/>
          <w:szCs w:val="17"/>
          <w:color w:val="252525"/>
        </w:rPr>
        <w:t>Notes, events of default with respect to the Cash Convertible Notes include a default by us or any of our subsidiaries (including Grupo Finmart) on more than $25 million of indebtedness for money borrowed if that default (a) results in such indebtedness becoming or being declared due and payable or (b) constitutes a failure to pay principal when due and payable and, in either such case, the acceleration is not rescinded, the failure to pay is not cured or the indebtedness is not repaid or discharged within 30 days. Indebtedness for this purpose would include debt that, by its terms, is non-recourse to EZCORP. It is not clear whether "indebtedness for money borrowed" would include debt issued by our consolidated VIEs, as described in Note 5 of Notes to Interim Condensed Financial Statements included in "Part I, Item 1 — Financial Statements."</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252525"/>
        </w:rPr>
        <w:t>As discussed in Notes 11 and 12 of Notes to Interim Condensed Financial Statements included in "Part I, Item 1 — Financial Statements," Grupo Finmart has entered into certain foreign currency forward contracts in connection with the formation of the VIEs and the related transfers of certain loans. EZCORP has guaranteed the future cash outflows of the forward contracts, and those future cash outflows currently total $47.3 million.</w:t>
      </w:r>
    </w:p>
    <w:p>
      <w:pPr>
        <w:spacing w:after="0" w:line="1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252525"/>
        </w:rPr>
        <w:t>Although we currently expect that that Grupo Finmart will have sufficient liquidity to provide for its outstanding indebtedness and obligations when due, any default by Grupo Finmart, even on debt that is non-recourse to EZCORP, could adversely affect our consolidated financial position and liquidity.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31.1*</w:t>
            </w:r>
          </w:p>
        </w:tc>
        <w:tc>
          <w:tcPr>
            <w:tcW w:w="12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Certification of Stuart I. Grimshaw, Chief Executive Officer, pursuant to Rule 13a-14(a) under the Securities Exchange Act of 1934, as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Certification of Mark S. Ashby, Chief Financial Officer, pursuant to Rule 13a-14(a) under the Securities Exchange Act of 1934,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 Section</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101.SCH***</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101.LAB***</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101.PRE***</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465"/>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00" w:hanging="465"/>
        <w:spacing w:after="0" w:line="297"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2015, December 31, 2014 and September 30, 2015; (ii) Condensed Consolidated Statements of Operations for the three-months ended December 31, 2015 and December 31, 2014; (iii) Condensed Consolidated Statements of Comprehensive Loss for the three-months ended December 31, 2015 and December 31, 2014 (iv) Condensed Consolidated Statements of Cash Flows for the three-months ended December 31, 2015 and December 31, 2014; and (v) Notes to Interim Condensed Consolidated Financial Statements.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22" w:right="3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February 8, 2016</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122" w:right="4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31.1*</w:t>
            </w:r>
          </w:p>
        </w:tc>
        <w:tc>
          <w:tcPr>
            <w:tcW w:w="12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Certification of Stuart I. Grimshaw, Chief Executive Officer, pursuant to Rule 13a-14(a) under the Securities Exchange Act of 1934, as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Certification of Mark S. Ashby, Chief Financial Officer, pursuant to Rule 13a-14(a) under the Securities Exchange Act of 1934,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 Section</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101.SCH***</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101.LAB***</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43"/>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101.PRE***</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20" w:hanging="458"/>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20" w:hanging="458"/>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20" w:right="100" w:hanging="458"/>
        <w:spacing w:after="0" w:line="297"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2015, December 31, 2014 and September 30, 2015; (ii) Condensed Consolidated Statements of Operations for the three-months ended December 31, 2015 and December 31, 2014; (iii) Condensed Consolidated Statements of Comprehensive Loss for the three-months ended December 31, 2015 and December 31, 2014 (iv) Condensed Consolidated Statements of Cash Flows for the three-months ended December 31, 2015 and December 31, 2014;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8, 2016</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8, 2016</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Certifications of Stuart I. Grimshaw, Chief Executive Officer, and Mark S. Ashby,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December 31, 2015,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February 8, 2016</w:t>
      </w:r>
      <w:r>
        <w:rPr>
          <w:sz w:val="20"/>
          <w:szCs w:val="20"/>
          <w:color w:val="auto"/>
        </w:rPr>
        <w:tab/>
      </w: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February 8, 2016</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3"/>
    </w:lvl>
  </w:abstractNum>
  <w:abstractNum w:abstractNumId="6">
    <w:nsid w:val="8138641"/>
    <w:multiLevelType w:val="hybridMultilevel"/>
    <w:lvl w:ilvl="0">
      <w:lvlJc w:val="left"/>
      <w:lvlText w:val="(%1)"/>
      <w:numFmt w:val="decimal"/>
      <w:start w:val="3"/>
    </w:lvl>
    <w:lvl w:ilvl="1">
      <w:lvlJc w:val="left"/>
      <w:lvlText w:val="*"/>
      <w:numFmt w:val="bullet"/>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
      <w:numFmt w:val="bullet"/>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emdash "/>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2020-01-19T13:17:35Z</dcterms:created>
  <dcterms:modified xsi:type="dcterms:W3CDTF">2020-01-19T13:17:35Z</dcterms:modified>
</cp:coreProperties>
</file>