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953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5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Croney Michael James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5,515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2028, with 80% being subject to the attainment of specified performance goals in addition to continued employment, and the remaining 20% being subject to continued employment only.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2025. However, no consideration was paid for the award other than services rendered and to be rendered by the Reporting Person.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Carrie Putnam, by POA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from Michael James Croney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80116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2025-11-13T09:14:49Z</dcterms:created>
  <dcterms:modified xsi:type="dcterms:W3CDTF">2025-11-13T09:14:49Z</dcterms:modified>
</cp:coreProperties>
</file>