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60" w:after="60"/>
        <w:jc w:val="center"/>
        <w:rPr>
          <w:rFonts w:ascii="Arial Narrow;sans-serif" w:hAnsi="Arial Narrow;sans-serif"/>
          <w:b/>
          <w:color w:val="000000"/>
          <w:sz w:val="28"/>
        </w:rPr>
      </w:pPr>
      <w:r>
        <w:rPr>
          <w:rFonts w:ascii="Arial Narrow;sans-serif" w:hAnsi="Arial Narrow;sans-serif"/>
          <w:b/>
          <w:color w:val="000000"/>
          <w:sz w:val="28"/>
        </w:rPr>
        <w:t>UNITED STATES</w:t>
      </w:r>
    </w:p>
    <w:p>
      <w:pPr>
        <w:pStyle w:val="TextBody"/>
        <w:spacing w:lineRule="auto" w:line="288" w:before="60" w:after="60"/>
        <w:jc w:val="center"/>
        <w:rPr>
          <w:rFonts w:ascii="Arial Narrow;sans-serif" w:hAnsi="Arial Narrow;sans-serif"/>
          <w:b/>
          <w:color w:val="000000"/>
          <w:sz w:val="28"/>
        </w:rPr>
      </w:pPr>
      <w:r>
        <w:rPr>
          <w:rFonts w:ascii="Arial Narrow;sans-serif" w:hAnsi="Arial Narrow;sans-serif"/>
          <w:b/>
          <w:color w:val="000000"/>
          <w:sz w:val="28"/>
        </w:rPr>
        <w:t>SECURITIES AND EXCHANGE COMMISSION</w:t>
      </w:r>
    </w:p>
    <w:p>
      <w:pPr>
        <w:pStyle w:val="TextBody"/>
        <w:spacing w:lineRule="auto" w:line="288" w:before="60" w:after="283"/>
        <w:jc w:val="center"/>
        <w:rPr>
          <w:rFonts w:ascii="Arial Narrow;sans-serif" w:hAnsi="Arial Narrow;sans-serif"/>
          <w:b/>
          <w:color w:val="000000"/>
          <w:sz w:val="24"/>
        </w:rPr>
      </w:pPr>
      <w:r>
        <w:rPr>
          <w:rFonts w:ascii="Arial Narrow;sans-serif" w:hAnsi="Arial Narrow;sans-serif"/>
          <w:b/>
          <w:color w:val="000000"/>
          <w:sz w:val="24"/>
        </w:rPr>
        <w:t>WASHINGTON, DC 20549</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center"/>
        <w:rPr>
          <w:rFonts w:ascii="Arial Narrow;sans-serif" w:hAnsi="Arial Narrow;sans-serif"/>
          <w:b/>
          <w:color w:val="000000"/>
          <w:sz w:val="28"/>
        </w:rPr>
      </w:pPr>
      <w:r>
        <w:rPr>
          <w:rFonts w:ascii="Arial Narrow;sans-serif" w:hAnsi="Arial Narrow;sans-serif"/>
          <w:b/>
          <w:color w:val="000000"/>
          <w:sz w:val="28"/>
        </w:rPr>
        <w:t xml:space="preserve">FORM 10-Q </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8877" w:type="dxa"/>
        <w:jc w:val="center"/>
        <w:tblInd w:w="0" w:type="dxa"/>
        <w:tblCellMar>
          <w:top w:w="28" w:type="dxa"/>
          <w:left w:w="28" w:type="dxa"/>
          <w:bottom w:w="28" w:type="dxa"/>
          <w:right w:w="28" w:type="dxa"/>
        </w:tblCellMar>
      </w:tblPr>
      <w:tblGrid>
        <w:gridCol w:w="124"/>
        <w:gridCol w:w="109"/>
        <w:gridCol w:w="109"/>
        <w:gridCol w:w="2500"/>
        <w:gridCol w:w="2500"/>
        <w:gridCol w:w="353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0" w:type="dxa"/>
            <w:tcBorders/>
            <w:shd w:fill="auto" w:val="clear"/>
            <w:vAlign w:val="center"/>
          </w:tcPr>
          <w:p>
            <w:pPr>
              <w:pStyle w:val="TableContents"/>
              <w:spacing w:before="0" w:after="283"/>
              <w:rPr>
                <w:sz w:val="4"/>
                <w:szCs w:val="4"/>
              </w:rPr>
            </w:pPr>
            <w:r>
              <w:rPr>
                <w:sz w:val="4"/>
                <w:szCs w:val="4"/>
              </w:rPr>
            </w:r>
          </w:p>
        </w:tc>
        <w:tc>
          <w:tcPr>
            <w:tcW w:w="2500" w:type="dxa"/>
            <w:tcBorders/>
            <w:shd w:fill="auto" w:val="clear"/>
            <w:vAlign w:val="center"/>
          </w:tcPr>
          <w:p>
            <w:pPr>
              <w:pStyle w:val="TableContents"/>
              <w:spacing w:before="0" w:after="283"/>
              <w:rPr>
                <w:sz w:val="4"/>
                <w:szCs w:val="4"/>
              </w:rPr>
            </w:pPr>
            <w:r>
              <w:rPr>
                <w:sz w:val="4"/>
                <w:szCs w:val="4"/>
              </w:rPr>
            </w:r>
          </w:p>
        </w:tc>
        <w:tc>
          <w:tcPr>
            <w:tcW w:w="353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QUARTERLY REPORT PURSUANT TO SECTION 13 OR 15(d) OF THE SECURITIES EXCHANGE ACT OF 1934</w:t>
            </w:r>
          </w:p>
        </w:tc>
      </w:tr>
    </w:tbl>
    <w:p>
      <w:pPr>
        <w:pStyle w:val="TextBody"/>
        <w:spacing w:lineRule="auto" w:line="288" w:before="0" w:after="120"/>
        <w:jc w:val="center"/>
        <w:rPr>
          <w:rFonts w:ascii="Arial Narrow;sans-serif" w:hAnsi="Arial Narrow;sans-serif"/>
          <w:b/>
          <w:color w:val="000000"/>
          <w:sz w:val="20"/>
        </w:rPr>
      </w:pPr>
      <w:r>
        <w:rPr>
          <w:rFonts w:ascii="Arial Narrow;sans-serif" w:hAnsi="Arial Narrow;sans-serif"/>
          <w:b/>
          <w:color w:val="000000"/>
          <w:sz w:val="20"/>
        </w:rPr>
        <w:t xml:space="preserve">For the quarterly period ended March 31, 2023 or </w:t>
      </w:r>
    </w:p>
    <w:tbl>
      <w:tblPr>
        <w:tblW w:w="8862" w:type="dxa"/>
        <w:jc w:val="center"/>
        <w:tblInd w:w="0" w:type="dxa"/>
        <w:tblCellMar>
          <w:top w:w="28" w:type="dxa"/>
          <w:left w:w="28" w:type="dxa"/>
          <w:bottom w:w="28" w:type="dxa"/>
          <w:right w:w="28" w:type="dxa"/>
        </w:tblCellMar>
      </w:tblPr>
      <w:tblGrid>
        <w:gridCol w:w="124"/>
        <w:gridCol w:w="109"/>
        <w:gridCol w:w="109"/>
        <w:gridCol w:w="2491"/>
        <w:gridCol w:w="2491"/>
        <w:gridCol w:w="353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1" w:type="dxa"/>
            <w:tcBorders/>
            <w:shd w:fill="auto" w:val="clear"/>
            <w:vAlign w:val="center"/>
          </w:tcPr>
          <w:p>
            <w:pPr>
              <w:pStyle w:val="TableContents"/>
              <w:spacing w:before="0" w:after="283"/>
              <w:rPr>
                <w:sz w:val="4"/>
                <w:szCs w:val="4"/>
              </w:rPr>
            </w:pPr>
            <w:r>
              <w:rPr>
                <w:sz w:val="4"/>
                <w:szCs w:val="4"/>
              </w:rPr>
            </w:r>
          </w:p>
        </w:tc>
        <w:tc>
          <w:tcPr>
            <w:tcW w:w="2491" w:type="dxa"/>
            <w:tcBorders/>
            <w:shd w:fill="auto" w:val="clear"/>
            <w:vAlign w:val="center"/>
          </w:tcPr>
          <w:p>
            <w:pPr>
              <w:pStyle w:val="TableContents"/>
              <w:spacing w:before="0" w:after="283"/>
              <w:rPr>
                <w:sz w:val="4"/>
                <w:szCs w:val="4"/>
              </w:rPr>
            </w:pPr>
            <w:r>
              <w:rPr>
                <w:sz w:val="4"/>
                <w:szCs w:val="4"/>
              </w:rPr>
            </w:r>
          </w:p>
        </w:tc>
        <w:tc>
          <w:tcPr>
            <w:tcW w:w="353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TRANSITION REPORT PURSUANT TO SECTION 13 OR 15(d) OF THE SECURITIES EXCHANGE ACT OF 1934</w:t>
            </w:r>
          </w:p>
        </w:tc>
      </w:tr>
    </w:tbl>
    <w:p>
      <w:pPr>
        <w:pStyle w:val="TextBody"/>
        <w:spacing w:lineRule="auto" w:line="288" w:before="20" w:after="120"/>
        <w:jc w:val="center"/>
        <w:rPr/>
      </w:pPr>
      <w:r>
        <w:rPr>
          <w:rFonts w:ascii="Arial Narrow;sans-serif" w:hAnsi="Arial Narrow;sans-serif"/>
          <w:b/>
          <w:color w:val="000000"/>
          <w:sz w:val="20"/>
        </w:rPr>
        <w:t xml:space="preserve">For the transition period from </w:t>
      </w:r>
      <w:r>
        <w:rPr>
          <w:color w:val="000000"/>
          <w:u w:val="single"/>
        </w:rPr>
        <w:t>                    </w:t>
      </w:r>
      <w:r>
        <w:rPr>
          <w:color w:val="000000"/>
        </w:rPr>
        <w:t xml:space="preserve"> </w:t>
      </w:r>
      <w:r>
        <w:rPr>
          <w:rFonts w:ascii="Arial Narrow;sans-serif" w:hAnsi="Arial Narrow;sans-serif"/>
          <w:b/>
          <w:color w:val="000000"/>
          <w:sz w:val="20"/>
        </w:rPr>
        <w:t xml:space="preserve">to </w:t>
      </w:r>
      <w:r>
        <w:rPr>
          <w:color w:val="000000"/>
          <w:u w:val="single"/>
        </w:rPr>
        <w:t>                        </w:t>
      </w:r>
    </w:p>
    <w:p>
      <w:pPr>
        <w:pStyle w:val="TextBody"/>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 xml:space="preserve">Commission File No. 0-19424 </w:t>
      </w:r>
    </w:p>
    <w:p>
      <w:pPr>
        <w:pStyle w:val="TextBody"/>
        <w:spacing w:before="0" w:after="120"/>
        <w:jc w:val="center"/>
        <w:rPr/>
      </w:pPr>
      <w:r>
        <w:rPr/>
        <w:drawing>
          <wp:inline distT="0" distB="6350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spacing w:lineRule="auto" w:line="288" w:before="0" w:after="60"/>
        <w:jc w:val="center"/>
        <w:rPr>
          <w:rFonts w:ascii="Arial Narrow;sans-serif" w:hAnsi="Arial Narrow;sans-serif"/>
          <w:b/>
          <w:color w:val="000000"/>
          <w:sz w:val="24"/>
        </w:rPr>
      </w:pPr>
      <w:r>
        <w:rPr>
          <w:rFonts w:ascii="Arial Narrow;sans-serif" w:hAnsi="Arial Narrow;sans-serif"/>
          <w:b/>
          <w:color w:val="000000"/>
          <w:sz w:val="24"/>
        </w:rPr>
        <w:t xml:space="preserve">EZCORP, INC. </w:t>
      </w:r>
    </w:p>
    <w:p>
      <w:pPr>
        <w:pStyle w:val="TextBody"/>
        <w:spacing w:lineRule="auto" w:line="288" w:before="60" w:after="60"/>
        <w:jc w:val="center"/>
        <w:rPr>
          <w:rFonts w:ascii="Arial Narrow;sans-serif" w:hAnsi="Arial Narrow;sans-serif"/>
          <w:b w:val="false"/>
          <w:color w:val="000000"/>
          <w:sz w:val="20"/>
        </w:rPr>
      </w:pPr>
      <w:r>
        <w:rPr>
          <w:rFonts w:ascii="Arial Narrow;sans-serif" w:hAnsi="Arial Narrow;sans-serif"/>
          <w:b w:val="false"/>
          <w:color w:val="000000"/>
          <w:sz w:val="20"/>
        </w:rPr>
        <w:t>(Exact name of registrant as specified in its charter)</w:t>
      </w:r>
    </w:p>
    <w:tbl>
      <w:tblPr>
        <w:tblW w:w="7071" w:type="dxa"/>
        <w:jc w:val="center"/>
        <w:tblInd w:w="0" w:type="dxa"/>
        <w:tblCellMar>
          <w:top w:w="28" w:type="dxa"/>
          <w:left w:w="28" w:type="dxa"/>
          <w:bottom w:w="28" w:type="dxa"/>
          <w:right w:w="28" w:type="dxa"/>
        </w:tblCellMar>
      </w:tblPr>
      <w:tblGrid>
        <w:gridCol w:w="544"/>
        <w:gridCol w:w="478"/>
        <w:gridCol w:w="478"/>
        <w:gridCol w:w="250"/>
        <w:gridCol w:w="250"/>
        <w:gridCol w:w="250"/>
        <w:gridCol w:w="246"/>
        <w:gridCol w:w="246"/>
        <w:gridCol w:w="246"/>
        <w:gridCol w:w="330"/>
        <w:gridCol w:w="330"/>
        <w:gridCol w:w="331"/>
        <w:gridCol w:w="246"/>
        <w:gridCol w:w="246"/>
        <w:gridCol w:w="246"/>
        <w:gridCol w:w="689"/>
        <w:gridCol w:w="689"/>
        <w:gridCol w:w="976"/>
      </w:tblGrid>
      <w:tr>
        <w:trPr/>
        <w:tc>
          <w:tcPr>
            <w:tcW w:w="544"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r>
      <w:tr>
        <w:trPr/>
        <w:tc>
          <w:tcPr>
            <w:tcW w:w="4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Delaware</w:t>
            </w:r>
          </w:p>
        </w:tc>
        <w:tc>
          <w:tcPr>
            <w:tcW w:w="23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74-2540145</w:t>
            </w:r>
          </w:p>
        </w:tc>
      </w:tr>
      <w:tr>
        <w:trPr/>
        <w:tc>
          <w:tcPr>
            <w:tcW w:w="4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 incorporation or organization)</w:t>
            </w:r>
          </w:p>
        </w:tc>
        <w:tc>
          <w:tcPr>
            <w:tcW w:w="23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 Identification No.)</w:t>
            </w:r>
          </w:p>
        </w:tc>
      </w:tr>
      <w:tr>
        <w:trPr/>
        <w:tc>
          <w:tcPr>
            <w:tcW w:w="1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2500 Bee Cave Road</w:t>
            </w:r>
          </w:p>
        </w:tc>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Bldg One</w:t>
            </w:r>
          </w:p>
        </w:tc>
        <w:tc>
          <w:tcPr>
            <w:tcW w:w="7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Suite 200</w:t>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Rollingwood</w:t>
            </w:r>
          </w:p>
        </w:tc>
        <w:tc>
          <w:tcPr>
            <w:tcW w:w="7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TX</w:t>
            </w:r>
          </w:p>
        </w:tc>
        <w:tc>
          <w:tcPr>
            <w:tcW w:w="23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78746</w:t>
            </w:r>
          </w:p>
        </w:tc>
      </w:tr>
      <w:tr>
        <w:trPr/>
        <w:tc>
          <w:tcPr>
            <w:tcW w:w="4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(Address of principal executive offices)</w:t>
            </w:r>
          </w:p>
        </w:tc>
        <w:tc>
          <w:tcPr>
            <w:tcW w:w="23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(Zip Code)</w:t>
            </w:r>
          </w:p>
        </w:tc>
      </w:tr>
    </w:tbl>
    <w:p>
      <w:pPr>
        <w:pStyle w:val="TextBody"/>
        <w:spacing w:lineRule="auto" w:line="288" w:before="0" w:after="0"/>
        <w:jc w:val="center"/>
        <w:rPr/>
      </w:pPr>
      <w:r>
        <w:rPr>
          <w:rFonts w:ascii="Arial Narrow;sans-serif" w:hAnsi="Arial Narrow;sans-serif"/>
          <w:b w:val="false"/>
          <w:color w:val="000000"/>
          <w:sz w:val="16"/>
        </w:rPr>
        <w:t xml:space="preserve">Registrant’s telephone number, including area code: </w:t>
      </w:r>
      <w:r>
        <w:rPr>
          <w:rFonts w:ascii="Arial Narrow;sans-serif" w:hAnsi="Arial Narrow;sans-serif"/>
          <w:b/>
          <w:color w:val="000000"/>
          <w:sz w:val="16"/>
        </w:rPr>
        <w:t xml:space="preserve">(512) 314-3400 </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Securities registered pursuant to Section 12(b) of the Act</w:t>
      </w:r>
    </w:p>
    <w:tbl>
      <w:tblPr>
        <w:tblW w:w="9443" w:type="dxa"/>
        <w:jc w:val="center"/>
        <w:tblInd w:w="0" w:type="dxa"/>
        <w:tblCellMar>
          <w:top w:w="28" w:type="dxa"/>
          <w:left w:w="28" w:type="dxa"/>
          <w:bottom w:w="28" w:type="dxa"/>
          <w:right w:w="28" w:type="dxa"/>
        </w:tblCellMar>
      </w:tblPr>
      <w:tblGrid>
        <w:gridCol w:w="1537"/>
        <w:gridCol w:w="1354"/>
        <w:gridCol w:w="1369"/>
        <w:gridCol w:w="109"/>
        <w:gridCol w:w="109"/>
        <w:gridCol w:w="109"/>
        <w:gridCol w:w="454"/>
        <w:gridCol w:w="454"/>
        <w:gridCol w:w="456"/>
        <w:gridCol w:w="109"/>
        <w:gridCol w:w="109"/>
        <w:gridCol w:w="109"/>
        <w:gridCol w:w="926"/>
        <w:gridCol w:w="926"/>
        <w:gridCol w:w="1313"/>
      </w:tblGrid>
      <w:tr>
        <w:trPr/>
        <w:tc>
          <w:tcPr>
            <w:tcW w:w="1537"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Name of each exchange on which registered</w:t>
            </w:r>
          </w:p>
        </w:tc>
      </w:tr>
      <w:tr>
        <w:trPr/>
        <w:tc>
          <w:tcPr>
            <w:tcW w:w="42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Class A Non-voting Common Stock, par value $.01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EZPW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NASDAQ Stock Market</w:t>
            </w:r>
          </w:p>
        </w:tc>
      </w:tr>
      <w:tr>
        <w:trPr/>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(NASDAQ Global Select Market)</w:t>
            </w:r>
          </w:p>
        </w:tc>
      </w:tr>
    </w:tbl>
    <w:p>
      <w:pPr>
        <w:pStyle w:val="TextBody"/>
        <w:spacing w:lineRule="auto" w:line="288" w:before="20" w:after="120"/>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lineRule="auto" w:line="288" w:before="120" w:after="120"/>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p>
    <w:p>
      <w:pPr>
        <w:pStyle w:val="TextBody"/>
        <w:spacing w:lineRule="auto" w:line="288" w:before="60" w:after="283"/>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tbl>
      <w:tblPr>
        <w:tblW w:w="4121" w:type="dxa"/>
        <w:jc w:val="center"/>
        <w:tblInd w:w="0" w:type="dxa"/>
        <w:tblCellMar>
          <w:top w:w="28" w:type="dxa"/>
          <w:left w:w="28" w:type="dxa"/>
          <w:bottom w:w="28" w:type="dxa"/>
          <w:right w:w="28" w:type="dxa"/>
        </w:tblCellMar>
      </w:tblPr>
      <w:tblGrid>
        <w:gridCol w:w="565"/>
        <w:gridCol w:w="497"/>
        <w:gridCol w:w="499"/>
        <w:gridCol w:w="109"/>
        <w:gridCol w:w="109"/>
        <w:gridCol w:w="109"/>
        <w:gridCol w:w="619"/>
        <w:gridCol w:w="619"/>
        <w:gridCol w:w="623"/>
        <w:gridCol w:w="109"/>
        <w:gridCol w:w="109"/>
        <w:gridCol w:w="154"/>
      </w:tblGrid>
      <w:tr>
        <w:trPr/>
        <w:tc>
          <w:tcPr>
            <w:tcW w:w="56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8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color w:val="000000"/>
              </w:rPr>
            </w:pPr>
            <w:r>
              <w:rPr>
                <w:color w:val="000000"/>
              </w:rPr>
              <w:t>☒</w:t>
            </w:r>
          </w:p>
        </w:tc>
      </w:tr>
      <w:tr>
        <w:trPr/>
        <w:tc>
          <w:tcPr>
            <w:tcW w:w="15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8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80" w:after="283"/>
        <w:rPr>
          <w:rFonts w:ascii="Arial Narrow;sans-serif" w:hAnsi="Arial Narrow;sans-serif"/>
          <w:b w:val="false"/>
          <w:color w:val="000000"/>
          <w:sz w:val="16"/>
        </w:rPr>
      </w:pPr>
      <w:r>
        <w:rPr>
          <w:rFonts w:ascii="Arial Narrow;sans-serif" w:hAnsi="Arial Narrow;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 </w:t>
        <w:br/>
        <w:br/>
        <w:t>Indicate by check mark whether the registrant is a shell company (as defined in Rule 12b-2 of the Exchange Act).    Yes  ☐    No  ☒</w:t>
      </w:r>
    </w:p>
    <w:p>
      <w:pPr>
        <w:pStyle w:val="TextBody"/>
        <w:spacing w:lineRule="auto" w:line="288" w:before="120" w:after="120"/>
        <w:rPr>
          <w:rFonts w:ascii="Arial Narrow;sans-serif" w:hAnsi="Arial Narrow;sans-serif"/>
          <w:b w:val="false"/>
          <w:color w:val="000000"/>
          <w:sz w:val="16"/>
        </w:rPr>
      </w:pPr>
      <w:r>
        <w:rPr>
          <w:rFonts w:ascii="Arial Narrow;sans-serif" w:hAnsi="Arial Narrow;sans-serif"/>
          <w:b w:val="false"/>
          <w:color w:val="000000"/>
          <w:sz w:val="16"/>
        </w:rPr>
        <w:t>The only class of voting securities of the registrant issued and outstanding is the Class B Voting Common Stock, par value $.01 per share, all of which is owned by an affiliate of the registrant. There is no trading market for the Class B Voting Common Stock.</w:t>
      </w:r>
    </w:p>
    <w:p>
      <w:pPr>
        <w:pStyle w:val="TextBody"/>
        <w:spacing w:lineRule="auto" w:line="288" w:before="120" w:after="120"/>
        <w:rPr>
          <w:rFonts w:ascii="Arial Narrow;sans-serif" w:hAnsi="Arial Narrow;sans-serif"/>
          <w:b w:val="false"/>
          <w:color w:val="000000"/>
          <w:sz w:val="16"/>
        </w:rPr>
      </w:pPr>
      <w:r>
        <w:rPr>
          <w:rFonts w:ascii="Arial Narrow;sans-serif" w:hAnsi="Arial Narrow;sans-serif"/>
          <w:b w:val="false"/>
          <w:color w:val="000000"/>
          <w:sz w:val="16"/>
        </w:rPr>
        <w:t>As of April 28, 2023, 52,447,860 shares of the registrant’s Class A Non-voting Common Stock ("Class A Common Stock"), par value $.01 per share, and 2,970,171 shares of the registrant’s Class B Voting Common Stock, par value $.01 per share, were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INDEX TO FORM 10-Q</w:t>
      </w:r>
    </w:p>
    <w:tbl>
      <w:tblPr>
        <w:tblW w:w="9597" w:type="dxa"/>
        <w:jc w:val="left"/>
        <w:tblInd w:w="0" w:type="dxa"/>
        <w:tblCellMar>
          <w:top w:w="28" w:type="dxa"/>
          <w:left w:w="28" w:type="dxa"/>
          <w:bottom w:w="28" w:type="dxa"/>
          <w:right w:w="28" w:type="dxa"/>
        </w:tblCellMar>
      </w:tblPr>
      <w:tblGrid>
        <w:gridCol w:w="3343"/>
        <w:gridCol w:w="2934"/>
        <w:gridCol w:w="2948"/>
        <w:gridCol w:w="109"/>
        <w:gridCol w:w="109"/>
        <w:gridCol w:w="154"/>
      </w:tblGrid>
      <w:tr>
        <w:trPr/>
        <w:tc>
          <w:tcPr>
            <w:tcW w:w="3343" w:type="dxa"/>
            <w:tcBorders/>
            <w:shd w:fill="auto" w:val="clear"/>
            <w:vAlign w:val="center"/>
          </w:tcPr>
          <w:p>
            <w:pPr>
              <w:pStyle w:val="TableContents"/>
              <w:spacing w:before="0" w:after="283"/>
              <w:rPr>
                <w:sz w:val="4"/>
                <w:szCs w:val="4"/>
              </w:rPr>
            </w:pPr>
            <w:r>
              <w:rPr>
                <w:sz w:val="4"/>
                <w:szCs w:val="4"/>
              </w:rPr>
            </w:r>
          </w:p>
        </w:tc>
        <w:tc>
          <w:tcPr>
            <w:tcW w:w="2934" w:type="dxa"/>
            <w:tcBorders/>
            <w:shd w:fill="auto" w:val="clear"/>
            <w:vAlign w:val="center"/>
          </w:tcPr>
          <w:p>
            <w:pPr>
              <w:pStyle w:val="TableContents"/>
              <w:spacing w:before="0" w:after="283"/>
              <w:rPr>
                <w:sz w:val="4"/>
                <w:szCs w:val="4"/>
              </w:rPr>
            </w:pPr>
            <w:r>
              <w:rPr>
                <w:sz w:val="4"/>
                <w:szCs w:val="4"/>
              </w:rPr>
            </w:r>
          </w:p>
        </w:tc>
        <w:tc>
          <w:tcPr>
            <w:tcW w:w="29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10">
              <w:r>
                <w:rPr>
                  <w:rStyle w:val="InternetLink"/>
                  <w:rFonts w:ascii="Arial Narrow;sans-serif" w:hAnsi="Arial Narrow;sans-serif"/>
                  <w:b w:val="false"/>
                  <w:color w:val="0000FF"/>
                  <w:sz w:val="20"/>
                  <w:u w:val="single"/>
                </w:rPr>
                <w:t>PART I — FINANCIAL INFORMATION</w:t>
              </w:r>
            </w:hyperlink>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13">
              <w:r>
                <w:rPr>
                  <w:rStyle w:val="InternetLink"/>
                  <w:rFonts w:ascii="Arial Narrow;sans-serif" w:hAnsi="Arial Narrow;sans-serif"/>
                  <w:b w:val="false"/>
                  <w:color w:val="0000FF"/>
                  <w:sz w:val="20"/>
                  <w:u w:val="single"/>
                </w:rPr>
                <w:t>Item 1. Financial Statements</w:t>
              </w:r>
            </w:hyperlink>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16">
              <w:r>
                <w:rPr>
                  <w:rStyle w:val="InternetLink"/>
                </w:rPr>
                <w:t>Condensed Consolidated Balance Sheets as of March 31, 2023 and 2022</w:t>
              </w:r>
            </w:hyperlink>
            <w:hyperlink w:anchor="ia430671202d7408692bf917ba22be14d_16">
              <w:r>
                <w:rPr>
                  <w:rStyle w:val="InternetLink"/>
                </w:rPr>
                <w:t xml:space="preserve"> and September 30,2022</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16">
              <w:r>
                <w:rPr>
                  <w:rStyle w:val="InternetLink"/>
                  <w:rFonts w:ascii="Arial Narrow;sans-serif" w:hAnsi="Arial Narrow;sans-serif"/>
                  <w:b w:val="false"/>
                  <w:color w:val="0000FF"/>
                  <w:sz w:val="20"/>
                  <w:u w:val="single"/>
                </w:rPr>
                <w:t>1</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19">
              <w:r>
                <w:rPr>
                  <w:rStyle w:val="InternetLink"/>
                  <w:rFonts w:ascii="Arial Narrow;sans-serif" w:hAnsi="Arial Narrow;sans-serif"/>
                  <w:b w:val="false"/>
                  <w:color w:val="0000FF"/>
                  <w:sz w:val="20"/>
                  <w:u w:val="single"/>
                </w:rPr>
                <w:t>Condensed Consolidated Statements of Operations for the Three and Six Months Ended March 31, 2023 and 2022</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19">
              <w:r>
                <w:rPr>
                  <w:rStyle w:val="InternetLink"/>
                  <w:rFonts w:ascii="Arial Narrow;sans-serif" w:hAnsi="Arial Narrow;sans-serif"/>
                  <w:b w:val="false"/>
                  <w:color w:val="0000FF"/>
                  <w:sz w:val="20"/>
                  <w:u w:val="single"/>
                </w:rPr>
                <w:t>2</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22">
              <w:r>
                <w:rPr>
                  <w:rStyle w:val="InternetLink"/>
                  <w:rFonts w:ascii="Arial Narrow;sans-serif" w:hAnsi="Arial Narrow;sans-serif"/>
                  <w:b w:val="false"/>
                  <w:color w:val="0000FF"/>
                  <w:sz w:val="20"/>
                  <w:u w:val="single"/>
                </w:rPr>
                <w:t>Condensed Consolidated Statements of Comprehensive Income for the Three and Six Months Ended March 31, 2023 and 2022</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22">
              <w:r>
                <w:rPr>
                  <w:rStyle w:val="InternetLink"/>
                  <w:rFonts w:ascii="Arial Narrow;sans-serif" w:hAnsi="Arial Narrow;sans-serif"/>
                  <w:b w:val="false"/>
                  <w:color w:val="0000FF"/>
                  <w:sz w:val="20"/>
                  <w:u w:val="single"/>
                </w:rPr>
                <w:t>3</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25">
              <w:r>
                <w:rPr>
                  <w:rStyle w:val="InternetLink"/>
                  <w:rFonts w:ascii="Arial Narrow;sans-serif" w:hAnsi="Arial Narrow;sans-serif"/>
                  <w:b w:val="false"/>
                  <w:color w:val="0000FF"/>
                  <w:sz w:val="20"/>
                  <w:u w:val="single"/>
                </w:rPr>
                <w:t>Condensed Consolidated Statements of Stockholders’ Equity for the Periods Ended March 31, 2023 and 2022</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25">
              <w:r>
                <w:rPr>
                  <w:rStyle w:val="InternetLink"/>
                  <w:rFonts w:ascii="Arial Narrow;sans-serif" w:hAnsi="Arial Narrow;sans-serif"/>
                  <w:b w:val="false"/>
                  <w:color w:val="0000FF"/>
                  <w:sz w:val="20"/>
                  <w:u w:val="single"/>
                </w:rPr>
                <w:t>4</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28">
              <w:r>
                <w:rPr>
                  <w:rStyle w:val="InternetLink"/>
                  <w:rFonts w:ascii="Arial Narrow;sans-serif" w:hAnsi="Arial Narrow;sans-serif"/>
                  <w:b w:val="false"/>
                  <w:color w:val="0000FF"/>
                  <w:sz w:val="20"/>
                  <w:u w:val="single"/>
                </w:rPr>
                <w:t>Condensed Consolidated Statements of Cash Flows for the Six Months Ended March 31, 2023 and 2022</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28">
              <w:r>
                <w:rPr>
                  <w:rStyle w:val="InternetLink"/>
                  <w:rFonts w:ascii="Arial Narrow;sans-serif" w:hAnsi="Arial Narrow;sans-serif"/>
                  <w:b w:val="false"/>
                  <w:color w:val="0000FF"/>
                  <w:sz w:val="20"/>
                  <w:u w:val="single"/>
                </w:rPr>
                <w:t>5</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31">
              <w:r>
                <w:rPr>
                  <w:rStyle w:val="InternetLink"/>
                  <w:rFonts w:ascii="Arial Narrow;sans-serif" w:hAnsi="Arial Narrow;sans-serif"/>
                  <w:b w:val="false"/>
                  <w:color w:val="0000FF"/>
                  <w:sz w:val="20"/>
                  <w:u w:val="single"/>
                </w:rPr>
                <w:t>Notes to Interim Condensed Consolidated Financial Statements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31">
              <w:r>
                <w:rPr>
                  <w:rStyle w:val="InternetLink"/>
                  <w:rFonts w:ascii="Arial Narrow;sans-serif" w:hAnsi="Arial Narrow;sans-serif"/>
                  <w:b w:val="false"/>
                  <w:color w:val="0000FF"/>
                  <w:sz w:val="20"/>
                  <w:u w:val="single"/>
                </w:rPr>
                <w:t>6</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34">
              <w:r>
                <w:rPr>
                  <w:rStyle w:val="InternetLink"/>
                  <w:rFonts w:ascii="Arial Narrow;sans-serif" w:hAnsi="Arial Narrow;sans-serif"/>
                  <w:b w:val="false"/>
                  <w:color w:val="0000FF"/>
                  <w:sz w:val="20"/>
                  <w:u w:val="single"/>
                </w:rPr>
                <w:t>Note 1: Organization and Summary of Significant Accounting Policies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34">
              <w:r>
                <w:rPr>
                  <w:rStyle w:val="InternetLink"/>
                  <w:rFonts w:ascii="Arial Narrow;sans-serif" w:hAnsi="Arial Narrow;sans-serif"/>
                  <w:b w:val="false"/>
                  <w:color w:val="0000FF"/>
                  <w:sz w:val="20"/>
                  <w:u w:val="single"/>
                </w:rPr>
                <w:t>6</w:t>
              </w:r>
            </w:hyperlink>
          </w:p>
        </w:tc>
      </w:tr>
      <w:tr>
        <w:trPr/>
        <w:tc>
          <w:tcPr>
            <w:tcW w:w="922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922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46">
              <w:r>
                <w:rPr>
                  <w:rStyle w:val="InternetLink"/>
                  <w:rFonts w:ascii="Arial Narrow;sans-serif" w:hAnsi="Arial Narrow;sans-serif"/>
                  <w:b w:val="false"/>
                  <w:color w:val="0000FF"/>
                  <w:sz w:val="20"/>
                  <w:u w:val="single"/>
                </w:rPr>
                <w:t>Note 2: Goodwill</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46">
              <w:r>
                <w:rPr>
                  <w:rStyle w:val="InternetLink"/>
                  <w:rFonts w:ascii="Arial Narrow;sans-serif" w:hAnsi="Arial Narrow;sans-serif"/>
                  <w:b w:val="false"/>
                  <w:color w:val="0000FF"/>
                  <w:sz w:val="20"/>
                  <w:u w:val="single"/>
                </w:rPr>
                <w:t>7</w:t>
              </w:r>
            </w:hyperlink>
          </w:p>
        </w:tc>
      </w:tr>
      <w:tr>
        <w:trPr/>
        <w:tc>
          <w:tcPr>
            <w:tcW w:w="922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64">
              <w:r>
                <w:rPr>
                  <w:rStyle w:val="InternetLink"/>
                  <w:rFonts w:ascii="Arial Narrow;sans-serif" w:hAnsi="Arial Narrow;sans-serif"/>
                  <w:b w:val="false"/>
                  <w:color w:val="0000FF"/>
                  <w:sz w:val="20"/>
                  <w:u w:val="single"/>
                </w:rPr>
                <w:t>Note 3: (Loss) Earnings Per Share</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64">
              <w:r>
                <w:rPr>
                  <w:rStyle w:val="InternetLink"/>
                  <w:rFonts w:ascii="Arial Narrow;sans-serif" w:hAnsi="Arial Narrow;sans-serif"/>
                  <w:b w:val="false"/>
                  <w:color w:val="0000FF"/>
                  <w:sz w:val="20"/>
                  <w:u w:val="single"/>
                </w:rPr>
                <w:t>8</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73">
              <w:r>
                <w:rPr>
                  <w:rStyle w:val="InternetLink"/>
                  <w:rFonts w:ascii="Arial Narrow;sans-serif" w:hAnsi="Arial Narrow;sans-serif"/>
                  <w:b w:val="false"/>
                  <w:color w:val="0000FF"/>
                  <w:sz w:val="20"/>
                  <w:u w:val="single"/>
                </w:rPr>
                <w:t>Note 4: Leases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73">
              <w:r>
                <w:rPr>
                  <w:rStyle w:val="InternetLink"/>
                  <w:rFonts w:ascii="Arial Narrow;sans-serif" w:hAnsi="Arial Narrow;sans-serif"/>
                  <w:b w:val="false"/>
                  <w:color w:val="0000FF"/>
                  <w:sz w:val="20"/>
                  <w:u w:val="single"/>
                </w:rPr>
                <w:t>9</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76">
              <w:r>
                <w:rPr>
                  <w:rStyle w:val="InternetLink"/>
                  <w:rFonts w:ascii="Arial Narrow;sans-serif" w:hAnsi="Arial Narrow;sans-serif"/>
                  <w:b w:val="false"/>
                  <w:color w:val="0000FF"/>
                  <w:sz w:val="20"/>
                  <w:u w:val="single"/>
                </w:rPr>
                <w:t>Note 5: Strategic Investments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76">
              <w:r>
                <w:rPr>
                  <w:rStyle w:val="InternetLink"/>
                  <w:rFonts w:ascii="Arial Narrow;sans-serif" w:hAnsi="Arial Narrow;sans-serif"/>
                  <w:b w:val="false"/>
                  <w:color w:val="0000FF"/>
                  <w:sz w:val="20"/>
                  <w:u w:val="single"/>
                </w:rPr>
                <w:t>11</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79">
              <w:r>
                <w:rPr>
                  <w:rStyle w:val="InternetLink"/>
                  <w:rFonts w:ascii="Arial Narrow;sans-serif" w:hAnsi="Arial Narrow;sans-serif"/>
                  <w:b w:val="false"/>
                  <w:color w:val="0000FF"/>
                  <w:sz w:val="20"/>
                  <w:u w:val="single"/>
                </w:rPr>
                <w:t>Note 6: Fair Value Measurements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79">
              <w:r>
                <w:rPr>
                  <w:rStyle w:val="InternetLink"/>
                  <w:rFonts w:ascii="Arial Narrow;sans-serif" w:hAnsi="Arial Narrow;sans-serif"/>
                  <w:b w:val="false"/>
                  <w:color w:val="0000FF"/>
                  <w:sz w:val="20"/>
                  <w:u w:val="single"/>
                </w:rPr>
                <w:t>12</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82">
              <w:r>
                <w:rPr>
                  <w:rStyle w:val="InternetLink"/>
                  <w:rFonts w:ascii="Arial Narrow;sans-serif" w:hAnsi="Arial Narrow;sans-serif"/>
                  <w:b w:val="false"/>
                  <w:color w:val="0000FF"/>
                  <w:sz w:val="20"/>
                  <w:u w:val="single"/>
                </w:rPr>
                <w:t>Note 7: Debt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82">
              <w:r>
                <w:rPr>
                  <w:rStyle w:val="InternetLink"/>
                  <w:rFonts w:ascii="Arial Narrow;sans-serif" w:hAnsi="Arial Narrow;sans-serif"/>
                  <w:b w:val="false"/>
                  <w:color w:val="0000FF"/>
                  <w:sz w:val="20"/>
                  <w:u w:val="single"/>
                </w:rPr>
                <w:t>14</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88">
              <w:r>
                <w:rPr>
                  <w:rStyle w:val="InternetLink"/>
                  <w:rFonts w:ascii="Arial Narrow;sans-serif" w:hAnsi="Arial Narrow;sans-serif"/>
                  <w:b w:val="false"/>
                  <w:color w:val="0000FF"/>
                  <w:sz w:val="20"/>
                  <w:u w:val="single"/>
                </w:rPr>
                <w:t>Note 8: Common Stock and Stock Compensation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88">
              <w:r>
                <w:rPr>
                  <w:rStyle w:val="InternetLink"/>
                  <w:rFonts w:ascii="Arial Narrow;sans-serif" w:hAnsi="Arial Narrow;sans-serif"/>
                  <w:b w:val="false"/>
                  <w:color w:val="0000FF"/>
                  <w:sz w:val="20"/>
                  <w:u w:val="single"/>
                </w:rPr>
                <w:t>17</w:t>
              </w:r>
            </w:hyperlink>
          </w:p>
        </w:tc>
      </w:tr>
      <w:tr>
        <w:trPr/>
        <w:tc>
          <w:tcPr>
            <w:tcW w:w="922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94">
              <w:r>
                <w:rPr>
                  <w:rStyle w:val="InternetLink"/>
                  <w:rFonts w:ascii="Arial Narrow;sans-serif" w:hAnsi="Arial Narrow;sans-serif"/>
                  <w:b w:val="false"/>
                  <w:color w:val="0000FF"/>
                  <w:sz w:val="20"/>
                  <w:u w:val="single"/>
                </w:rPr>
                <w:t>Note 9: Commitments and Contingencies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94">
              <w:r>
                <w:rPr>
                  <w:rStyle w:val="InternetLink"/>
                  <w:rFonts w:ascii="Arial Narrow;sans-serif" w:hAnsi="Arial Narrow;sans-serif"/>
                  <w:b w:val="false"/>
                  <w:color w:val="0000FF"/>
                  <w:sz w:val="20"/>
                  <w:u w:val="single"/>
                </w:rPr>
                <w:t>18</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97">
              <w:r>
                <w:rPr>
                  <w:rStyle w:val="InternetLink"/>
                  <w:rFonts w:ascii="Arial Narrow;sans-serif" w:hAnsi="Arial Narrow;sans-serif"/>
                  <w:b w:val="false"/>
                  <w:color w:val="0000FF"/>
                  <w:sz w:val="20"/>
                  <w:u w:val="single"/>
                </w:rPr>
                <w:t>Note 10: Segment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97">
              <w:r>
                <w:rPr>
                  <w:rStyle w:val="InternetLink"/>
                  <w:rFonts w:ascii="Arial Narrow;sans-serif" w:hAnsi="Arial Narrow;sans-serif"/>
                  <w:b w:val="false"/>
                  <w:color w:val="0000FF"/>
                  <w:sz w:val="20"/>
                  <w:u w:val="single"/>
                </w:rPr>
                <w:t>19</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103">
              <w:r>
                <w:rPr>
                  <w:rStyle w:val="InternetLink"/>
                  <w:rFonts w:ascii="Arial Narrow;sans-serif" w:hAnsi="Arial Narrow;sans-serif"/>
                  <w:b w:val="false"/>
                  <w:color w:val="0000FF"/>
                  <w:sz w:val="20"/>
                  <w:u w:val="single"/>
                </w:rPr>
                <w:t>Note 11: Supplemental Consolidated Financial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103">
              <w:r>
                <w:rPr>
                  <w:rStyle w:val="InternetLink"/>
                  <w:rFonts w:ascii="Arial Narrow;sans-serif" w:hAnsi="Arial Narrow;sans-serif"/>
                  <w:b w:val="false"/>
                  <w:color w:val="0000FF"/>
                  <w:sz w:val="20"/>
                  <w:u w:val="single"/>
                </w:rPr>
                <w:t>22</w:t>
              </w:r>
            </w:hyperlink>
          </w:p>
        </w:tc>
      </w:tr>
      <w:tr>
        <w:trPr/>
        <w:tc>
          <w:tcPr>
            <w:tcW w:w="922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109">
              <w:r>
                <w:rPr>
                  <w:rStyle w:val="InternetLink"/>
                  <w:rFonts w:ascii="Arial Narrow;sans-serif" w:hAnsi="Arial Narrow;sans-serif"/>
                  <w:b w:val="false"/>
                  <w:color w:val="0000FF"/>
                  <w:sz w:val="20"/>
                  <w:u w:val="single"/>
                </w:rPr>
                <w:t>Item 2. Management’s Discussion and Analysis of Financial Condition and Results of Operations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109">
              <w:r>
                <w:rPr>
                  <w:rStyle w:val="InternetLink"/>
                  <w:rFonts w:ascii="Arial Narrow;sans-serif" w:hAnsi="Arial Narrow;sans-serif"/>
                  <w:b w:val="false"/>
                  <w:color w:val="0000FF"/>
                  <w:sz w:val="20"/>
                  <w:u w:val="single"/>
                </w:rPr>
                <w:t>23</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169">
              <w:r>
                <w:rPr>
                  <w:rStyle w:val="InternetLink"/>
                  <w:rFonts w:ascii="Arial Narrow;sans-serif" w:hAnsi="Arial Narrow;sans-serif"/>
                  <w:b w:val="false"/>
                  <w:color w:val="0000FF"/>
                  <w:sz w:val="20"/>
                  <w:u w:val="single"/>
                </w:rPr>
                <w:t>Item 3. Quantitative and Qualitative Disclosures about Market Risk</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169">
              <w:r>
                <w:rPr>
                  <w:rStyle w:val="InternetLink"/>
                  <w:rFonts w:ascii="Arial Narrow;sans-serif" w:hAnsi="Arial Narrow;sans-serif"/>
                  <w:b w:val="false"/>
                  <w:color w:val="0000FF"/>
                  <w:sz w:val="20"/>
                  <w:u w:val="single"/>
                </w:rPr>
                <w:t>36</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172">
              <w:r>
                <w:rPr>
                  <w:rStyle w:val="InternetLink"/>
                  <w:rFonts w:ascii="Arial Narrow;sans-serif" w:hAnsi="Arial Narrow;sans-serif"/>
                  <w:b w:val="false"/>
                  <w:color w:val="0000FF"/>
                  <w:sz w:val="20"/>
                  <w:u w:val="single"/>
                </w:rPr>
                <w:t>Item 4. Controls and Procedures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172">
              <w:r>
                <w:rPr>
                  <w:rStyle w:val="InternetLink"/>
                  <w:rFonts w:ascii="Arial Narrow;sans-serif" w:hAnsi="Arial Narrow;sans-serif"/>
                  <w:b w:val="false"/>
                  <w:color w:val="0000FF"/>
                  <w:sz w:val="20"/>
                  <w:u w:val="single"/>
                </w:rPr>
                <w:t>37</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175">
              <w:r>
                <w:rPr>
                  <w:rStyle w:val="InternetLink"/>
                  <w:rFonts w:ascii="Arial Narrow;sans-serif" w:hAnsi="Arial Narrow;sans-serif"/>
                  <w:b w:val="false"/>
                  <w:color w:val="0000FF"/>
                  <w:sz w:val="20"/>
                  <w:u w:val="single"/>
                </w:rPr>
                <w:t>PART II — OTHER INFORMATION</w:t>
              </w:r>
            </w:hyperlink>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178">
              <w:r>
                <w:rPr>
                  <w:rStyle w:val="InternetLink"/>
                  <w:rFonts w:ascii="Arial Narrow;sans-serif" w:hAnsi="Arial Narrow;sans-serif"/>
                  <w:b w:val="false"/>
                  <w:color w:val="0000FF"/>
                  <w:sz w:val="20"/>
                  <w:u w:val="single"/>
                </w:rPr>
                <w:t>Item 1. Legal Proceedings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178">
              <w:r>
                <w:rPr>
                  <w:rStyle w:val="InternetLink"/>
                  <w:rFonts w:ascii="Arial Narrow;sans-serif" w:hAnsi="Arial Narrow;sans-serif"/>
                  <w:b w:val="false"/>
                  <w:color w:val="0000FF"/>
                  <w:sz w:val="20"/>
                  <w:u w:val="single"/>
                </w:rPr>
                <w:t>37</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181">
              <w:r>
                <w:rPr>
                  <w:rStyle w:val="InternetLink"/>
                  <w:rFonts w:ascii="Arial Narrow;sans-serif" w:hAnsi="Arial Narrow;sans-serif"/>
                  <w:b w:val="false"/>
                  <w:color w:val="0000FF"/>
                  <w:sz w:val="20"/>
                  <w:u w:val="single"/>
                </w:rPr>
                <w:t>Item 1A. Risk Factors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181">
              <w:r>
                <w:rPr>
                  <w:rStyle w:val="InternetLink"/>
                  <w:rFonts w:ascii="Arial Narrow;sans-serif" w:hAnsi="Arial Narrow;sans-serif"/>
                  <w:b w:val="false"/>
                  <w:color w:val="0000FF"/>
                  <w:sz w:val="20"/>
                  <w:u w:val="single"/>
                </w:rPr>
                <w:t>37</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184">
              <w:r>
                <w:rPr>
                  <w:rStyle w:val="InternetLink"/>
                  <w:rFonts w:ascii="Arial Narrow;sans-serif" w:hAnsi="Arial Narrow;sans-serif"/>
                  <w:b w:val="false"/>
                  <w:color w:val="0000FF"/>
                  <w:sz w:val="20"/>
                  <w:u w:val="single"/>
                </w:rPr>
                <w:t>Item 2. Unregistered Sale of Equity Security and Use of Proceeds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184">
              <w:r>
                <w:rPr>
                  <w:rStyle w:val="InternetLink"/>
                  <w:rFonts w:ascii="Arial Narrow;sans-serif" w:hAnsi="Arial Narrow;sans-serif"/>
                  <w:b w:val="false"/>
                  <w:color w:val="0000FF"/>
                  <w:sz w:val="20"/>
                  <w:u w:val="single"/>
                </w:rPr>
                <w:t>38</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187">
              <w:r>
                <w:rPr>
                  <w:rStyle w:val="InternetLink"/>
                  <w:rFonts w:ascii="Arial Narrow;sans-serif" w:hAnsi="Arial Narrow;sans-serif"/>
                  <w:b w:val="false"/>
                  <w:color w:val="0000FF"/>
                  <w:sz w:val="20"/>
                  <w:u w:val="single"/>
                </w:rPr>
                <w:t>Item 6. Exhibits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187">
              <w:r>
                <w:rPr>
                  <w:rStyle w:val="InternetLink"/>
                  <w:rFonts w:ascii="Arial Narrow;sans-serif" w:hAnsi="Arial Narrow;sans-serif"/>
                  <w:b w:val="false"/>
                  <w:color w:val="0000FF"/>
                  <w:sz w:val="20"/>
                  <w:u w:val="single"/>
                </w:rPr>
                <w:t>39</w:t>
              </w:r>
            </w:hyperlink>
          </w:p>
        </w:tc>
      </w:tr>
      <w:tr>
        <w:trPr/>
        <w:tc>
          <w:tcPr>
            <w:tcW w:w="9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430671202d7408692bf917ba22be14d_190">
              <w:r>
                <w:rPr>
                  <w:rStyle w:val="InternetLink"/>
                  <w:rFonts w:ascii="Arial Narrow;sans-serif" w:hAnsi="Arial Narrow;sans-serif"/>
                  <w:b w:val="false"/>
                  <w:color w:val="0000FF"/>
                  <w:sz w:val="20"/>
                  <w:u w:val="single"/>
                </w:rPr>
                <w:t>SIGNATURES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430671202d7408692bf917ba22be14d_190">
              <w:r>
                <w:rPr>
                  <w:rStyle w:val="InternetLink"/>
                  <w:rFonts w:ascii="Arial Narrow;sans-serif" w:hAnsi="Arial Narrow;sans-serif"/>
                  <w:b w:val="false"/>
                  <w:color w:val="0000FF"/>
                  <w:sz w:val="20"/>
                  <w:u w:val="single"/>
                </w:rPr>
                <w:t>40</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0" w:after="120"/>
        <w:jc w:val="center"/>
        <w:rPr>
          <w:rFonts w:ascii="Arial Narrow;sans-serif" w:hAnsi="Arial Narrow;sans-serif"/>
          <w:b/>
          <w:color w:val="000000"/>
          <w:sz w:val="20"/>
        </w:rPr>
      </w:pPr>
      <w:r>
        <w:rPr>
          <w:rFonts w:ascii="Arial Narrow;sans-serif" w:hAnsi="Arial Narrow;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rPr>
          <w:rFonts w:ascii="Arial Narrow;sans-serif" w:hAnsi="Arial Narrow;sans-serif"/>
          <w:b/>
          <w:color w:val="000000"/>
          <w:sz w:val="20"/>
        </w:rPr>
      </w:pPr>
      <w:r>
        <w:rPr>
          <w:rFonts w:ascii="Arial Narrow;sans-serif" w:hAnsi="Arial Narrow;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 xml:space="preserve">EZCORP, Inc. </w:t>
      </w:r>
    </w:p>
    <w:p>
      <w:pPr>
        <w:pStyle w:val="TextBody"/>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BALANCE SHEETS</w:t>
      </w:r>
    </w:p>
    <w:p>
      <w:pPr>
        <w:pStyle w:val="TextBody"/>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393"/>
        <w:gridCol w:w="1961"/>
        <w:gridCol w:w="1968"/>
        <w:gridCol w:w="181"/>
        <w:gridCol w:w="766"/>
        <w:gridCol w:w="109"/>
        <w:gridCol w:w="109"/>
        <w:gridCol w:w="109"/>
        <w:gridCol w:w="109"/>
        <w:gridCol w:w="181"/>
        <w:gridCol w:w="766"/>
        <w:gridCol w:w="109"/>
        <w:gridCol w:w="109"/>
        <w:gridCol w:w="109"/>
        <w:gridCol w:w="109"/>
        <w:gridCol w:w="183"/>
        <w:gridCol w:w="776"/>
        <w:gridCol w:w="158"/>
      </w:tblGrid>
      <w:tr>
        <w:trPr/>
        <w:tc>
          <w:tcPr>
            <w:tcW w:w="2393" w:type="dxa"/>
            <w:tcBorders/>
            <w:shd w:fill="auto" w:val="clear"/>
            <w:vAlign w:val="center"/>
          </w:tcPr>
          <w:p>
            <w:pPr>
              <w:pStyle w:val="TableContents"/>
              <w:spacing w:before="0" w:after="283"/>
              <w:rPr>
                <w:sz w:val="4"/>
                <w:szCs w:val="4"/>
              </w:rPr>
            </w:pPr>
            <w:r>
              <w:rPr>
                <w:sz w:val="4"/>
                <w:szCs w:val="4"/>
              </w:rPr>
            </w:r>
          </w:p>
        </w:tc>
        <w:tc>
          <w:tcPr>
            <w:tcW w:w="1961" w:type="dxa"/>
            <w:tcBorders/>
            <w:shd w:fill="auto" w:val="clear"/>
            <w:vAlign w:val="center"/>
          </w:tcPr>
          <w:p>
            <w:pPr>
              <w:pStyle w:val="TableContents"/>
              <w:spacing w:before="0" w:after="283"/>
              <w:rPr>
                <w:sz w:val="4"/>
                <w:szCs w:val="4"/>
              </w:rPr>
            </w:pPr>
            <w:r>
              <w:rPr>
                <w:sz w:val="4"/>
                <w:szCs w:val="4"/>
              </w:rPr>
            </w:r>
          </w:p>
        </w:tc>
        <w:tc>
          <w:tcPr>
            <w:tcW w:w="196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share and per share amounts)</w:t>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6322"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444" w:type="dxa"/>
            <w:gridSpan w:val="6"/>
            <w:tcBorders/>
            <w:shd w:fill="auto" w:val="clear"/>
          </w:tcPr>
          <w:p>
            <w:pPr>
              <w:pStyle w:val="TableContents"/>
              <w:spacing w:before="0" w:after="283"/>
              <w:rPr>
                <w:sz w:val="4"/>
                <w:szCs w:val="4"/>
              </w:rPr>
            </w:pPr>
            <w:r>
              <w:rPr>
                <w:sz w:val="4"/>
                <w:szCs w:val="4"/>
              </w:rPr>
            </w:r>
          </w:p>
        </w:tc>
      </w:tr>
      <w:tr>
        <w:trPr/>
        <w:tc>
          <w:tcPr>
            <w:tcW w:w="63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w:t>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254,964 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206,028 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cash</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8,341 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206,096 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173,618 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210,009 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33,476 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119,890 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151,615 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34,694 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686,652 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612,771 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644,163 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37,733 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59,775 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50,874 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56,725 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 net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234,287 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221,405 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286,828 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59,620 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56,819 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Notes receivable, net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12,145 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6,625 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Total assets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1,420,532 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1,299,996 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1,347,878 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 and equity:</w:t>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84,509 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16,023 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53,921 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52,334 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145,377 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137,187 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152,866 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359,287 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312,168 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312,903 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 net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191,874 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180,756 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8,749 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707,944 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624,980 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655,647 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9)</w:t>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Class A Non-voting Common Stock, par value $0.01 per share; shares authorized: 100 million; issued and outstanding: 52,561,071 as of March 31, 2023; 53,685,333 as of March 31, 2022; and 53,454,885 as of September 30, 2022</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Voting Common Stock, convertible, par value $0.01 per share; shares authorized: 3 million; issued and outstanding: 2,970,171</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343,088 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341,913 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345,330 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405,961 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402,006 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(55,669)</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712,588 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675,016 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692,231 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2"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equity</w:t>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1,420,532 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1,299,996 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8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1,347,878 </w:t>
            </w:r>
          </w:p>
        </w:tc>
        <w:tc>
          <w:tcPr>
            <w:tcW w:w="15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br/>
        <w:t>See accompanying notes to unaudited interim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OPERATIONS</w:t>
      </w:r>
    </w:p>
    <w:p>
      <w:pPr>
        <w:pStyle w:val="TextBody"/>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p>
      <w:pPr>
        <w:pStyle w:val="TextBody"/>
        <w:spacing w:before="0" w:after="0"/>
        <w:jc w:val="center"/>
        <w:rPr/>
      </w:pPr>
      <w:r>
        <w:rPr/>
      </w:r>
    </w:p>
    <w:tbl>
      <w:tblPr>
        <w:tblW w:w="7694" w:type="dxa"/>
        <w:jc w:val="left"/>
        <w:tblInd w:w="0" w:type="dxa"/>
        <w:tblCellMar>
          <w:top w:w="28" w:type="dxa"/>
          <w:left w:w="28" w:type="dxa"/>
          <w:bottom w:w="28" w:type="dxa"/>
          <w:right w:w="28" w:type="dxa"/>
        </w:tblCellMar>
      </w:tblPr>
      <w:tblGrid>
        <w:gridCol w:w="1060"/>
        <w:gridCol w:w="930"/>
        <w:gridCol w:w="934"/>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54"/>
      </w:tblGrid>
      <w:tr>
        <w:trPr/>
        <w:tc>
          <w:tcPr>
            <w:tcW w:w="1060"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Three Months Ended</w:t>
            </w:r>
          </w:p>
          <w:p>
            <w:pPr>
              <w:pStyle w:val="TableContents"/>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Six Months Ended</w:t>
            </w:r>
          </w:p>
          <w:p>
            <w:pPr>
              <w:pStyle w:val="TableContents"/>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March 31,</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 except per share amount)</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2022</w:t>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21"/>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152,507 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133,556 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316,294 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271,276 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93,030 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76,683 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185,623 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152,708 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215,982 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522,750 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436,976 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165,357 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149,182 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128,928 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301,679 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261,039 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202,072 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122,449 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104,723 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246,700 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214,618 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46,421 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income before income taxes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(7,340)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20,123 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41,470 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(benefit) tax expense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(loss) income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(6,790)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9,988 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30,608 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Basic earnings per share </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per share </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basic shares outstanding</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diluted shares outstanding</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82,407 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65,269 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82,270 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interim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COMPREHENSIVE INCOME</w:t>
      </w:r>
    </w:p>
    <w:p>
      <w:pPr>
        <w:pStyle w:val="TextBody"/>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p>
      <w:pPr>
        <w:pStyle w:val="TextBody"/>
        <w:spacing w:before="0" w:after="0"/>
        <w:rPr/>
      </w:pPr>
      <w:r>
        <w:rPr/>
      </w:r>
    </w:p>
    <w:tbl>
      <w:tblPr>
        <w:tblW w:w="7725" w:type="dxa"/>
        <w:jc w:val="left"/>
        <w:tblInd w:w="0" w:type="dxa"/>
        <w:tblCellMar>
          <w:top w:w="28" w:type="dxa"/>
          <w:left w:w="28" w:type="dxa"/>
          <w:bottom w:w="28" w:type="dxa"/>
          <w:right w:w="28" w:type="dxa"/>
        </w:tblCellMar>
      </w:tblPr>
      <w:tblGrid>
        <w:gridCol w:w="1189"/>
        <w:gridCol w:w="1046"/>
        <w:gridCol w:w="1050"/>
        <w:gridCol w:w="181"/>
        <w:gridCol w:w="541"/>
        <w:gridCol w:w="109"/>
        <w:gridCol w:w="109"/>
        <w:gridCol w:w="109"/>
        <w:gridCol w:w="109"/>
        <w:gridCol w:w="181"/>
        <w:gridCol w:w="571"/>
        <w:gridCol w:w="109"/>
        <w:gridCol w:w="109"/>
        <w:gridCol w:w="109"/>
        <w:gridCol w:w="109"/>
        <w:gridCol w:w="181"/>
        <w:gridCol w:w="571"/>
        <w:gridCol w:w="109"/>
        <w:gridCol w:w="109"/>
        <w:gridCol w:w="109"/>
        <w:gridCol w:w="109"/>
        <w:gridCol w:w="181"/>
        <w:gridCol w:w="571"/>
        <w:gridCol w:w="154"/>
      </w:tblGrid>
      <w:tr>
        <w:trPr/>
        <w:tc>
          <w:tcPr>
            <w:tcW w:w="1189"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(loss) income </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comprehensive income:</w:t>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adjustment, net of tax</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3285"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Comprehensive income </w:t>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9,358 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18,553 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28,640 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37,313 </w:t>
            </w:r>
          </w:p>
        </w:tc>
        <w:tc>
          <w:tcPr>
            <w:tcW w:w="15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interim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STOCKHOLDERS' EQUITY</w:t>
      </w:r>
    </w:p>
    <w:p>
      <w:pPr>
        <w:pStyle w:val="TextBody"/>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tbl>
      <w:tblPr>
        <w:tblW w:w="10205" w:type="dxa"/>
        <w:jc w:val="left"/>
        <w:tblInd w:w="0" w:type="dxa"/>
        <w:tblCellMar>
          <w:top w:w="28" w:type="dxa"/>
          <w:left w:w="28" w:type="dxa"/>
          <w:bottom w:w="28" w:type="dxa"/>
          <w:right w:w="28" w:type="dxa"/>
        </w:tblCellMar>
      </w:tblPr>
      <w:tblGrid>
        <w:gridCol w:w="782"/>
        <w:gridCol w:w="553"/>
        <w:gridCol w:w="555"/>
        <w:gridCol w:w="285"/>
        <w:gridCol w:w="286"/>
        <w:gridCol w:w="191"/>
        <w:gridCol w:w="109"/>
        <w:gridCol w:w="109"/>
        <w:gridCol w:w="109"/>
        <w:gridCol w:w="204"/>
        <w:gridCol w:w="423"/>
        <w:gridCol w:w="124"/>
        <w:gridCol w:w="109"/>
        <w:gridCol w:w="109"/>
        <w:gridCol w:w="109"/>
        <w:gridCol w:w="181"/>
        <w:gridCol w:w="646"/>
        <w:gridCol w:w="109"/>
        <w:gridCol w:w="109"/>
        <w:gridCol w:w="109"/>
        <w:gridCol w:w="109"/>
        <w:gridCol w:w="181"/>
        <w:gridCol w:w="646"/>
        <w:gridCol w:w="109"/>
        <w:gridCol w:w="109"/>
        <w:gridCol w:w="109"/>
        <w:gridCol w:w="109"/>
        <w:gridCol w:w="270"/>
        <w:gridCol w:w="853"/>
        <w:gridCol w:w="163"/>
        <w:gridCol w:w="109"/>
        <w:gridCol w:w="109"/>
        <w:gridCol w:w="109"/>
        <w:gridCol w:w="109"/>
        <w:gridCol w:w="109"/>
        <w:gridCol w:w="109"/>
        <w:gridCol w:w="109"/>
        <w:gridCol w:w="109"/>
        <w:gridCol w:w="109"/>
        <w:gridCol w:w="248"/>
        <w:gridCol w:w="889"/>
        <w:gridCol w:w="218"/>
      </w:tblGrid>
      <w:tr>
        <w:trPr/>
        <w:tc>
          <w:tcPr>
            <w:tcW w:w="782"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Additional</w:t>
              <w:br/>
              <w:t>Paid-in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w:t>
              <w:br/>
              <w:t>Other</w:t>
              <w:br/>
              <w:t>Comprehensive Loss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Stockholders' Equity</w:t>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w:t>
            </w:r>
          </w:p>
        </w:tc>
        <w:tc>
          <w:tcPr>
            <w:tcW w:w="7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86"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35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2022</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56,425 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(55,669)</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692,231 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1,886 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Transfer of equity consideration for acquisition</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235 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(1,138)</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2,504 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(822)</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(7,027)</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16,778 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December 31, 2022</w:t>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55,848 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343,012 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414,929 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(53,165)</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705,335 </w:t>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762" w:type="dxa"/>
            <w:gridSpan w:val="3"/>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1,855 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top w:val="single" w:sz="1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12"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1,855</w:t>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16,148 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16,148</w:t>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(3,951)</w:t>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w:t>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(6,790)</w:t>
            </w:r>
          </w:p>
        </w:tc>
      </w:tr>
      <w:tr>
        <w:trPr/>
        <w:tc>
          <w:tcPr>
            <w:tcW w:w="189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March 31, 2023</w:t>
            </w:r>
          </w:p>
        </w:tc>
        <w:tc>
          <w:tcPr>
            <w:tcW w:w="762"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55,531</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556 </w:t>
            </w:r>
          </w:p>
        </w:tc>
        <w:tc>
          <w:tcPr>
            <w:tcW w:w="1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343,088 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405,961 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(37,017)</w:t>
            </w:r>
          </w:p>
        </w:tc>
        <w:tc>
          <w:tcPr>
            <w:tcW w:w="1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712,588 </w:t>
            </w:r>
          </w:p>
        </w:tc>
        <w:tc>
          <w:tcPr>
            <w:tcW w:w="2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5" w:type="dxa"/>
            <w:gridSpan w:val="3"/>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783"/>
        <w:gridCol w:w="553"/>
        <w:gridCol w:w="555"/>
        <w:gridCol w:w="285"/>
        <w:gridCol w:w="286"/>
        <w:gridCol w:w="191"/>
        <w:gridCol w:w="109"/>
        <w:gridCol w:w="109"/>
        <w:gridCol w:w="109"/>
        <w:gridCol w:w="204"/>
        <w:gridCol w:w="423"/>
        <w:gridCol w:w="124"/>
        <w:gridCol w:w="109"/>
        <w:gridCol w:w="109"/>
        <w:gridCol w:w="109"/>
        <w:gridCol w:w="181"/>
        <w:gridCol w:w="646"/>
        <w:gridCol w:w="109"/>
        <w:gridCol w:w="109"/>
        <w:gridCol w:w="109"/>
        <w:gridCol w:w="109"/>
        <w:gridCol w:w="181"/>
        <w:gridCol w:w="646"/>
        <w:gridCol w:w="109"/>
        <w:gridCol w:w="109"/>
        <w:gridCol w:w="109"/>
        <w:gridCol w:w="109"/>
        <w:gridCol w:w="270"/>
        <w:gridCol w:w="853"/>
        <w:gridCol w:w="163"/>
        <w:gridCol w:w="109"/>
        <w:gridCol w:w="109"/>
        <w:gridCol w:w="109"/>
        <w:gridCol w:w="109"/>
        <w:gridCol w:w="109"/>
        <w:gridCol w:w="109"/>
        <w:gridCol w:w="109"/>
        <w:gridCol w:w="109"/>
        <w:gridCol w:w="109"/>
        <w:gridCol w:w="248"/>
        <w:gridCol w:w="889"/>
        <w:gridCol w:w="217"/>
      </w:tblGrid>
      <w:tr>
        <w:trPr/>
        <w:tc>
          <w:tcPr>
            <w:tcW w:w="783"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Additional</w:t>
              <w:br/>
              <w:t>Paid-in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w:t>
              <w:br/>
              <w:t>Other</w:t>
              <w:br/>
              <w:t>Comprehensive Loss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Stockholders' Equity</w:t>
            </w:r>
          </w:p>
        </w:tc>
      </w:tr>
      <w:tr>
        <w:trPr/>
        <w:tc>
          <w:tcPr>
            <w:tcW w:w="18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w:t>
            </w:r>
          </w:p>
        </w:tc>
        <w:tc>
          <w:tcPr>
            <w:tcW w:w="7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35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2021</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56,057 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326,781 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(58,415)</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672,238 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1,698 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(792)</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Cumulative effect of adoption of ASU 2020-06</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(37,406)</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3,039 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3,039 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15,721 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1"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December 31, 2021</w:t>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56,314 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339,955 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369,359 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3"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(55,376)</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9"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654,501 </w:t>
            </w:r>
          </w:p>
        </w:tc>
        <w:tc>
          <w:tcPr>
            <w:tcW w:w="217"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1"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571" w:type="dxa"/>
            <w:gridSpan w:val="2"/>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460 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2"/>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460 </w:t>
            </w:r>
          </w:p>
        </w:tc>
        <w:tc>
          <w:tcPr>
            <w:tcW w:w="217" w:type="dxa"/>
            <w:tcBorders>
              <w:top w:val="single" w:sz="12"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Transfer of consideration for other investment</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3,666 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3,666 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14,887 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1"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March 31, 2022</w:t>
            </w:r>
          </w:p>
        </w:tc>
        <w:tc>
          <w:tcPr>
            <w:tcW w:w="571" w:type="dxa"/>
            <w:gridSpan w:val="2"/>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56,656 </w:t>
            </w:r>
          </w:p>
        </w:tc>
        <w:tc>
          <w:tcPr>
            <w:tcW w:w="19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0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567 </w:t>
            </w:r>
          </w:p>
        </w:tc>
        <w:tc>
          <w:tcPr>
            <w:tcW w:w="12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341,913 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384,246 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70"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(51,710)</w:t>
            </w:r>
          </w:p>
        </w:tc>
        <w:tc>
          <w:tcPr>
            <w:tcW w:w="16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675,016 </w:t>
            </w:r>
          </w:p>
        </w:tc>
        <w:tc>
          <w:tcPr>
            <w:tcW w:w="21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interim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0" w:after="0"/>
        <w:ind w:left="0" w:right="0" w:firstLine="72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CASH FLOWS</w:t>
      </w:r>
    </w:p>
    <w:p>
      <w:pPr>
        <w:pStyle w:val="TextBody"/>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tbl>
      <w:tblPr>
        <w:tblW w:w="7568" w:type="dxa"/>
        <w:jc w:val="left"/>
        <w:tblInd w:w="0" w:type="dxa"/>
        <w:tblCellMar>
          <w:top w:w="28" w:type="dxa"/>
          <w:left w:w="28" w:type="dxa"/>
          <w:bottom w:w="28" w:type="dxa"/>
          <w:right w:w="28" w:type="dxa"/>
        </w:tblCellMar>
      </w:tblPr>
      <w:tblGrid>
        <w:gridCol w:w="1926"/>
        <w:gridCol w:w="1697"/>
        <w:gridCol w:w="1701"/>
        <w:gridCol w:w="181"/>
        <w:gridCol w:w="646"/>
        <w:gridCol w:w="109"/>
        <w:gridCol w:w="109"/>
        <w:gridCol w:w="109"/>
        <w:gridCol w:w="109"/>
        <w:gridCol w:w="181"/>
        <w:gridCol w:w="646"/>
        <w:gridCol w:w="154"/>
      </w:tblGrid>
      <w:tr>
        <w:trPr/>
        <w:tc>
          <w:tcPr>
            <w:tcW w:w="1926" w:type="dxa"/>
            <w:tcBorders/>
            <w:shd w:fill="auto" w:val="clear"/>
            <w:vAlign w:val="center"/>
          </w:tcPr>
          <w:p>
            <w:pPr>
              <w:pStyle w:val="TableContents"/>
              <w:spacing w:before="0" w:after="283"/>
              <w:rPr>
                <w:sz w:val="4"/>
                <w:szCs w:val="4"/>
              </w:rPr>
            </w:pPr>
            <w:r>
              <w:rPr>
                <w:sz w:val="4"/>
                <w:szCs w:val="4"/>
              </w:rPr>
            </w:r>
          </w:p>
        </w:tc>
        <w:tc>
          <w:tcPr>
            <w:tcW w:w="1697"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activities: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flows from operating activities: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deferred financing costs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adjustments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inventory reserve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 expense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on extinguishment of debt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acquisitions: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Service charges and fees receivable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other current assets and other assets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(43,969)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(50,258)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Investing activities: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made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(378,717)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(329,459)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repaid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230,604 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199,836 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Recovery of pawn loan principal through sale of forfeited collateral</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171,504 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129,311 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net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 net of cash acquired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notes receivable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unconsolidated affiliates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other investments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activities: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debt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issuance cost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on extinguishment of debt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on debt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(178,488)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Repurchase of common stock</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cash provided by (used in) financing activities </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29,976 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(792)</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in cash, cash equivalents and restricted cash</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37,210 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cash equivalents and restricted cash at beginning of period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263,624 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cash equivalents and restricted cash at end of period</w:t>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251,579 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263,677 </w:t>
            </w:r>
          </w:p>
        </w:tc>
        <w:tc>
          <w:tcPr>
            <w:tcW w:w="15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interim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pPr>
      <w:r>
        <w:rPr>
          <w:rFonts w:ascii="Arial Narrow;sans-serif" w:hAnsi="Arial Narrow;sans-serif"/>
          <w:b/>
          <w:color w:val="00497F"/>
          <w:sz w:val="28"/>
        </w:rPr>
        <w:t xml:space="preserve">Notes to Interim Condensed Consolidated Financial Statements </w:t>
        <w:br/>
      </w:r>
      <w:r>
        <w:rPr>
          <w:rFonts w:ascii="Arial Narrow;sans-serif" w:hAnsi="Arial Narrow;sans-serif"/>
          <w:b/>
          <w:color w:val="00497F"/>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pPr>
      <w:r>
        <w:rPr>
          <w:rFonts w:ascii="Arial Narrow;sans-serif" w:hAnsi="Arial Narrow;sans-serif"/>
          <w:b/>
          <w:color w:val="00497F"/>
          <w:sz w:val="28"/>
        </w:rPr>
        <w:t>NOTE 1: ORGANIZATION AND SUMMARY OF SIGNIFICANT ACCOUNTING POLICIES</w:t>
      </w:r>
      <w:r>
        <w:rPr>
          <w:color w:val="000000"/>
        </w:rPr>
        <w:t xml:space="preserve"> </w:t>
      </w:r>
    </w:p>
    <w:p>
      <w:pPr>
        <w:pStyle w:val="TextBody"/>
        <w:spacing w:lineRule="auto" w:line="288" w:before="180" w:after="283"/>
        <w:rPr>
          <w:rFonts w:ascii="Arial Narrow;sans-serif" w:hAnsi="Arial Narrow;sans-serif"/>
          <w:b/>
          <w:color w:val="000000"/>
          <w:sz w:val="24"/>
        </w:rPr>
      </w:pPr>
      <w:r>
        <w:rPr>
          <w:rFonts w:ascii="Arial Narrow;sans-serif" w:hAnsi="Arial Narrow;sans-serif"/>
          <w:b/>
          <w:color w:val="000000"/>
          <w:sz w:val="24"/>
        </w:rPr>
        <w:t>Description of Business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EZCORP, Inc. (collectively with its subsidiaries, the “Company,” “we,” “us,” or “our”) is a provider of pawn loans in the United States ("U.S.") and Latin America. Pawn loans are non-recourse loans collateralized by tangible property. We also sell merchandise, primarily collateral forfeited from pawn lending operations and pre-owned merchandise purchased from customers.</w:t>
      </w:r>
    </w:p>
    <w:p>
      <w:pPr>
        <w:pStyle w:val="TextBody"/>
        <w:spacing w:lineRule="auto" w:line="288" w:before="180" w:after="283"/>
        <w:rPr>
          <w:rFonts w:ascii="Arial Narrow;sans-serif" w:hAnsi="Arial Narrow;sans-serif"/>
          <w:b/>
          <w:color w:val="000000"/>
          <w:sz w:val="24"/>
        </w:rPr>
      </w:pPr>
      <w:r>
        <w:rPr>
          <w:rFonts w:ascii="Arial Narrow;sans-serif" w:hAnsi="Arial Narrow;sans-serif"/>
          <w:b/>
          <w:color w:val="000000"/>
          <w:sz w:val="24"/>
        </w:rPr>
        <w:t>Basis of Presentation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accompanying interim unaudited condensed consolidated financial statements (“Condensed Consolidated Financial Statements”) have been prepared in accordance with U.S. generally accepted accounting principles (“U.S. GAAP”) for interim financial information and with the instructions to Form 10-Q and Article 10-01 of Regulation S-X. Accordingly, they do not include all of the information and footnotes required by U.S. GAAP for complete financial statements.</w:t>
      </w:r>
    </w:p>
    <w:p>
      <w:pPr>
        <w:pStyle w:val="TextBody"/>
        <w:spacing w:lineRule="auto" w:line="288" w:before="180" w:after="283"/>
        <w:rPr/>
      </w:pPr>
      <w:r>
        <w:rPr>
          <w:rFonts w:ascii="Arial Narrow;sans-serif" w:hAnsi="Arial Narrow;sans-serif"/>
          <w:b w:val="false"/>
          <w:color w:val="000000"/>
          <w:sz w:val="20"/>
        </w:rPr>
        <w:t xml:space="preserve">These Condensed Consolidated Financial Statements should be read in conjunction with the audited consolidated financial statements and related notes contained in our </w:t>
      </w:r>
      <w:r>
        <w:fldChar w:fldCharType="begin"/>
      </w:r>
      <w:r>
        <w:rPr>
          <w:rStyle w:val="InternetLink"/>
          <w:dstrike w:val="false"/>
          <w:strike w:val="false"/>
          <w:sz w:val="20"/>
          <w:u w:val="none"/>
          <w:b w:val="false"/>
          <w:effect w:val="none"/>
          <w:rFonts w:ascii="Arial Narrow;sans-serif" w:hAnsi="Arial Narrow;sans-serif"/>
        </w:rPr>
        <w:instrText> HYPERLINK "https://www.sec.gov/ix?doc=/Archives/edgar/data/876523/000087652322000071/ezpw-20220930.htm" \l "i217f6b0b6bcd49c4bdbf4d1738ef426e_172"</w:instrText>
      </w:r>
      <w:r>
        <w:rPr>
          <w:rStyle w:val="InternetLink"/>
          <w:dstrike w:val="false"/>
          <w:strike w:val="false"/>
          <w:sz w:val="20"/>
          <w:u w:val="none"/>
          <w:b w:val="false"/>
          <w:effect w:val="none"/>
          <w:rFonts w:ascii="Arial Narrow;sans-serif" w:hAnsi="Arial Narrow;sans-serif"/>
        </w:rPr>
        <w:fldChar w:fldCharType="separate"/>
      </w:r>
      <w:r>
        <w:rPr>
          <w:rStyle w:val="InternetLink"/>
          <w:rFonts w:ascii="Arial Narrow;sans-serif" w:hAnsi="Arial Narrow;sans-serif"/>
          <w:b w:val="false"/>
          <w:strike w:val="false"/>
          <w:dstrike w:val="false"/>
          <w:color w:val="000000"/>
          <w:sz w:val="20"/>
          <w:u w:val="none"/>
          <w:effect w:val="none"/>
        </w:rPr>
        <w:t xml:space="preserve">Annual Report on Form 10-K for the year ended September 30, </w:t>
      </w:r>
      <w:r>
        <w:rPr>
          <w:rStyle w:val="InternetLink"/>
          <w:dstrike w:val="false"/>
          <w:strike w:val="false"/>
          <w:sz w:val="20"/>
          <w:u w:val="none"/>
          <w:b w:val="false"/>
          <w:effect w:val="none"/>
          <w:rFonts w:ascii="Arial Narrow;sans-serif" w:hAnsi="Arial Narrow;sans-serif"/>
        </w:rPr>
        <w:fldChar w:fldCharType="end"/>
      </w:r>
      <w:r>
        <w:rPr>
          <w:rFonts w:ascii="Arial Narrow;sans-serif" w:hAnsi="Arial Narrow;sans-serif"/>
          <w:b w:val="false"/>
          <w:color w:val="000000"/>
          <w:sz w:val="20"/>
        </w:rPr>
        <w:t>2022, filed with the Securities and Exchange Commission ("SEC") on November 16, 2022 (“2022 Annual Report”).</w:t>
      </w:r>
    </w:p>
    <w:p>
      <w:pPr>
        <w:pStyle w:val="TextBody"/>
        <w:spacing w:lineRule="auto" w:line="288" w:before="180" w:after="283"/>
        <w:rPr/>
      </w:pPr>
      <w:r>
        <w:rPr>
          <w:rFonts w:ascii="Arial Narrow;sans-serif" w:hAnsi="Arial Narrow;sans-serif"/>
          <w:b w:val="false"/>
          <w:color w:val="000000"/>
          <w:sz w:val="20"/>
        </w:rPr>
        <w:t xml:space="preserve">In the opinion of management, the accompanying Condensed Consolidated Financial Statements include all adjustments, consisting of normal recurring adjustments, considered necessary for a fair presentation. Financial results for the three and six-month period ended March 31, 2023, are not necessarily indicative of results that may be expected for the fiscal year ending September 30, 2023 or any other period due, in part, to seasonal variations. There have been no changes that have had a material impact in significant accounting policies as described in our 2022 </w:t>
      </w:r>
      <w:r>
        <w:fldChar w:fldCharType="begin"/>
      </w:r>
      <w:r>
        <w:rPr>
          <w:rStyle w:val="InternetLink"/>
          <w:dstrike w:val="false"/>
          <w:strike w:val="false"/>
          <w:sz w:val="20"/>
          <w:u w:val="none"/>
          <w:b w:val="false"/>
          <w:effect w:val="none"/>
          <w:rFonts w:ascii="Arial Narrow;sans-serif" w:hAnsi="Arial Narrow;sans-serif"/>
        </w:rPr>
        <w:instrText> HYPERLINK "https://www.sec.gov/ix?doc=/Archives/edgar/data/876523/000087652322000071/ezpw-20220930.htm" \l "i217f6b0b6bcd49c4bdbf4d1738ef426e_172"</w:instrText>
      </w:r>
      <w:r>
        <w:rPr>
          <w:rStyle w:val="InternetLink"/>
          <w:dstrike w:val="false"/>
          <w:strike w:val="false"/>
          <w:sz w:val="20"/>
          <w:u w:val="none"/>
          <w:b w:val="false"/>
          <w:effect w:val="none"/>
          <w:rFonts w:ascii="Arial Narrow;sans-serif" w:hAnsi="Arial Narrow;sans-serif"/>
        </w:rPr>
        <w:fldChar w:fldCharType="separate"/>
      </w:r>
      <w:r>
        <w:rPr>
          <w:rStyle w:val="InternetLink"/>
          <w:rFonts w:ascii="Arial Narrow;sans-serif" w:hAnsi="Arial Narrow;sans-serif"/>
          <w:b w:val="false"/>
          <w:strike w:val="false"/>
          <w:dstrike w:val="false"/>
          <w:color w:val="000000"/>
          <w:sz w:val="20"/>
          <w:u w:val="none"/>
          <w:effect w:val="none"/>
        </w:rPr>
        <w:t>Annual Report</w:t>
      </w:r>
      <w:r>
        <w:rPr>
          <w:rStyle w:val="InternetLink"/>
          <w:dstrike w:val="false"/>
          <w:strike w:val="false"/>
          <w:sz w:val="20"/>
          <w:u w:val="none"/>
          <w:b w:val="false"/>
          <w:effect w:val="none"/>
          <w:rFonts w:ascii="Arial Narrow;sans-serif" w:hAnsi="Arial Narrow;sans-serif"/>
        </w:rPr>
        <w:fldChar w:fldCharType="end"/>
      </w:r>
      <w:r>
        <w:rPr>
          <w:rFonts w:ascii="Arial Narrow;sans-serif" w:hAnsi="Arial Narrow;sans-serif"/>
          <w:b w:val="false"/>
          <w:color w:val="000000"/>
          <w:sz w:val="20"/>
        </w:rPr>
        <w:t>.</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Principles of Consolidation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The accompanying Condensed Consolidated Financial Statements include the accounts of EZCORP, Inc. and its wholly-owned subsidiaries. We use the equity method of accounting for entities in which we have a 50% or less investment and exercise significant influence. We account for equity investments for which we do not have significant influence and without readily determinable fair values at cost with adjustments for observable changes in price in orderly transactions for identical or similar investments of the same issuer or impairments. All inter-company accounts and transactions have been eliminated in consolidation. </w:t>
      </w:r>
    </w:p>
    <w:p>
      <w:pPr>
        <w:pStyle w:val="TextBody"/>
        <w:spacing w:lineRule="auto" w:line="288" w:before="180" w:after="283"/>
        <w:rPr/>
      </w:pPr>
      <w:r>
        <w:rPr>
          <w:rFonts w:ascii="Arial Narrow;sans-serif" w:hAnsi="Arial Narrow;sans-serif"/>
          <w:b/>
          <w:color w:val="000000"/>
          <w:sz w:val="20"/>
        </w:rPr>
        <w:t>Use of Estimates and Assumptions</w:t>
      </w:r>
      <w:r>
        <w:rPr>
          <w:color w:val="000000"/>
        </w:rPr>
        <w:t xml:space="preserve"> </w:t>
      </w:r>
    </w:p>
    <w:p>
      <w:pPr>
        <w:pStyle w:val="TextBody"/>
        <w:spacing w:lineRule="auto" w:line="288" w:before="180" w:after="283"/>
        <w:rPr/>
      </w:pPr>
      <w:r>
        <w:rPr>
          <w:rFonts w:ascii="Arial Narrow;sans-serif" w:hAnsi="Arial Narrow;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the determination of inventory reserves, expected credit losses, useful lives of long-lived and intangible assets, valuation of share-based compensation, valuation of equity investments, valuation of deferred tax assets and liabilities, loss contingencies related to litigation and discount rates used for operating leases. We base our estimates on historical experience, observable trends and various other assumptions we believe are reasonable. Actual results may differ materially from these estimates under different assumptions or conditions.</w:t>
        <w:br/>
        <w:br/>
      </w:r>
      <w:r>
        <w:rPr>
          <w:rFonts w:ascii="Arial Narrow;sans-serif" w:hAnsi="Arial Narrow;sans-serif"/>
          <w:b/>
          <w:color w:val="000000"/>
          <w:sz w:val="20"/>
        </w:rPr>
        <w:t>Recently Issued Accounting Pronouncements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We reviewed all recently issued accounting pronouncements and concluded that they were either not applicable or not expected to have a material impact on our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NOTE 2: GOODWILL</w:t>
      </w:r>
    </w:p>
    <w:p>
      <w:pPr>
        <w:pStyle w:val="TextBody"/>
        <w:spacing w:lineRule="auto" w:line="288" w:before="180" w:after="180"/>
        <w:jc w:val="both"/>
        <w:rPr>
          <w:rFonts w:ascii="Arial Narrow;sans-serif" w:hAnsi="Arial Narrow;sans-serif"/>
          <w:b w:val="false"/>
          <w:color w:val="000000"/>
          <w:sz w:val="20"/>
          <w:highlight w:val="white"/>
        </w:rPr>
      </w:pPr>
      <w:r>
        <w:rPr>
          <w:rFonts w:ascii="Arial Narrow;sans-serif" w:hAnsi="Arial Narrow;sans-serif"/>
          <w:b w:val="false"/>
          <w:color w:val="000000"/>
          <w:sz w:val="20"/>
          <w:highlight w:val="white"/>
        </w:rPr>
        <w:t>The following table summarizes the changes in the carrying amount of goodwill by segment and in total:</w:t>
      </w:r>
    </w:p>
    <w:tbl>
      <w:tblPr>
        <w:tblW w:w="7140" w:type="dxa"/>
        <w:jc w:val="left"/>
        <w:tblInd w:w="0" w:type="dxa"/>
        <w:tblCellMar>
          <w:top w:w="28" w:type="dxa"/>
          <w:left w:w="28" w:type="dxa"/>
          <w:bottom w:w="28" w:type="dxa"/>
          <w:right w:w="28" w:type="dxa"/>
        </w:tblCellMar>
      </w:tblPr>
      <w:tblGrid>
        <w:gridCol w:w="1079"/>
        <w:gridCol w:w="951"/>
        <w:gridCol w:w="954"/>
        <w:gridCol w:w="181"/>
        <w:gridCol w:w="646"/>
        <w:gridCol w:w="109"/>
        <w:gridCol w:w="109"/>
        <w:gridCol w:w="109"/>
        <w:gridCol w:w="109"/>
        <w:gridCol w:w="315"/>
        <w:gridCol w:w="995"/>
        <w:gridCol w:w="190"/>
        <w:gridCol w:w="109"/>
        <w:gridCol w:w="109"/>
        <w:gridCol w:w="109"/>
        <w:gridCol w:w="196"/>
        <w:gridCol w:w="701"/>
        <w:gridCol w:w="169"/>
      </w:tblGrid>
      <w:tr>
        <w:trPr/>
        <w:tc>
          <w:tcPr>
            <w:tcW w:w="107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56"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2023</w:t>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2022</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245,503 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41,325 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286,828 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9,468 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foreign currency translation changes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3,782 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3,782 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March 31, 2023</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254,971 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1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45,107 </w:t>
            </w:r>
          </w:p>
        </w:tc>
        <w:tc>
          <w:tcPr>
            <w:tcW w:w="19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300,078 </w:t>
            </w:r>
          </w:p>
        </w:tc>
        <w:tc>
          <w:tcPr>
            <w:tcW w:w="16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7140" w:type="dxa"/>
        <w:jc w:val="left"/>
        <w:tblInd w:w="0" w:type="dxa"/>
        <w:tblCellMar>
          <w:top w:w="28" w:type="dxa"/>
          <w:left w:w="28" w:type="dxa"/>
          <w:bottom w:w="28" w:type="dxa"/>
          <w:right w:w="28" w:type="dxa"/>
        </w:tblCellMar>
      </w:tblPr>
      <w:tblGrid>
        <w:gridCol w:w="1079"/>
        <w:gridCol w:w="951"/>
        <w:gridCol w:w="954"/>
        <w:gridCol w:w="181"/>
        <w:gridCol w:w="646"/>
        <w:gridCol w:w="109"/>
        <w:gridCol w:w="109"/>
        <w:gridCol w:w="109"/>
        <w:gridCol w:w="109"/>
        <w:gridCol w:w="315"/>
        <w:gridCol w:w="995"/>
        <w:gridCol w:w="190"/>
        <w:gridCol w:w="109"/>
        <w:gridCol w:w="109"/>
        <w:gridCol w:w="109"/>
        <w:gridCol w:w="196"/>
        <w:gridCol w:w="701"/>
        <w:gridCol w:w="169"/>
      </w:tblGrid>
      <w:tr>
        <w:trPr/>
        <w:tc>
          <w:tcPr>
            <w:tcW w:w="107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56"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2022</w:t>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2021</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244,471 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41,287 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285,758 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Measurement period adjustments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foreign currency translation changes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1,134 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1,134 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298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Balances as of March 31, 2022</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244,471 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1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41,743 </w:t>
            </w:r>
          </w:p>
        </w:tc>
        <w:tc>
          <w:tcPr>
            <w:tcW w:w="19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286,214 </w:t>
            </w:r>
          </w:p>
        </w:tc>
        <w:tc>
          <w:tcPr>
            <w:tcW w:w="16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rPr/>
      </w:pPr>
      <w:r>
        <w:rPr>
          <w:rFonts w:ascii="Arial Narrow;sans-serif" w:hAnsi="Arial Narrow;sans-serif"/>
          <w:b w:val="false"/>
          <w:color w:val="000000"/>
          <w:sz w:val="20"/>
          <w:highlight w:val="white"/>
        </w:rPr>
        <w:t xml:space="preserve">During the first quarter of fiscal 2023, we acquired nine pawn stores located in Houston, Texas and one luxury pawn store in Las Vegas, Nevada for total cash consideration of </w:t>
      </w:r>
      <w:r>
        <w:rPr>
          <w:rFonts w:ascii="Arial Narrow;sans-serif" w:hAnsi="Arial Narrow;sans-serif"/>
          <w:b w:val="false"/>
          <w:color w:val="000000"/>
          <w:sz w:val="20"/>
        </w:rPr>
        <w:t>$13.0 million</w:t>
      </w:r>
      <w:r>
        <w:rPr>
          <w:rFonts w:ascii="Arial Narrow;sans-serif" w:hAnsi="Arial Narrow;sans-serif"/>
          <w:b w:val="false"/>
          <w:color w:val="000000"/>
          <w:sz w:val="20"/>
          <w:highlight w:val="white"/>
        </w:rPr>
        <w:t xml:space="preserve">, inclusive of all ancillary arrangements, of which $9.4 million was recorded as goodwill. These acquisitions expand our position in these strategic markets and expands our offerings by providing a dedicated and </w:t>
      </w:r>
      <w:r>
        <w:rPr>
          <w:rFonts w:ascii="Arial Narrow;sans-serif" w:hAnsi="Arial Narrow;sans-serif"/>
          <w:b w:val="false"/>
          <w:color w:val="000000"/>
          <w:sz w:val="20"/>
        </w:rPr>
        <w:t>targeted</w:t>
      </w:r>
      <w:r>
        <w:rPr>
          <w:color w:val="000000"/>
          <w:highlight w:val="white"/>
        </w:rPr>
        <w:t xml:space="preserve"> </w:t>
      </w:r>
      <w:r>
        <w:rPr>
          <w:rFonts w:ascii="Arial Narrow;sans-serif" w:hAnsi="Arial Narrow;sans-serif"/>
          <w:b w:val="false"/>
          <w:color w:val="000000"/>
          <w:sz w:val="20"/>
          <w:highlight w:val="white"/>
        </w:rPr>
        <w:t>focus on higher-end products. These acquisitions were immaterial, individually and in the aggregate, and we have therefore omitted or aggregated certain disclosures.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 xml:space="preserve">NOTE 3: (LOSS) EARNINGS PER SHARE </w:t>
      </w:r>
    </w:p>
    <w:p>
      <w:pPr>
        <w:pStyle w:val="TextBody"/>
        <w:spacing w:lineRule="auto" w:line="288" w:before="180" w:after="283"/>
        <w:rPr/>
      </w:pPr>
      <w:r>
        <w:rPr>
          <w:rFonts w:ascii="Arial Narrow;sans-serif" w:hAnsi="Arial Narrow;sans-serif"/>
          <w:b w:val="false"/>
          <w:color w:val="000000"/>
          <w:sz w:val="20"/>
        </w:rPr>
        <w:t xml:space="preserve">The following table reconciles the number of common shares used to compute basic and diluted (loss) </w:t>
      </w:r>
      <w:r>
        <w:rPr>
          <w:rFonts w:ascii="Arial Narrow;sans-serif" w:hAnsi="Arial Narrow;sans-serif"/>
          <w:b w:val="false"/>
          <w:color w:val="000000"/>
          <w:sz w:val="20"/>
          <w:highlight w:val="white"/>
        </w:rPr>
        <w:t>earnings</w:t>
      </w:r>
      <w:r>
        <w:rPr>
          <w:color w:val="000000"/>
        </w:rPr>
        <w:t xml:space="preserve"> </w:t>
      </w:r>
      <w:r>
        <w:rPr>
          <w:rFonts w:ascii="Arial Narrow;sans-serif" w:hAnsi="Arial Narrow;sans-serif"/>
          <w:b w:val="false"/>
          <w:color w:val="000000"/>
          <w:sz w:val="20"/>
        </w:rPr>
        <w:t>per share attributable to EZCORP Inc., shareholders:</w:t>
      </w:r>
    </w:p>
    <w:tbl>
      <w:tblPr>
        <w:tblW w:w="10205" w:type="dxa"/>
        <w:jc w:val="left"/>
        <w:tblInd w:w="0" w:type="dxa"/>
        <w:tblCellMar>
          <w:top w:w="28" w:type="dxa"/>
          <w:left w:w="28" w:type="dxa"/>
          <w:bottom w:w="28" w:type="dxa"/>
          <w:right w:w="28" w:type="dxa"/>
        </w:tblCellMar>
      </w:tblPr>
      <w:tblGrid>
        <w:gridCol w:w="2141"/>
        <w:gridCol w:w="1849"/>
        <w:gridCol w:w="1857"/>
        <w:gridCol w:w="181"/>
        <w:gridCol w:w="533"/>
        <w:gridCol w:w="109"/>
        <w:gridCol w:w="109"/>
        <w:gridCol w:w="109"/>
        <w:gridCol w:w="109"/>
        <w:gridCol w:w="181"/>
        <w:gridCol w:w="571"/>
        <w:gridCol w:w="109"/>
        <w:gridCol w:w="109"/>
        <w:gridCol w:w="109"/>
        <w:gridCol w:w="109"/>
        <w:gridCol w:w="181"/>
        <w:gridCol w:w="496"/>
        <w:gridCol w:w="109"/>
        <w:gridCol w:w="109"/>
        <w:gridCol w:w="109"/>
        <w:gridCol w:w="109"/>
        <w:gridCol w:w="181"/>
        <w:gridCol w:w="571"/>
        <w:gridCol w:w="155"/>
      </w:tblGrid>
      <w:tr>
        <w:trPr/>
        <w:tc>
          <w:tcPr>
            <w:tcW w:w="2141" w:type="dxa"/>
            <w:tcBorders/>
            <w:shd w:fill="auto" w:val="clear"/>
            <w:vAlign w:val="center"/>
          </w:tcPr>
          <w:p>
            <w:pPr>
              <w:pStyle w:val="TableContents"/>
              <w:spacing w:before="0" w:after="283"/>
              <w:rPr>
                <w:sz w:val="4"/>
                <w:szCs w:val="4"/>
              </w:rPr>
            </w:pPr>
            <w:r>
              <w:rPr>
                <w:sz w:val="4"/>
                <w:szCs w:val="4"/>
              </w:rPr>
            </w:r>
          </w:p>
        </w:tc>
        <w:tc>
          <w:tcPr>
            <w:tcW w:w="1849" w:type="dxa"/>
            <w:tcBorders/>
            <w:shd w:fill="auto" w:val="clear"/>
            <w:vAlign w:val="center"/>
          </w:tcPr>
          <w:p>
            <w:pPr>
              <w:pStyle w:val="TableContents"/>
              <w:spacing w:before="0" w:after="283"/>
              <w:rPr>
                <w:sz w:val="4"/>
                <w:szCs w:val="4"/>
              </w:rPr>
            </w:pPr>
            <w:r>
              <w:rPr>
                <w:sz w:val="4"/>
                <w:szCs w:val="4"/>
              </w:rPr>
            </w:r>
          </w:p>
        </w:tc>
        <w:tc>
          <w:tcPr>
            <w:tcW w:w="1857"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1"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r>
      <w:tr>
        <w:trPr/>
        <w:tc>
          <w:tcPr>
            <w:tcW w:w="58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per share amounts)</w:t>
            </w:r>
          </w:p>
        </w:tc>
        <w:tc>
          <w:tcPr>
            <w:tcW w:w="8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5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Basic (loss) earnings per common share:</w:t>
            </w:r>
          </w:p>
        </w:tc>
        <w:tc>
          <w:tcPr>
            <w:tcW w:w="8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(loss) income - basic </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30,608 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basic</w:t>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56,561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56,370 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Basic (loss) earnings per common share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33"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0.54 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Diluted (loss) earnings per common share:</w:t>
            </w:r>
          </w:p>
        </w:tc>
        <w:tc>
          <w:tcPr>
            <w:tcW w:w="8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income - basic</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30,608 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 Convertible Notes interest expense, net of tax*</w:t>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3,730 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r>
      <w:tr>
        <w:trPr/>
        <w:tc>
          <w:tcPr>
            <w:tcW w:w="5847"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r>
      <w:tr>
        <w:trPr/>
        <w:tc>
          <w:tcPr>
            <w:tcW w:w="5847"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r>
      <w:tr>
        <w:trPr/>
        <w:tc>
          <w:tcPr>
            <w:tcW w:w="5847"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(loss) income - diluted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3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(6,790)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34,338 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basic</w:t>
            </w:r>
          </w:p>
        </w:tc>
        <w:tc>
          <w:tcPr>
            <w:tcW w:w="714"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55,648 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56,561 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55,981 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56,370 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 awards - effect of dilution**</w:t>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Convertible Notes - effect of dilution</w:t>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25,224 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r>
      <w:tr>
        <w:trPr/>
        <w:tc>
          <w:tcPr>
            <w:tcW w:w="5847"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r>
      <w:tr>
        <w:trPr/>
        <w:tc>
          <w:tcPr>
            <w:tcW w:w="5847"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r>
      <w:tr>
        <w:trPr/>
        <w:tc>
          <w:tcPr>
            <w:tcW w:w="58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diluted</w:t>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82,407 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65,269 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82,270 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top w:val="single" w:sz="8" w:space="0" w:color="929292"/>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(loss) earnings per common share</w:t>
            </w:r>
          </w:p>
        </w:tc>
        <w:tc>
          <w:tcPr>
            <w:tcW w:w="181" w:type="dxa"/>
            <w:tcBorders>
              <w:top w:val="single" w:sz="8" w:space="0" w:color="929292"/>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33" w:type="dxa"/>
            <w:tcBorders>
              <w:top w:val="single" w:sz="8" w:space="0" w:color="929292"/>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(0.12)</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929292"/>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929292"/>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0.20 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929292"/>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8" w:space="0" w:color="929292"/>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0.11 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929292"/>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929292"/>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0.42 </w:t>
            </w:r>
          </w:p>
        </w:tc>
        <w:tc>
          <w:tcPr>
            <w:tcW w:w="155" w:type="dxa"/>
            <w:tcBorders>
              <w:top w:val="single" w:sz="8" w:space="0" w:color="929292"/>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Potential common shares excluded from the calculation of diluted (loss) earnings per common share above:</w:t>
            </w:r>
          </w:p>
        </w:tc>
        <w:tc>
          <w:tcPr>
            <w:tcW w:w="8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 awards**</w:t>
            </w:r>
          </w:p>
        </w:tc>
        <w:tc>
          <w:tcPr>
            <w:tcW w:w="8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Convertible Notes***</w:t>
            </w:r>
          </w:p>
        </w:tc>
        <w:tc>
          <w:tcPr>
            <w:tcW w:w="8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30,417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r>
      <w:tr>
        <w:trPr/>
        <w:tc>
          <w:tcPr>
            <w:tcW w:w="5847"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r>
      <w:tr>
        <w:trPr/>
        <w:tc>
          <w:tcPr>
            <w:tcW w:w="5847"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r>
      <w:tr>
        <w:trPr/>
        <w:tc>
          <w:tcPr>
            <w:tcW w:w="58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stock****</w:t>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7" w:type="dxa"/>
            <w:gridSpan w:val="3"/>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714" w:type="dxa"/>
            <w:gridSpan w:val="2"/>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32,935 </w:t>
            </w:r>
          </w:p>
        </w:tc>
        <w:tc>
          <w:tcPr>
            <w:tcW w:w="109" w:type="dxa"/>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1,756 </w:t>
            </w:r>
          </w:p>
        </w:tc>
        <w:tc>
          <w:tcPr>
            <w:tcW w:w="109" w:type="dxa"/>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21,669 </w:t>
            </w:r>
          </w:p>
        </w:tc>
        <w:tc>
          <w:tcPr>
            <w:tcW w:w="109" w:type="dxa"/>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929292"/>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1,847 </w:t>
            </w:r>
          </w:p>
        </w:tc>
        <w:tc>
          <w:tcPr>
            <w:tcW w:w="155" w:type="dxa"/>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rial Narrow;sans-serif" w:hAnsi="Arial Narrow;sans-serif"/>
          <w:b w:val="false"/>
          <w:color w:val="000000"/>
          <w:sz w:val="16"/>
        </w:rPr>
      </w:pPr>
      <w:r>
        <w:rPr>
          <w:rFonts w:ascii="Arial Narrow;sans-serif" w:hAnsi="Arial Narrow;sans-serif"/>
          <w:b w:val="false"/>
          <w:color w:val="000000"/>
          <w:sz w:val="16"/>
        </w:rPr>
        <w:t>*    The six months ended March 31, 2023 includes $5.4 million gain on the partial extinguishment of debt, associated with the 2025 Convertible Notes, which was recorded to "Interest expense" in the Company's condensed consolidated statement of operations. See Note 7: Debt for additional information.</w:t>
      </w:r>
    </w:p>
    <w:p>
      <w:pPr>
        <w:pStyle w:val="TextBody"/>
        <w:spacing w:lineRule="auto" w:line="288" w:before="0" w:after="0"/>
        <w:ind w:left="0" w:right="0" w:hanging="360"/>
        <w:rPr>
          <w:rFonts w:ascii="Arial Narrow;sans-serif" w:hAnsi="Arial Narrow;sans-serif"/>
          <w:b w:val="false"/>
          <w:color w:val="000000"/>
          <w:sz w:val="16"/>
        </w:rPr>
      </w:pPr>
      <w:r>
        <w:rPr>
          <w:rFonts w:ascii="Arial Narrow;sans-serif" w:hAnsi="Arial Narrow;sans-serif"/>
          <w:b w:val="false"/>
          <w:color w:val="000000"/>
          <w:sz w:val="16"/>
        </w:rPr>
        <w:t>**    Includes time-based share-based awards and performance based awards for which targets for fiscal year tranches have been achieved and vesting is subject only to achievement of service conditions.</w:t>
      </w:r>
    </w:p>
    <w:p>
      <w:pPr>
        <w:pStyle w:val="TextBody"/>
        <w:spacing w:lineRule="auto" w:line="288" w:before="0" w:after="0"/>
        <w:ind w:left="0" w:right="0" w:hanging="360"/>
        <w:rPr>
          <w:rFonts w:ascii="Arial Narrow;sans-serif" w:hAnsi="Arial Narrow;sans-serif"/>
          <w:b w:val="false"/>
          <w:color w:val="000000"/>
          <w:sz w:val="16"/>
        </w:rPr>
      </w:pPr>
      <w:r>
        <w:rPr>
          <w:rFonts w:ascii="Arial Narrow;sans-serif" w:hAnsi="Arial Narrow;sans-serif"/>
          <w:b w:val="false"/>
          <w:color w:val="000000"/>
          <w:sz w:val="16"/>
        </w:rPr>
        <w:t>***    See Note 7: Debt for conversion rate of the 2024 Convertible Notes, 2025 Convertible Notes, and 2029 Convertible Notes.</w:t>
      </w:r>
    </w:p>
    <w:p>
      <w:pPr>
        <w:pStyle w:val="TextBody"/>
        <w:spacing w:lineRule="auto" w:line="288" w:before="0" w:after="0"/>
        <w:ind w:left="0" w:right="0" w:hanging="360"/>
        <w:rPr>
          <w:rFonts w:ascii="Arial Narrow;sans-serif" w:hAnsi="Arial Narrow;sans-serif"/>
          <w:b w:val="false"/>
          <w:color w:val="000000"/>
          <w:sz w:val="16"/>
        </w:rPr>
      </w:pPr>
      <w:r>
        <w:rPr>
          <w:rFonts w:ascii="Arial Narrow;sans-serif" w:hAnsi="Arial Narrow;sans-serif"/>
          <w:b w:val="false"/>
          <w:color w:val="000000"/>
          <w:sz w:val="16"/>
        </w:rPr>
        <w:t>****    Includes antidilutive share-based awards as well as performance-based share-based awards that are contingently issuable, but for which the condition for issuance has not been met as of the end of the reporting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NOTE 4: LEASES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determine if a contract contains a lease at inception. Our lease portfolio consists primarily of operating leases for pawn store locations and corporate offices with lease terms ranging from three to ten years.</w:t>
      </w:r>
    </w:p>
    <w:p>
      <w:pPr>
        <w:pStyle w:val="TextBody"/>
        <w:spacing w:lineRule="auto" w:line="276" w:before="180" w:after="283"/>
        <w:rPr>
          <w:rFonts w:ascii="Arial Narrow;sans-serif" w:hAnsi="Arial Narrow;sans-serif"/>
          <w:b w:val="false"/>
          <w:color w:val="000000"/>
          <w:sz w:val="20"/>
          <w:highlight w:val="white"/>
        </w:rPr>
      </w:pPr>
      <w:r>
        <w:rPr>
          <w:rFonts w:ascii="Arial Narrow;sans-serif" w:hAnsi="Arial Narrow;sans-serif"/>
          <w:b w:val="false"/>
          <w:color w:val="000000"/>
          <w:sz w:val="20"/>
          <w:highlight w:val="white"/>
        </w:rPr>
        <w:t>The table below presents balances of our lease assets and liabilities and their balance sheet locations for both operating and financing leases:</w:t>
      </w:r>
    </w:p>
    <w:tbl>
      <w:tblPr>
        <w:tblW w:w="10205" w:type="dxa"/>
        <w:jc w:val="left"/>
        <w:tblInd w:w="0" w:type="dxa"/>
        <w:tblCellMar>
          <w:top w:w="28" w:type="dxa"/>
          <w:left w:w="28" w:type="dxa"/>
          <w:bottom w:w="28" w:type="dxa"/>
          <w:right w:w="28" w:type="dxa"/>
        </w:tblCellMar>
      </w:tblPr>
      <w:tblGrid>
        <w:gridCol w:w="770"/>
        <w:gridCol w:w="666"/>
        <w:gridCol w:w="668"/>
        <w:gridCol w:w="1232"/>
        <w:gridCol w:w="1207"/>
        <w:gridCol w:w="1212"/>
        <w:gridCol w:w="209"/>
        <w:gridCol w:w="748"/>
        <w:gridCol w:w="126"/>
        <w:gridCol w:w="109"/>
        <w:gridCol w:w="109"/>
        <w:gridCol w:w="109"/>
        <w:gridCol w:w="209"/>
        <w:gridCol w:w="748"/>
        <w:gridCol w:w="126"/>
        <w:gridCol w:w="109"/>
        <w:gridCol w:w="109"/>
        <w:gridCol w:w="109"/>
        <w:gridCol w:w="263"/>
        <w:gridCol w:w="942"/>
        <w:gridCol w:w="158"/>
        <w:gridCol w:w="109"/>
        <w:gridCol w:w="158"/>
      </w:tblGrid>
      <w:tr>
        <w:trPr/>
        <w:tc>
          <w:tcPr>
            <w:tcW w:w="770"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6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Sheet Location</w:t>
            </w:r>
          </w:p>
        </w:tc>
        <w:tc>
          <w:tcPr>
            <w:tcW w:w="10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2022</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Lease assets:</w:t>
            </w:r>
          </w:p>
        </w:tc>
        <w:tc>
          <w:tcPr>
            <w:tcW w:w="36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w:t>
            </w:r>
          </w:p>
        </w:tc>
        <w:tc>
          <w:tcPr>
            <w:tcW w:w="36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234,287 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204,343 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221,405 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assets</w:t>
            </w:r>
          </w:p>
        </w:tc>
        <w:tc>
          <w:tcPr>
            <w:tcW w:w="36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w:t>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assets</w:t>
            </w:r>
          </w:p>
        </w:tc>
        <w:tc>
          <w:tcPr>
            <w:tcW w:w="365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235,576 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204,343 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221,586 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auto" w:val="clear"/>
            <w:vAlign w:val="center"/>
          </w:tcPr>
          <w:p>
            <w:pPr>
              <w:pStyle w:val="TableContents"/>
              <w:spacing w:before="0" w:after="283"/>
              <w:rPr>
                <w:sz w:val="4"/>
                <w:szCs w:val="4"/>
              </w:rPr>
            </w:pPr>
            <w:r>
              <w:rPr>
                <w:sz w:val="4"/>
                <w:szCs w:val="4"/>
              </w:rPr>
            </w:r>
          </w:p>
        </w:tc>
        <w:tc>
          <w:tcPr>
            <w:tcW w:w="3651"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auto" w:val="clear"/>
            <w:vAlign w:val="center"/>
          </w:tcPr>
          <w:p>
            <w:pPr>
              <w:pStyle w:val="TableContents"/>
              <w:spacing w:before="0" w:after="283"/>
              <w:rPr>
                <w:sz w:val="4"/>
                <w:szCs w:val="4"/>
              </w:rPr>
            </w:pPr>
            <w:r>
              <w:rPr>
                <w:sz w:val="4"/>
                <w:szCs w:val="4"/>
              </w:rPr>
            </w:r>
          </w:p>
        </w:tc>
        <w:tc>
          <w:tcPr>
            <w:tcW w:w="3651"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auto" w:val="clear"/>
            <w:vAlign w:val="center"/>
          </w:tcPr>
          <w:p>
            <w:pPr>
              <w:pStyle w:val="TableContents"/>
              <w:spacing w:before="0" w:after="283"/>
              <w:rPr>
                <w:sz w:val="4"/>
                <w:szCs w:val="4"/>
              </w:rPr>
            </w:pPr>
            <w:r>
              <w:rPr>
                <w:sz w:val="4"/>
                <w:szCs w:val="4"/>
              </w:rPr>
            </w:r>
          </w:p>
        </w:tc>
        <w:tc>
          <w:tcPr>
            <w:tcW w:w="3651"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51"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Lease liabilities:</w:t>
            </w:r>
          </w:p>
        </w:tc>
        <w:tc>
          <w:tcPr>
            <w:tcW w:w="36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w:t>
            </w:r>
          </w:p>
        </w:tc>
        <w:tc>
          <w:tcPr>
            <w:tcW w:w="36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6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53,921 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52,446 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52,334 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liabilities</w:t>
            </w:r>
          </w:p>
        </w:tc>
        <w:tc>
          <w:tcPr>
            <w:tcW w:w="36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lease liabilities</w:t>
            </w:r>
          </w:p>
        </w:tc>
        <w:tc>
          <w:tcPr>
            <w:tcW w:w="365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54,203 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52,446 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52,371 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51"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w:t>
            </w:r>
          </w:p>
        </w:tc>
        <w:tc>
          <w:tcPr>
            <w:tcW w:w="36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6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191,874 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163,506 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180,756 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liabilities</w:t>
            </w:r>
          </w:p>
        </w:tc>
        <w:tc>
          <w:tcPr>
            <w:tcW w:w="36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non-current lease liabilities</w:t>
            </w:r>
          </w:p>
        </w:tc>
        <w:tc>
          <w:tcPr>
            <w:tcW w:w="3651"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192,898 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163,506 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180,904 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3651" w:type="dxa"/>
            <w:gridSpan w:val="3"/>
            <w:tcBorders>
              <w:top w:val="single" w:sz="12"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8"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247,101 </w:t>
            </w:r>
          </w:p>
        </w:tc>
        <w:tc>
          <w:tcPr>
            <w:tcW w:w="12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8"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215,952 </w:t>
            </w:r>
          </w:p>
        </w:tc>
        <w:tc>
          <w:tcPr>
            <w:tcW w:w="12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63"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233,275 </w:t>
            </w:r>
          </w:p>
        </w:tc>
        <w:tc>
          <w:tcPr>
            <w:tcW w:w="158"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60" w:after="283"/>
        <w:rPr>
          <w:rFonts w:ascii="Arial Narrow;sans-serif" w:hAnsi="Arial Narrow;sans-serif"/>
          <w:b w:val="false"/>
          <w:color w:val="000000"/>
          <w:sz w:val="20"/>
          <w:highlight w:val="white"/>
        </w:rPr>
      </w:pPr>
      <w:r>
        <w:rPr>
          <w:rFonts w:ascii="Arial Narrow;sans-serif" w:hAnsi="Arial Narrow;sans-serif"/>
          <w:b w:val="false"/>
          <w:color w:val="000000"/>
          <w:sz w:val="20"/>
          <w:highlight w:val="white"/>
        </w:rPr>
        <w:t>The table below provides major components of our lease costs:</w:t>
      </w:r>
    </w:p>
    <w:tbl>
      <w:tblPr>
        <w:tblW w:w="6990" w:type="dxa"/>
        <w:jc w:val="left"/>
        <w:tblInd w:w="0" w:type="dxa"/>
        <w:tblCellMar>
          <w:top w:w="28" w:type="dxa"/>
          <w:left w:w="28" w:type="dxa"/>
          <w:bottom w:w="28" w:type="dxa"/>
          <w:right w:w="28" w:type="dxa"/>
        </w:tblCellMar>
      </w:tblPr>
      <w:tblGrid>
        <w:gridCol w:w="911"/>
        <w:gridCol w:w="804"/>
        <w:gridCol w:w="805"/>
        <w:gridCol w:w="181"/>
        <w:gridCol w:w="571"/>
        <w:gridCol w:w="109"/>
        <w:gridCol w:w="109"/>
        <w:gridCol w:w="109"/>
        <w:gridCol w:w="109"/>
        <w:gridCol w:w="181"/>
        <w:gridCol w:w="571"/>
        <w:gridCol w:w="109"/>
        <w:gridCol w:w="109"/>
        <w:gridCol w:w="109"/>
        <w:gridCol w:w="109"/>
        <w:gridCol w:w="181"/>
        <w:gridCol w:w="571"/>
        <w:gridCol w:w="109"/>
        <w:gridCol w:w="109"/>
        <w:gridCol w:w="109"/>
        <w:gridCol w:w="109"/>
        <w:gridCol w:w="181"/>
        <w:gridCol w:w="571"/>
        <w:gridCol w:w="154"/>
      </w:tblGrid>
      <w:tr>
        <w:trPr/>
        <w:tc>
          <w:tcPr>
            <w:tcW w:w="911"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Operating lease cost:</w:t>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cost *</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33,151 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Variable lease cost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lease cost</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43,398 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40,527 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Financing lease cost:</w:t>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financing lease assets</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on financing lease liabilities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financing lease cost</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cost</w:t>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22,130 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20,623 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43,507 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40,527 </w:t>
            </w:r>
          </w:p>
        </w:tc>
        <w:tc>
          <w:tcPr>
            <w:tcW w:w="154"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Arial Narrow;sans-serif" w:hAnsi="Arial Narrow;sans-serif"/>
          <w:b w:val="false"/>
          <w:color w:val="000000"/>
          <w:sz w:val="20"/>
        </w:rPr>
        <w:br/>
      </w:r>
      <w:r>
        <w:rPr>
          <w:rFonts w:ascii="Arial Narrow;sans-serif" w:hAnsi="Arial Narrow;sans-serif"/>
          <w:b w:val="false"/>
          <w:color w:val="000000"/>
          <w:sz w:val="16"/>
        </w:rPr>
        <w:t>* Includes a reduction for sublease rental income of $1.1 million and $0.8 million for the three months ended March 31, 2023 and 2022, respectively and $1.8 million and $1.7 million for the six months ended March 31, 2023 and 2022, respectively.</w:t>
      </w:r>
    </w:p>
    <w:p>
      <w:pPr>
        <w:pStyle w:val="TextBody"/>
        <w:spacing w:lineRule="auto" w:line="288" w:before="240" w:after="283"/>
        <w:rPr>
          <w:rFonts w:ascii="Arial Narrow;sans-serif" w:hAnsi="Arial Narrow;sans-serif"/>
          <w:b w:val="false"/>
          <w:color w:val="000000"/>
          <w:sz w:val="20"/>
        </w:rPr>
      </w:pPr>
      <w:r>
        <w:rPr>
          <w:rFonts w:ascii="Arial Narrow;sans-serif" w:hAnsi="Arial Narrow;sans-serif"/>
          <w:b w:val="false"/>
          <w:color w:val="000000"/>
          <w:sz w:val="20"/>
        </w:rPr>
        <w:t>Lease expense is recognized on a straight-line basis over the lease term with variable lease expense recognized in the period in which the costs are incurred. The components of lease expense are included in "Store" and "General and Administrative" expense, based on the underlying lease use. Cash paid for operating leases was $18.9 million and $18.0 million for the three months ended March 31, 2023 and 2022, respectively and $37.4 million and $35.6 million for the six months ended March 31, 2023 and 2022, respectively.</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weighted-average term and discount rates for leases are as follows:</w:t>
      </w:r>
    </w:p>
    <w:tbl>
      <w:tblPr>
        <w:tblW w:w="4978" w:type="dxa"/>
        <w:jc w:val="left"/>
        <w:tblInd w:w="0" w:type="dxa"/>
        <w:tblCellMar>
          <w:top w:w="28" w:type="dxa"/>
          <w:left w:w="28" w:type="dxa"/>
          <w:bottom w:w="28" w:type="dxa"/>
          <w:right w:w="28" w:type="dxa"/>
        </w:tblCellMar>
      </w:tblPr>
      <w:tblGrid>
        <w:gridCol w:w="1129"/>
        <w:gridCol w:w="994"/>
        <w:gridCol w:w="996"/>
        <w:gridCol w:w="247"/>
        <w:gridCol w:w="249"/>
        <w:gridCol w:w="266"/>
        <w:gridCol w:w="120"/>
        <w:gridCol w:w="120"/>
        <w:gridCol w:w="120"/>
        <w:gridCol w:w="210"/>
        <w:gridCol w:w="211"/>
        <w:gridCol w:w="316"/>
      </w:tblGrid>
      <w:tr>
        <w:trPr/>
        <w:tc>
          <w:tcPr>
            <w:tcW w:w="1129"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r>
      <w:tr>
        <w:trPr/>
        <w:tc>
          <w:tcPr>
            <w:tcW w:w="3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3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remaining lease term (years):</w:t>
            </w:r>
          </w:p>
        </w:tc>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w:t>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leases</w:t>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N/A</w:t>
            </w:r>
          </w:p>
        </w:tc>
      </w:tr>
      <w:tr>
        <w:trPr/>
        <w:tc>
          <w:tcPr>
            <w:tcW w:w="3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discount rate:</w:t>
            </w:r>
          </w:p>
        </w:tc>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8.42 </w:t>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leases</w:t>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11.14 </w:t>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N/A</w:t>
            </w:r>
          </w:p>
        </w:tc>
      </w:tr>
      <w:tr>
        <w:trPr/>
        <w:tc>
          <w:tcPr>
            <w:tcW w:w="3119"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283"/>
        <w:rPr/>
      </w:pPr>
      <w:r>
        <w:rPr>
          <w:rFonts w:ascii="Arial Narrow;sans-serif" w:hAnsi="Arial Narrow;sans-serif"/>
          <w:b w:val="false"/>
          <w:color w:val="000000"/>
          <w:sz w:val="16"/>
        </w:rPr>
        <w:br/>
      </w:r>
      <w:r>
        <w:rPr>
          <w:rFonts w:ascii="Arial Narrow;sans-serif" w:hAnsi="Arial Narrow;sans-serif"/>
          <w:b w:val="false"/>
          <w:color w:val="000000"/>
          <w:sz w:val="20"/>
        </w:rPr>
        <w:t>As of March 31, 2023, maturities of lease liabilities under ASC 842 by fiscal year were as follows:</w:t>
      </w:r>
    </w:p>
    <w:tbl>
      <w:tblPr>
        <w:tblW w:w="5770" w:type="dxa"/>
        <w:jc w:val="left"/>
        <w:tblInd w:w="0" w:type="dxa"/>
        <w:tblCellMar>
          <w:top w:w="28" w:type="dxa"/>
          <w:left w:w="28" w:type="dxa"/>
          <w:bottom w:w="28" w:type="dxa"/>
          <w:right w:w="28" w:type="dxa"/>
        </w:tblCellMar>
      </w:tblPr>
      <w:tblGrid>
        <w:gridCol w:w="1009"/>
        <w:gridCol w:w="888"/>
        <w:gridCol w:w="892"/>
        <w:gridCol w:w="252"/>
        <w:gridCol w:w="901"/>
        <w:gridCol w:w="152"/>
        <w:gridCol w:w="109"/>
        <w:gridCol w:w="109"/>
        <w:gridCol w:w="109"/>
        <w:gridCol w:w="293"/>
        <w:gridCol w:w="804"/>
        <w:gridCol w:w="252"/>
      </w:tblGrid>
      <w:tr>
        <w:trPr/>
        <w:tc>
          <w:tcPr>
            <w:tcW w:w="1009"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Financing Leases</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Remaining 2023</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36,727 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2024</w:t>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68,717 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2025</w:t>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58,855 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2026</w:t>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48,125 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401 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2027</w:t>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34,973 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55,547 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302,944 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1,618 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portion representing imputed interest</w:t>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57,149 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net lease liabilities</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245,795 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1,306 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current portion</w:t>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53,921 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 term net lease liabilities</w:t>
            </w:r>
          </w:p>
        </w:tc>
        <w:tc>
          <w:tcPr>
            <w:tcW w:w="2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191,874 </w:t>
            </w:r>
          </w:p>
        </w:tc>
        <w:tc>
          <w:tcPr>
            <w:tcW w:w="1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9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1,024 </w:t>
            </w:r>
          </w:p>
        </w:tc>
        <w:tc>
          <w:tcPr>
            <w:tcW w:w="2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We recorded $34.5 million and $28.1 million in non-cash additions to our right-of-use assets and lease liabilities for the six months ended March 31, 2023 and March 31,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NOTE 5: STRATEGIC INVESTMENTS</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Cash Converters International Limited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ownership in Cash Converters International Limited ("Cash Converters") for the periods presented:</w:t>
      </w:r>
    </w:p>
    <w:tbl>
      <w:tblPr>
        <w:tblW w:w="7053" w:type="dxa"/>
        <w:jc w:val="left"/>
        <w:tblInd w:w="0" w:type="dxa"/>
        <w:tblCellMar>
          <w:top w:w="28" w:type="dxa"/>
          <w:left w:w="28" w:type="dxa"/>
          <w:bottom w:w="28" w:type="dxa"/>
          <w:right w:w="28" w:type="dxa"/>
        </w:tblCellMar>
      </w:tblPr>
      <w:tblGrid>
        <w:gridCol w:w="505"/>
        <w:gridCol w:w="444"/>
        <w:gridCol w:w="445"/>
        <w:gridCol w:w="439"/>
        <w:gridCol w:w="439"/>
        <w:gridCol w:w="441"/>
        <w:gridCol w:w="449"/>
        <w:gridCol w:w="449"/>
        <w:gridCol w:w="451"/>
        <w:gridCol w:w="458"/>
        <w:gridCol w:w="458"/>
        <w:gridCol w:w="366"/>
        <w:gridCol w:w="369"/>
        <w:gridCol w:w="369"/>
        <w:gridCol w:w="971"/>
      </w:tblGrid>
      <w:tr>
        <w:trPr/>
        <w:tc>
          <w:tcPr>
            <w:tcW w:w="505"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Date of purchase</w:t>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Purchase amount</w:t>
            </w:r>
          </w:p>
          <w:p>
            <w:pPr>
              <w:pStyle w:val="TableContents"/>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 purchased</w:t>
            </w:r>
          </w:p>
        </w:tc>
        <w:tc>
          <w:tcPr>
            <w:tcW w:w="12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 owned</w:t>
            </w:r>
          </w:p>
        </w:tc>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Ownership percentage</w:t>
            </w:r>
          </w:p>
        </w:tc>
      </w:tr>
      <w:tr>
        <w:trPr/>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October 1, 2021</w:t>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$2,500</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13,000,000 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236,702,991 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37.7 </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March 10, 2022</w:t>
            </w:r>
          </w:p>
        </w:tc>
        <w:tc>
          <w:tcPr>
            <w:tcW w:w="13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5,500,000 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242,239,157 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38.6 </w:t>
            </w:r>
          </w:p>
        </w:tc>
        <w:tc>
          <w:tcPr>
            <w:tcW w:w="9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April 5, 2022</w:t>
            </w:r>
          </w:p>
        </w:tc>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$2,500</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13,000,000 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255,239,157 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40.7 </w:t>
            </w:r>
          </w:p>
        </w:tc>
        <w:tc>
          <w:tcPr>
            <w:tcW w:w="9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September 15, 2022</w:t>
            </w:r>
          </w:p>
        </w:tc>
        <w:tc>
          <w:tcPr>
            <w:tcW w:w="13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$900</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5,700,000 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260,939,157 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41.6 </w:t>
            </w:r>
          </w:p>
        </w:tc>
        <w:tc>
          <w:tcPr>
            <w:tcW w:w="9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2, 2022</w:t>
            </w:r>
          </w:p>
        </w:tc>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$2,100</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13,000,000 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273,939,157 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43.7 </w:t>
            </w:r>
          </w:p>
        </w:tc>
        <w:tc>
          <w:tcPr>
            <w:tcW w:w="9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On October 2021, April 2022 and November 2022, we received cash dividends of $1.7 million, $1.7 million and $1.8 million, respectively, from Cash Converters.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following tables present summary financial information for Cash Converters most recently reported results at December 31, 2022 after translation to U.S. dollars:</w:t>
      </w:r>
    </w:p>
    <w:tbl>
      <w:tblPr>
        <w:tblW w:w="4809" w:type="dxa"/>
        <w:jc w:val="left"/>
        <w:tblInd w:w="0" w:type="dxa"/>
        <w:tblCellMar>
          <w:top w:w="28" w:type="dxa"/>
          <w:left w:w="28" w:type="dxa"/>
          <w:bottom w:w="28" w:type="dxa"/>
          <w:right w:w="28" w:type="dxa"/>
        </w:tblCellMar>
      </w:tblPr>
      <w:tblGrid>
        <w:gridCol w:w="928"/>
        <w:gridCol w:w="816"/>
        <w:gridCol w:w="821"/>
        <w:gridCol w:w="181"/>
        <w:gridCol w:w="646"/>
        <w:gridCol w:w="109"/>
        <w:gridCol w:w="109"/>
        <w:gridCol w:w="109"/>
        <w:gridCol w:w="109"/>
        <w:gridCol w:w="181"/>
        <w:gridCol w:w="646"/>
        <w:gridCol w:w="154"/>
      </w:tblGrid>
      <w:tr>
        <w:trPr/>
        <w:tc>
          <w:tcPr>
            <w:tcW w:w="928"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December 31,</w:t>
            </w:r>
          </w:p>
        </w:tc>
      </w:tr>
      <w:tr>
        <w:trPr/>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162,558 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assets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185,780 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287,480 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348,338 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91,601 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59,701 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liabilities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59,915 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Shareholders’ equity</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139,087 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228,722 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shareholders’ equity</w:t>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287,480 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348,338 </w:t>
            </w:r>
          </w:p>
        </w:tc>
        <w:tc>
          <w:tcPr>
            <w:tcW w:w="15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r>
    </w:p>
    <w:tbl>
      <w:tblPr>
        <w:tblW w:w="3372" w:type="dxa"/>
        <w:jc w:val="left"/>
        <w:tblInd w:w="0" w:type="dxa"/>
        <w:tblCellMar>
          <w:top w:w="28" w:type="dxa"/>
          <w:left w:w="28" w:type="dxa"/>
          <w:bottom w:w="28" w:type="dxa"/>
          <w:right w:w="28" w:type="dxa"/>
        </w:tblCellMar>
      </w:tblPr>
      <w:tblGrid>
        <w:gridCol w:w="407"/>
        <w:gridCol w:w="358"/>
        <w:gridCol w:w="360"/>
        <w:gridCol w:w="194"/>
        <w:gridCol w:w="613"/>
        <w:gridCol w:w="117"/>
        <w:gridCol w:w="117"/>
        <w:gridCol w:w="117"/>
        <w:gridCol w:w="117"/>
        <w:gridCol w:w="194"/>
        <w:gridCol w:w="613"/>
        <w:gridCol w:w="165"/>
      </w:tblGrid>
      <w:tr>
        <w:trPr/>
        <w:tc>
          <w:tcPr>
            <w:tcW w:w="407"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47"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Half-Year Ended December 31,</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revenues</w:t>
            </w:r>
          </w:p>
        </w:tc>
        <w:tc>
          <w:tcPr>
            <w:tcW w:w="1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98,768 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84,185 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63,800 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55,280 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profit</w:t>
            </w:r>
          </w:p>
        </w:tc>
        <w:tc>
          <w:tcPr>
            <w:tcW w:w="8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(73,197)</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rPr>
          <w:rFonts w:ascii="Arial Narrow;sans-serif" w:hAnsi="Arial Narrow;sans-serif"/>
          <w:b w:val="false"/>
          <w:color w:val="212529"/>
          <w:sz w:val="20"/>
        </w:rPr>
      </w:pPr>
      <w:r>
        <w:rPr>
          <w:rFonts w:ascii="Arial Narrow;sans-serif" w:hAnsi="Arial Narrow;sans-serif"/>
          <w:b w:val="false"/>
          <w:color w:val="212529"/>
          <w:sz w:val="20"/>
        </w:rPr>
        <w:t xml:space="preserve">During the quarter ended March 31, 2023, we recorded a $32.5 million loss on our share of losses from Cash Converters, which included $32.4 million as our share of their non-cash goodwill impairment charge, that was recorded to "Equity in net loss of unconsolidated affiliates" in the condensed consolidated statements of operations. </w:t>
      </w:r>
    </w:p>
    <w:p>
      <w:pPr>
        <w:pStyle w:val="TextBody"/>
        <w:spacing w:lineRule="auto" w:line="288" w:before="140" w:after="283"/>
        <w:rPr>
          <w:rFonts w:ascii="Arial Narrow;sans-serif" w:hAnsi="Arial Narrow;sans-serif"/>
          <w:b w:val="false"/>
          <w:color w:val="212529"/>
          <w:sz w:val="20"/>
        </w:rPr>
      </w:pPr>
      <w:r>
        <w:rPr>
          <w:rFonts w:ascii="Arial Narrow;sans-serif" w:hAnsi="Arial Narrow;sans-serif"/>
          <w:b w:val="false"/>
          <w:color w:val="212529"/>
          <w:sz w:val="20"/>
        </w:rPr>
        <w:t>See Note 6: Fair Value Measurements for the fair value and carrying value of our investment in Cash Converters.</w:t>
      </w:r>
    </w:p>
    <w:p>
      <w:pPr>
        <w:pStyle w:val="TextBody"/>
        <w:spacing w:lineRule="auto" w:line="288" w:before="180" w:after="283"/>
        <w:rPr>
          <w:rFonts w:ascii="Arial Narrow;sans-serif" w:hAnsi="Arial Narrow;sans-serif"/>
          <w:b/>
          <w:color w:val="212529"/>
          <w:sz w:val="20"/>
        </w:rPr>
      </w:pPr>
      <w:r>
        <w:rPr>
          <w:rFonts w:ascii="Arial Narrow;sans-serif" w:hAnsi="Arial Narrow;sans-serif"/>
          <w:b/>
          <w:color w:val="212529"/>
          <w:sz w:val="20"/>
        </w:rPr>
        <w:t>Founders One, LLC</w:t>
      </w:r>
    </w:p>
    <w:p>
      <w:pPr>
        <w:pStyle w:val="TextBody"/>
        <w:spacing w:lineRule="auto" w:line="288" w:before="140" w:after="283"/>
        <w:rPr>
          <w:rFonts w:ascii="Arial Narrow;sans-serif" w:hAnsi="Arial Narrow;sans-serif"/>
          <w:b w:val="false"/>
          <w:color w:val="000000"/>
          <w:sz w:val="20"/>
        </w:rPr>
      </w:pPr>
      <w:r>
        <w:rPr>
          <w:rFonts w:ascii="Arial Narrow;sans-serif" w:hAnsi="Arial Narrow;sans-serif"/>
          <w:b w:val="false"/>
          <w:color w:val="000000"/>
          <w:sz w:val="20"/>
        </w:rPr>
        <w:t xml:space="preserve">In October 2021, we invested $15.0 million in exchange for a non-redeemable voting participating preferred equity interest in Founders One, LLC (“Founders”), a then newly-formed entity with one other member. Founders used that $15.0 million to acquire an equity interest in Simple Management Group, Inc. (“SMG”). </w:t>
      </w:r>
    </w:p>
    <w:p>
      <w:pPr>
        <w:pStyle w:val="TextBody"/>
        <w:spacing w:lineRule="auto" w:line="288" w:before="140" w:after="283"/>
        <w:rPr>
          <w:rFonts w:ascii="Arial Narrow;sans-serif" w:hAnsi="Arial Narrow;sans-serif"/>
          <w:b w:val="false"/>
          <w:color w:val="000000"/>
          <w:sz w:val="20"/>
        </w:rPr>
      </w:pPr>
      <w:r>
        <w:rPr>
          <w:rFonts w:ascii="Arial Narrow;sans-serif" w:hAnsi="Arial Narrow;sans-serif"/>
          <w:b w:val="false"/>
          <w:color w:val="000000"/>
          <w:sz w:val="20"/>
        </w:rPr>
        <w:t>On December 2, 2022, we contributed an additional $15.0 million to Founders associated with our preferred interest, which proceeds were used by Founders to acquire additional common stock in SMG. In addition, we loaned $15.0 million to Founders in exchange for a Demand Promissory Note secured by the common interest in Founders held by the other member.</w:t>
      </w:r>
    </w:p>
    <w:p>
      <w:pPr>
        <w:pStyle w:val="TextBody"/>
        <w:spacing w:lineRule="auto" w:line="288" w:before="140" w:after="283"/>
        <w:rPr>
          <w:rFonts w:ascii="Arial Narrow;sans-serif" w:hAnsi="Arial Narrow;sans-serif"/>
          <w:b w:val="false"/>
          <w:color w:val="000000"/>
          <w:sz w:val="20"/>
        </w:rPr>
      </w:pPr>
      <w:r>
        <w:rPr>
          <w:rFonts w:ascii="Arial Narrow;sans-serif" w:hAnsi="Arial Narrow;sans-serif"/>
          <w:b w:val="false"/>
          <w:color w:val="000000"/>
          <w:sz w:val="20"/>
        </w:rPr>
        <w:t xml:space="preserve">We have an interest in Founders, a variable interest entity, but because the Company is not the primary beneficiary, we do not consolidate Founders. Further, as we are not the appointed manager, we do not have the ability to direct the activities of the investment entity that most significantly impact its economic performance. Consequently, our equity investment in Founders is accounted for utilizing the measurement alternative within Accounting Standards Codification ("ASC") 321, Investments — Equity Securities. Our $30.0 million carrying value of the investment and $15.0 million Demand Promissory Note are included in “Other investments” and "Prepaid expenses and other current assets"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40" w:after="283"/>
        <w:rPr>
          <w:rFonts w:ascii="Arial Narrow;sans-serif" w:hAnsi="Arial Narrow;sans-serif"/>
          <w:b w:val="false"/>
          <w:color w:val="000000"/>
          <w:sz w:val="20"/>
        </w:rPr>
      </w:pPr>
      <w:r>
        <w:rPr>
          <w:rFonts w:ascii="Arial Narrow;sans-serif" w:hAnsi="Arial Narrow;sans-serif"/>
          <w:b w:val="false"/>
          <w:color w:val="000000"/>
          <w:sz w:val="20"/>
        </w:rPr>
        <w:t>in our consolidated balance sheets, respectively. Our maximum exposure for losses related to our investment in Founders is our $30.0 million equity investment and $15.0 million Demand Promissory Note plus accrued and unpaid interest.</w:t>
      </w:r>
    </w:p>
    <w:p>
      <w:pPr>
        <w:pStyle w:val="TextBody"/>
        <w:spacing w:lineRule="auto" w:line="288" w:before="140" w:after="283"/>
        <w:rPr>
          <w:rFonts w:ascii="Arial Narrow;sans-serif" w:hAnsi="Arial Narrow;sans-serif"/>
          <w:b w:val="false"/>
          <w:color w:val="212529"/>
          <w:sz w:val="20"/>
        </w:rPr>
      </w:pPr>
      <w:r>
        <w:rPr>
          <w:rFonts w:ascii="Arial Narrow;sans-serif" w:hAnsi="Arial Narrow;sans-serif"/>
          <w:b w:val="false"/>
          <w:color w:val="212529"/>
          <w:sz w:val="20"/>
        </w:rPr>
        <w:t>See Note 6: Fair Value Measurements for the fair values and carrying values of our investment in and loan to Founders, respectively.</w:t>
      </w:r>
    </w:p>
    <w:p>
      <w:pPr>
        <w:pStyle w:val="TextBody"/>
        <w:spacing w:before="1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NOTE 6: FAIR VALUE MEASUREMENTS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Level 1 — Quoted market prices in active markets for identical assets or liabilities.</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Level 2 — Other observable market-based inputs or unobservable inputs that are corroborated by market data.</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 xml:space="preserve">Level 3 — Unobservable inputs that are not corroborated by market data.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We have elected not to measure at fair value any eligible items for which fair value measurement is optional.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There were no transfers in or out of Level 1, Level 2 or Level 3 for financial assets or liabilities measured at fair value on a recurring basis during the periods presented.</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Financial Assets and Liabilities Not Measured at Fair Value</w:t>
      </w:r>
    </w:p>
    <w:p>
      <w:pPr>
        <w:pStyle w:val="TextBody"/>
        <w:spacing w:lineRule="auto" w:line="288" w:before="180" w:after="180"/>
        <w:rPr>
          <w:rFonts w:ascii="Arial Narrow;sans-serif" w:hAnsi="Arial Narrow;sans-serif"/>
          <w:b w:val="false"/>
          <w:color w:val="000000"/>
          <w:sz w:val="20"/>
        </w:rPr>
      </w:pPr>
      <w:r>
        <w:rPr>
          <w:rFonts w:ascii="Arial Narrow;sans-serif" w:hAnsi="Arial Narrow;sans-serif"/>
          <w:b w:val="false"/>
          <w:color w:val="000000"/>
          <w:sz w:val="20"/>
        </w:rPr>
        <w:t>The tables below present our estimates of fair value of financial assets and liabilities that were not measured at fair value:</w:t>
      </w:r>
    </w:p>
    <w:tbl>
      <w:tblPr>
        <w:tblW w:w="9555" w:type="dxa"/>
        <w:jc w:val="left"/>
        <w:tblInd w:w="0" w:type="dxa"/>
        <w:tblCellMar>
          <w:top w:w="28" w:type="dxa"/>
          <w:left w:w="28" w:type="dxa"/>
          <w:bottom w:w="28" w:type="dxa"/>
          <w:right w:w="28" w:type="dxa"/>
        </w:tblCellMar>
      </w:tblPr>
      <w:tblGrid>
        <w:gridCol w:w="1187"/>
        <w:gridCol w:w="1045"/>
        <w:gridCol w:w="1052"/>
        <w:gridCol w:w="109"/>
        <w:gridCol w:w="109"/>
        <w:gridCol w:w="109"/>
        <w:gridCol w:w="239"/>
        <w:gridCol w:w="756"/>
        <w:gridCol w:w="144"/>
        <w:gridCol w:w="109"/>
        <w:gridCol w:w="109"/>
        <w:gridCol w:w="109"/>
        <w:gridCol w:w="233"/>
        <w:gridCol w:w="736"/>
        <w:gridCol w:w="140"/>
        <w:gridCol w:w="109"/>
        <w:gridCol w:w="109"/>
        <w:gridCol w:w="109"/>
        <w:gridCol w:w="181"/>
        <w:gridCol w:w="406"/>
        <w:gridCol w:w="109"/>
        <w:gridCol w:w="109"/>
        <w:gridCol w:w="109"/>
        <w:gridCol w:w="109"/>
        <w:gridCol w:w="181"/>
        <w:gridCol w:w="571"/>
        <w:gridCol w:w="109"/>
        <w:gridCol w:w="109"/>
        <w:gridCol w:w="109"/>
        <w:gridCol w:w="109"/>
        <w:gridCol w:w="181"/>
        <w:gridCol w:w="496"/>
        <w:gridCol w:w="154"/>
      </w:tblGrid>
      <w:tr>
        <w:trPr/>
        <w:tc>
          <w:tcPr>
            <w:tcW w:w="1187"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8"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2023</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4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3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0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2.89% promissory note receivable due April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12.00% promissory note receivable from Founders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15,600 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15,600 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10,681 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42,917 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42,917 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39,220 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39,220 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34,184 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102,312 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94,690 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94,690 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222,791 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221,529 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bl>
    <w:tbl>
      <w:tblPr>
        <w:tblW w:w="9541" w:type="dxa"/>
        <w:jc w:val="left"/>
        <w:tblInd w:w="0" w:type="dxa"/>
        <w:tblCellMar>
          <w:top w:w="28" w:type="dxa"/>
          <w:left w:w="28" w:type="dxa"/>
          <w:bottom w:w="28" w:type="dxa"/>
          <w:right w:w="28" w:type="dxa"/>
        </w:tblCellMar>
      </w:tblPr>
      <w:tblGrid>
        <w:gridCol w:w="1155"/>
        <w:gridCol w:w="1017"/>
        <w:gridCol w:w="1023"/>
        <w:gridCol w:w="109"/>
        <w:gridCol w:w="109"/>
        <w:gridCol w:w="109"/>
        <w:gridCol w:w="220"/>
        <w:gridCol w:w="787"/>
        <w:gridCol w:w="132"/>
        <w:gridCol w:w="109"/>
        <w:gridCol w:w="109"/>
        <w:gridCol w:w="109"/>
        <w:gridCol w:w="214"/>
        <w:gridCol w:w="766"/>
        <w:gridCol w:w="129"/>
        <w:gridCol w:w="109"/>
        <w:gridCol w:w="109"/>
        <w:gridCol w:w="109"/>
        <w:gridCol w:w="181"/>
        <w:gridCol w:w="406"/>
        <w:gridCol w:w="109"/>
        <w:gridCol w:w="109"/>
        <w:gridCol w:w="109"/>
        <w:gridCol w:w="109"/>
        <w:gridCol w:w="181"/>
        <w:gridCol w:w="646"/>
        <w:gridCol w:w="109"/>
        <w:gridCol w:w="109"/>
        <w:gridCol w:w="109"/>
        <w:gridCol w:w="109"/>
        <w:gridCol w:w="181"/>
        <w:gridCol w:w="496"/>
        <w:gridCol w:w="154"/>
      </w:tblGrid>
      <w:tr>
        <w:trPr/>
        <w:tc>
          <w:tcPr>
            <w:tcW w:w="1155"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3"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2022</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1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3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0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2.89% promissory note receivable due April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42,002 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51,502 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18,000 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18,000 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142,248 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141,594 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141,594 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169,920 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153,525 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153,525 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bl>
    <w:tbl>
      <w:tblPr>
        <w:tblW w:w="10171" w:type="dxa"/>
        <w:jc w:val="left"/>
        <w:tblInd w:w="0" w:type="dxa"/>
        <w:tblCellMar>
          <w:top w:w="28" w:type="dxa"/>
          <w:left w:w="28" w:type="dxa"/>
          <w:bottom w:w="28" w:type="dxa"/>
          <w:right w:w="28" w:type="dxa"/>
        </w:tblCellMar>
      </w:tblPr>
      <w:tblGrid>
        <w:gridCol w:w="1155"/>
        <w:gridCol w:w="1017"/>
        <w:gridCol w:w="1023"/>
        <w:gridCol w:w="109"/>
        <w:gridCol w:w="109"/>
        <w:gridCol w:w="109"/>
        <w:gridCol w:w="278"/>
        <w:gridCol w:w="995"/>
        <w:gridCol w:w="166"/>
        <w:gridCol w:w="109"/>
        <w:gridCol w:w="109"/>
        <w:gridCol w:w="109"/>
        <w:gridCol w:w="278"/>
        <w:gridCol w:w="994"/>
        <w:gridCol w:w="167"/>
        <w:gridCol w:w="109"/>
        <w:gridCol w:w="109"/>
        <w:gridCol w:w="109"/>
        <w:gridCol w:w="181"/>
        <w:gridCol w:w="406"/>
        <w:gridCol w:w="109"/>
        <w:gridCol w:w="109"/>
        <w:gridCol w:w="109"/>
        <w:gridCol w:w="109"/>
        <w:gridCol w:w="181"/>
        <w:gridCol w:w="646"/>
        <w:gridCol w:w="109"/>
        <w:gridCol w:w="109"/>
        <w:gridCol w:w="109"/>
        <w:gridCol w:w="109"/>
        <w:gridCol w:w="181"/>
        <w:gridCol w:w="496"/>
        <w:gridCol w:w="154"/>
      </w:tblGrid>
      <w:tr>
        <w:trPr/>
        <w:tc>
          <w:tcPr>
            <w:tcW w:w="1155"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3"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2022</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1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43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43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2.89% promissory note receivable due April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37,733 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40,279 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142,575 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157,727 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157,727 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170,328 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147,488 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rPr>
          <w:rFonts w:ascii="Arial Narrow;sans-serif" w:hAnsi="Arial Narrow;sans-serif"/>
          <w:b w:val="false"/>
          <w:color w:val="000000"/>
          <w:sz w:val="20"/>
        </w:rPr>
      </w:pPr>
      <w:r>
        <w:rPr>
          <w:rFonts w:ascii="Arial Narrow;sans-serif" w:hAnsi="Arial Narrow;sans-serif"/>
          <w:b w:val="false"/>
          <w:color w:val="000000"/>
          <w:sz w:val="20"/>
        </w:rPr>
        <w:t>Due to the short-term nature of cash and cash equivalents, pawn loans and pawn service charges receivable, we estimate that the carrying value approximates fair value. We consider our cash and cash equivalents to be measured using Level 1 inputs and our pawn loans, pawn service charges receivable and other debt to be measured using Level 3 inputs. Significant increases or decreases in the underlying assumptions used to value pawn loans, pawn service charges receivable, fees and interest receivable and other debt could significantly increase or decrease these fair value estimates.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Company remeasures its acquisition-related contingent obligation associated with the acquisition in June 2021 of PLO del Bajio S. de R.S. de C.V., which owned stores operating under the name "Cash Apoyo Efectivo," at the end of each reporting period. This remeasurement resulted in a $2.5 million reduction of the obligation with an offset recorded to "Other" as an operating item in our condensed consolidated statement of operations during the second quarter of fiscal 2023. The remaining obligation of $2.5 million is included in "Accounts payable, accrued expenses and other current liabilities" in our Consolidated Balance Sheet as of March 31, 2023. The key assumptions used to determine the fair value of acquisition-related contingent consideration are estimated by management, not observable in the market and, therefore, considered Level 3 inputs within the fair value hierarchy.</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 March 2019, we received $1.1 million in previously escrowed seller funds as a result of settling certain indemnification claims with the seller of GPMX. In April 2019, we loaned the $1.1 million back to the seller of GPMX in exchange for a promissory note. The note bears interest at the rate of 2.89% per annum and is secured by certain marketable securities owned by the seller and held in a U.S. brokerage account. All principal and accrued interest is due and payable in April 2024. The fair value of the note approximated its carrying value as of March 31, 2023.</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 December 2022, we loaned $15.0 million to Founders in exchange for a Demand Promissory Note secured by the common interest in Founders held by the other member. The note bears interest at the rate of 12.00% per annum, and all principal and accrued interest is due on demand. The fair value of the note approximated its carrying value as of March 31, 2023.</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use the equity method of accounting to account for our ownership interest in Cash Converters. The inputs used to generate the fair value of the investment in Cash Converters were considered Level 1 inputs. These inputs consist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pStyle w:val="TextBody"/>
        <w:spacing w:lineRule="auto" w:line="288" w:before="180" w:after="283"/>
        <w:rPr/>
      </w:pPr>
      <w:r>
        <w:rPr>
          <w:rFonts w:ascii="Arial Narrow;sans-serif" w:hAnsi="Arial Narrow;sans-serif"/>
          <w:b w:val="false"/>
          <w:color w:val="000000"/>
          <w:sz w:val="20"/>
        </w:rPr>
        <w:t xml:space="preserve">The $39.2 million in "Other investments" as of March 31, 2023, includes $30.0 million related to our investment in Founders and $6.2 million related to our investment in </w:t>
      </w:r>
      <w:r>
        <w:rPr>
          <w:rFonts w:ascii="Arial Narrow;sans-serif" w:hAnsi="Arial Narrow;sans-serif"/>
          <w:b w:val="false"/>
          <w:color w:val="000000"/>
          <w:sz w:val="20"/>
          <w:highlight w:val="white"/>
        </w:rPr>
        <w:t>Rich Data Corporation ("RDC")</w:t>
      </w:r>
      <w:r>
        <w:rPr>
          <w:rFonts w:ascii="Arial Narrow;sans-serif" w:hAnsi="Arial Narrow;sans-serif"/>
          <w:b w:val="false"/>
          <w:color w:val="000000"/>
          <w:sz w:val="20"/>
        </w:rPr>
        <w:t>. We believe the investment's fair value approximated its carrying value although such fair value is highly variable and includes significant unobservable inputs. The $18.0 million "Other investments" as of March 31, 2022, includes $15.0 million related to our investment in Founders.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determined the fair value of the 2024, 2025 and 2029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NOTE 7: DEBT</w:t>
      </w:r>
    </w:p>
    <w:p>
      <w:pPr>
        <w:pStyle w:val="TextBody"/>
        <w:spacing w:lineRule="auto" w:line="288" w:before="180" w:after="180"/>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debt instruments outstanding:</w:t>
      </w:r>
    </w:p>
    <w:tbl>
      <w:tblPr>
        <w:tblW w:w="11461" w:type="dxa"/>
        <w:jc w:val="left"/>
        <w:tblInd w:w="0" w:type="dxa"/>
        <w:tblCellMar>
          <w:top w:w="28" w:type="dxa"/>
          <w:left w:w="28" w:type="dxa"/>
          <w:bottom w:w="28" w:type="dxa"/>
          <w:right w:w="28" w:type="dxa"/>
        </w:tblCellMar>
      </w:tblPr>
      <w:tblGrid>
        <w:gridCol w:w="337"/>
        <w:gridCol w:w="244"/>
        <w:gridCol w:w="245"/>
        <w:gridCol w:w="181"/>
        <w:gridCol w:w="646"/>
        <w:gridCol w:w="109"/>
        <w:gridCol w:w="109"/>
        <w:gridCol w:w="109"/>
        <w:gridCol w:w="109"/>
        <w:gridCol w:w="181"/>
        <w:gridCol w:w="496"/>
        <w:gridCol w:w="109"/>
        <w:gridCol w:w="109"/>
        <w:gridCol w:w="109"/>
        <w:gridCol w:w="109"/>
        <w:gridCol w:w="181"/>
        <w:gridCol w:w="646"/>
        <w:gridCol w:w="109"/>
        <w:gridCol w:w="109"/>
        <w:gridCol w:w="109"/>
        <w:gridCol w:w="109"/>
        <w:gridCol w:w="181"/>
        <w:gridCol w:w="646"/>
        <w:gridCol w:w="109"/>
        <w:gridCol w:w="109"/>
        <w:gridCol w:w="109"/>
        <w:gridCol w:w="109"/>
        <w:gridCol w:w="181"/>
        <w:gridCol w:w="496"/>
        <w:gridCol w:w="109"/>
        <w:gridCol w:w="109"/>
        <w:gridCol w:w="109"/>
        <w:gridCol w:w="109"/>
        <w:gridCol w:w="181"/>
        <w:gridCol w:w="646"/>
        <w:gridCol w:w="109"/>
        <w:gridCol w:w="109"/>
        <w:gridCol w:w="109"/>
        <w:gridCol w:w="109"/>
        <w:gridCol w:w="181"/>
        <w:gridCol w:w="646"/>
        <w:gridCol w:w="109"/>
        <w:gridCol w:w="109"/>
        <w:gridCol w:w="109"/>
        <w:gridCol w:w="109"/>
        <w:gridCol w:w="181"/>
        <w:gridCol w:w="496"/>
        <w:gridCol w:w="109"/>
        <w:gridCol w:w="109"/>
        <w:gridCol w:w="109"/>
        <w:gridCol w:w="109"/>
        <w:gridCol w:w="181"/>
        <w:gridCol w:w="646"/>
        <w:gridCol w:w="154"/>
      </w:tblGrid>
      <w:tr>
        <w:trPr/>
        <w:tc>
          <w:tcPr>
            <w:tcW w:w="33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2022</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Debt Issuance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Debt Issuance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Debt Issuance Costs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Amount</w:t>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222,791 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102,312 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170,328 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142,248 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142,575 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long-term debt</w:t>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367,762 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(8,475)</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359,287 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316,250 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(4,082)</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312,168 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316,250 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(3,347)</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312,903 </w:t>
            </w:r>
          </w:p>
        </w:tc>
        <w:tc>
          <w:tcPr>
            <w:tcW w:w="15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contractual maturities related to the debt instruments as of March 31, 2023:</w:t>
      </w:r>
    </w:p>
    <w:tbl>
      <w:tblPr>
        <w:tblW w:w="8380" w:type="dxa"/>
        <w:jc w:val="left"/>
        <w:tblInd w:w="0" w:type="dxa"/>
        <w:tblCellMar>
          <w:top w:w="28" w:type="dxa"/>
          <w:left w:w="28" w:type="dxa"/>
          <w:bottom w:w="28" w:type="dxa"/>
          <w:right w:w="28" w:type="dxa"/>
        </w:tblCellMar>
      </w:tblPr>
      <w:tblGrid>
        <w:gridCol w:w="499"/>
        <w:gridCol w:w="439"/>
        <w:gridCol w:w="441"/>
        <w:gridCol w:w="325"/>
        <w:gridCol w:w="1160"/>
        <w:gridCol w:w="195"/>
        <w:gridCol w:w="109"/>
        <w:gridCol w:w="109"/>
        <w:gridCol w:w="109"/>
        <w:gridCol w:w="325"/>
        <w:gridCol w:w="1160"/>
        <w:gridCol w:w="195"/>
        <w:gridCol w:w="109"/>
        <w:gridCol w:w="109"/>
        <w:gridCol w:w="109"/>
        <w:gridCol w:w="352"/>
        <w:gridCol w:w="1113"/>
        <w:gridCol w:w="214"/>
        <w:gridCol w:w="109"/>
        <w:gridCol w:w="109"/>
        <w:gridCol w:w="109"/>
        <w:gridCol w:w="181"/>
        <w:gridCol w:w="646"/>
        <w:gridCol w:w="154"/>
      </w:tblGrid>
      <w:tr>
        <w:trPr/>
        <w:tc>
          <w:tcPr>
            <w:tcW w:w="49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 of Contractual Maturities</w:t>
            </w:r>
          </w:p>
        </w:tc>
      </w:tr>
      <w:tr>
        <w:trPr/>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2029 Convertible Notes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 Convertible Notes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 Convertible Notes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Total </w:t>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Remaining 2023</w:t>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1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2024</w:t>
            </w:r>
          </w:p>
        </w:tc>
        <w:tc>
          <w:tcPr>
            <w:tcW w:w="14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2025</w:t>
            </w:r>
          </w:p>
        </w:tc>
        <w:tc>
          <w:tcPr>
            <w:tcW w:w="14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2026</w:t>
            </w:r>
          </w:p>
        </w:tc>
        <w:tc>
          <w:tcPr>
            <w:tcW w:w="14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2027</w:t>
            </w:r>
          </w:p>
        </w:tc>
        <w:tc>
          <w:tcPr>
            <w:tcW w:w="14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14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long-term debt</w:t>
            </w:r>
          </w:p>
        </w:tc>
        <w:tc>
          <w:tcPr>
            <w:tcW w:w="32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9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9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1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21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367,762 </w:t>
            </w:r>
          </w:p>
        </w:tc>
        <w:tc>
          <w:tcPr>
            <w:tcW w:w="15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20" w:after="283"/>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interest expense related to the Convertible Notes for the three and six months ended March 31, 2023 and 2022:</w:t>
      </w:r>
    </w:p>
    <w:tbl>
      <w:tblPr>
        <w:tblW w:w="6870" w:type="dxa"/>
        <w:jc w:val="left"/>
        <w:tblInd w:w="0" w:type="dxa"/>
        <w:tblCellMar>
          <w:top w:w="28" w:type="dxa"/>
          <w:left w:w="28" w:type="dxa"/>
          <w:bottom w:w="28" w:type="dxa"/>
          <w:right w:w="28" w:type="dxa"/>
        </w:tblCellMar>
      </w:tblPr>
      <w:tblGrid>
        <w:gridCol w:w="949"/>
        <w:gridCol w:w="837"/>
        <w:gridCol w:w="839"/>
        <w:gridCol w:w="181"/>
        <w:gridCol w:w="496"/>
        <w:gridCol w:w="109"/>
        <w:gridCol w:w="109"/>
        <w:gridCol w:w="109"/>
        <w:gridCol w:w="109"/>
        <w:gridCol w:w="181"/>
        <w:gridCol w:w="496"/>
        <w:gridCol w:w="109"/>
        <w:gridCol w:w="109"/>
        <w:gridCol w:w="109"/>
        <w:gridCol w:w="109"/>
        <w:gridCol w:w="181"/>
        <w:gridCol w:w="571"/>
        <w:gridCol w:w="109"/>
        <w:gridCol w:w="109"/>
        <w:gridCol w:w="109"/>
        <w:gridCol w:w="109"/>
        <w:gridCol w:w="181"/>
        <w:gridCol w:w="496"/>
        <w:gridCol w:w="154"/>
      </w:tblGrid>
      <w:tr>
        <w:trPr/>
        <w:tc>
          <w:tcPr>
            <w:tcW w:w="949"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2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262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2,353 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extinguishment</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extinguishment</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1,175 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10,237 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2,375 </w:t>
            </w:r>
          </w:p>
        </w:tc>
        <w:tc>
          <w:tcPr>
            <w:tcW w:w="15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80" w:after="283"/>
        <w:rPr>
          <w:rFonts w:ascii="Arial Narrow;sans-serif" w:hAnsi="Arial Narrow;sans-serif"/>
          <w:b/>
          <w:color w:val="252525"/>
          <w:sz w:val="20"/>
        </w:rPr>
      </w:pPr>
      <w:r>
        <w:rPr>
          <w:rFonts w:ascii="Arial Narrow;sans-serif" w:hAnsi="Arial Narrow;sans-serif"/>
          <w:b/>
          <w:color w:val="252525"/>
          <w:sz w:val="20"/>
        </w:rPr>
        <w:t>3.750% Convertible Senior Notes Due 2029</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In December 2022, we issued $230.0 million aggregate principal amount of 3.750% Convertible Senior Notes Due 2029 (the “2029 Convertible Notes”). The 2029 Convertible Notes were issued pursuant to an indenture dated December 12, 2022 (the "2022 Indenture") by and between the Company and Truist Bank, as trustee. The 2029 Convertible Notes were issued in a private offering under Rule 144A under the Securities Act of 1933. The 2029 Convertible Notes pay interest semi-annually in arrears at a rate of 3.750% per annum on June 15 and December 15 of each year, commencing June 15, 2023, and mature on December 15, 2029 (the "2029 Maturity Date"), unless converted, redeemed or repurchased in accordance with the terms prior to such date. At maturity, the holders of the 2029 Convertible Notes will be entitled to receive cash equal to the principal of the 2029 Convertible Notes plus accrued interest.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effective interest rate for the three and six months ended March 31, 2023 was approximately 4.28%. As of March 31, 2023, the remaining unamortized debt issuance costs will be amortized using the effective interest method through the 2029 Maturity Date assuming no early conversion.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2029 Convertible Notes are convertible based on an initial conversion rate of 89.0313 shares of Class A Common Stock per $1,000 principal amount (equivalent to an initial conversion price of $11.23 per share). The conversion rate will not be adjusted for any accrued and unpaid interest. The 2029 Convertible Notes contain certain make-whole fundamental change premiums and customary anti-dilution adjustments. Upon conversion, we may settle in cash, shares of Class A Common Stock or any combination thereof, at our election.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Prior to June 15, 2029, the 2029 Convertible Notes will be convertible only under the following circumstances: (1) during any fiscal quarter commencing after the fiscal quarter ending on March 31, 2023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2022 Indenture, per $1,000 principal amount of notes for each trading day of the measurement period was less than 98% of the product of the last reported sale price of our Class A Common Stock and the conversion rate on such trading day; (3) if we call any or all of the 2029 Convertible Notes for redemption, at any time prior to the close of business on the business day immediately preceding the redemption date; or (4) upon the occurrence of specified corporate events, as defined in the 2022 Indenture. On or after June 15, 2029 until the close of business on the business day immediately preceding the 2029 Maturity Date, holders of 2029 Convertible Notes may, at their option, convert their 2029 Convertible Notes at any time, regardless of the foregoing circumstances.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We may not redeem the Notes prior to December 21, 2026. At our option, we may redeem for cash all or any portion of the 2029 Convertible Notes on or after December 21, 2026,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preceding the date on which we provide notice of redemption. The redemption price will be equal to 100% of the principal amount of the 2029 Convertible Notes to be redeemed, plus accrued and unpaid interest to, but excluding, the redemption date.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stock trading price condition and other triggers are measured on a quarter-by-quarter basis and were not met as of March 31, 2023. As of March 31, 2023, the if-converted value of the 2029 Convertible Notes did not exceed the principal amount.</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Note Repurchases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 December 2022, the Company repurchased approximately $109.4 million aggregate principal amount of 2.875% Convertible Senior Notes Due 2024 for approximately $117.5 million plus accrued interest and approximately $69.1 million aggregate principal amount of 2.375% Convertible Senior Notes Due 2025 for approximately $62.9 million plus accrued interest and recognized a $3.5 million loss on extinguishment of debt recorded to "Interest expense" in the Company's condensed consolidated statement of operations.</w:t>
      </w:r>
    </w:p>
    <w:p>
      <w:pPr>
        <w:pStyle w:val="TextBody"/>
        <w:spacing w:lineRule="auto" w:line="288" w:before="180" w:after="283"/>
        <w:rPr>
          <w:rFonts w:ascii="Arial Narrow;sans-serif" w:hAnsi="Arial Narrow;sans-serif"/>
          <w:b/>
          <w:color w:val="252525"/>
          <w:sz w:val="20"/>
        </w:rPr>
      </w:pPr>
      <w:r>
        <w:rPr>
          <w:rFonts w:ascii="Arial Narrow;sans-serif" w:hAnsi="Arial Narrow;sans-serif"/>
          <w:b/>
          <w:color w:val="252525"/>
          <w:sz w:val="20"/>
        </w:rPr>
        <w:t>2.375% 2025 Convertible Senior Notes Due 2025</w:t>
      </w:r>
    </w:p>
    <w:p>
      <w:pPr>
        <w:pStyle w:val="TextBody"/>
        <w:spacing w:lineRule="auto" w:line="276"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In May 2018, we issued $172.5 million aggregate principal amount of 2.375% Convertible Senior Notes Due 2025 (the “2025 Convertible Notes”), for which $103.4 million remains outstanding as of March 31, 2023.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 terms prior to such date. </w:t>
      </w:r>
    </w:p>
    <w:p>
      <w:pPr>
        <w:pStyle w:val="TextBody"/>
        <w:spacing w:lineRule="auto" w:line="276"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The effective interest rate for the three and six months ended March 31, 2023 was approximately 2.88% for the 2025 Convertible Notes. As of March 31, 2023, the remaining unamortized debt issuance costs will be amortized using the effective interest method through the 2025 Maturity Date assuming no early conversion. </w:t>
      </w:r>
    </w:p>
    <w:p>
      <w:pPr>
        <w:pStyle w:val="TextBody"/>
        <w:spacing w:lineRule="auto" w:line="276"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The 2025 Convertible Notes are convertible based on an initial conversion rate of 62.8931 shares of Class A Common Stock per $1,000 principal amount (equivalent to an initial conversion price of $15.90 per share). The conversion rate will not be adjusted for any accrued and unpaid interest. The 2025 Convertible Notes contain certain make-whole fundamental change premiums and customary anti-dilution adjustments. Upon conversion, we may settle in cash, shares of Class A Common Stock or any combination thereof, at our election. </w:t>
      </w:r>
    </w:p>
    <w:p>
      <w:pPr>
        <w:pStyle w:val="TextBody"/>
        <w:spacing w:lineRule="auto" w:line="276" w:before="180" w:after="283"/>
        <w:rPr>
          <w:rFonts w:ascii="Arial Narrow;sans-serif" w:hAnsi="Arial Narrow;sans-serif"/>
          <w:b w:val="false"/>
          <w:color w:val="000000"/>
          <w:sz w:val="20"/>
        </w:rPr>
      </w:pPr>
      <w:r>
        <w:rPr>
          <w:rFonts w:ascii="Arial Narrow;sans-serif" w:hAnsi="Arial Narrow;sans-serif"/>
          <w:b w:val="false"/>
          <w:color w:val="000000"/>
          <w:sz w:val="20"/>
        </w:rPr>
        <w:t>Prior to November 1, 2024, the 2025 Convertible Notes are convertible only under the following circumstances: (1) during any fiscal quarter commencing after the fiscal quarter ended on June 30, 2018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2018 Indenture, per $1,000 principal amount of notes for each trading day of the measurement period was less than 98% of the product of the last reported sale price of our Class A Common Stock and the conversion rate on such trading day; (3) if we call any or all of the 2025 Convertible Notes for redemption, at any time prior to the close of business on the business day immediately preceding the redemption date; or (4) upon the occurrence of specified corporate events, as defined in the 2018 Indenture. On or after November 1, 2024 until the close of business on the business day immediately preceding the 2025 Maturity Date, holders of 2025 Convertible Notes may, at their option, convert their 2025 Convertible Notes at any time, regardless of the foregoing circumstances.</w:t>
      </w:r>
    </w:p>
    <w:p>
      <w:pPr>
        <w:pStyle w:val="TextBody"/>
        <w:spacing w:lineRule="auto" w:line="276" w:before="180" w:after="283"/>
        <w:rPr>
          <w:rFonts w:ascii="Arial Narrow;sans-serif" w:hAnsi="Arial Narrow;sans-serif"/>
          <w:b w:val="false"/>
          <w:color w:val="000000"/>
          <w:sz w:val="20"/>
        </w:rPr>
      </w:pPr>
      <w:r>
        <w:rPr>
          <w:rFonts w:ascii="Arial Narrow;sans-serif" w:hAnsi="Arial Narrow;sans-serif"/>
          <w:b w:val="false"/>
          <w:color w:val="000000"/>
          <w:sz w:val="20"/>
        </w:rPr>
        <w:t>We may not redeem the 2025 Convertible Notes prior to May 1, 2022. At our option, we may redeem for cash all or any portion of the 2025 Convertible Notes on or after May 1, 2022,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2025 Convertible Notes to be redeemed, plus accrued and unpaid interest to, but excluding, the redemption date.</w:t>
      </w:r>
    </w:p>
    <w:p>
      <w:pPr>
        <w:pStyle w:val="TextBody"/>
        <w:spacing w:lineRule="auto" w:line="276" w:before="180" w:after="283"/>
        <w:rPr>
          <w:rFonts w:ascii="Arial Narrow;sans-serif" w:hAnsi="Arial Narrow;sans-serif"/>
          <w:b w:val="false"/>
          <w:color w:val="000000"/>
          <w:sz w:val="20"/>
        </w:rPr>
      </w:pPr>
      <w:r>
        <w:rPr>
          <w:rFonts w:ascii="Arial Narrow;sans-serif" w:hAnsi="Arial Narrow;sans-serif"/>
          <w:b w:val="false"/>
          <w:color w:val="000000"/>
          <w:sz w:val="20"/>
        </w:rPr>
        <w:t>The stock trading price condition and other triggers are measured on a quarter-by-quarter basis and were not met as of March 31, 2023. As of March 31, 2023, the if-converted value of the 2025 Convertible Notes did not exceed the principal amount.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76" w:before="0" w:after="0"/>
        <w:rPr>
          <w:rFonts w:ascii="Arial Narrow;sans-serif" w:hAnsi="Arial Narrow;sans-serif"/>
          <w:b/>
          <w:color w:val="252525"/>
          <w:sz w:val="20"/>
        </w:rPr>
      </w:pPr>
      <w:r>
        <w:rPr>
          <w:rFonts w:ascii="Arial Narrow;sans-serif" w:hAnsi="Arial Narrow;sans-serif"/>
          <w:b/>
          <w:color w:val="252525"/>
          <w:sz w:val="20"/>
        </w:rPr>
        <w:t>2.875% Convertible Senior Notes Due 2024</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In July 2017, we issued $143.75 million aggregate principal amount of 2.875% Convertible Senior Notes Due 2024 (the “2024 Convertible Notes”), for which $34.4 million remains outstanding as of March 31, 2023.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 terms prior to such date. At maturity, the holders of the 2024 Convertible Notes will be entitled to receive cash equal to the principal of the 2024 Convertible Notes plus accrued interest.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effective interest rate for the three and six months ended March 31, 2023 was approximately 3.35%. As of March 31, 2023, the remaining unamortized debt issuance costs will be amortized using the effective interest method through the 2024 Maturity Date assuming no early conversion.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2024 Convertible Notes are convertible based on an initial conversion rate of 100 shares of Class A Common Stock per $1,000 principal amount (equivalent to an initial conversion price of $10.00 per share). The conversion rate will not be adjusted for any accrued and unpaid interest. The 2024 Convertible Notes contain certain make-whole fundamental change premiums and customary anti-dilution adjustments. Upon conversion, we may settle in cash, shares of Class A Common Stock or any combination thereof, at our election.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Prior to January 1, 2024, the 2024 Convertible Notes will be convertible only under the following circumstances: (1) during any fiscal quarter commencing after the fiscal quarter ending on September 30, 2017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2017 Indenture, per $1,000 principal amount of notes for each trading day of the measurement period was less than 98% of the product of the last reported sale price of our Class A Common Stock and the conversion rate on such trading day; (3) if we call any or all of the 2024 Convertible Notes for redemption, at any time prior to the close of business on the business day immediately preceding the redemption date; or (4) upon the occurrence of specified corporate events, as defined in the 2017 Indenture. On or after January 1, 2024 until the close of business on the business day immediately preceding the 2024 Maturity Date, holders of 2024 Convertible Notes may, at their option, convert their 2024 Convertible Notes at any time, regardless of the foregoing circumstances.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At our option, we may redeem for cash all or any portion of the 2024 Convertible Notes on or after July 6, 2021,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2024 Convertible Notes to be redeemed, plus accrued and unpaid interest to, but excluding, the redemption date.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stock trading price condition and other triggers are measured on a quarter-by-quarter basis and were not met as of March 31, 2023. As of March 31, 2023, the if-converted value of the 2024 Convertible Notes did not exceed the principal amount.</w:t>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NOTE 8: COMMON STOCK AND STOCK COMPENSATION</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Common Stock Repurchase Program</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On May 3, 2022, the Company's Board of Directors (the "Board") authorized the repurchase of up to $50 million of our Class A Common Stock over three years (the "Common Stock Repurchase Program"). Execution of the program will be responsive to fluctuating market conditions and valuations, liquidity needs and the expected return on investment compared to other opportunities.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As of March 31, 2023, the Company has repurchased and retired 929,336 shares of our Class A Common Stock for $8.0 million under the Common Stock Repurchase Program, of which $3.9 million was repurchased during the quarter ended March 31, 2023. The repurchase amount is allocated between "Additional paid-in capital" and "Retained earnings" in our condensed consolidated balance sheets.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ind w:left="0" w:right="0" w:hanging="360"/>
        <w:rPr>
          <w:rFonts w:ascii="Arial Narrow;sans-serif" w:hAnsi="Arial Narrow;sans-serif"/>
          <w:b/>
          <w:color w:val="000000"/>
          <w:sz w:val="20"/>
        </w:rPr>
      </w:pPr>
      <w:r>
        <w:rPr>
          <w:rFonts w:ascii="Arial Narrow;sans-serif" w:hAnsi="Arial Narrow;sans-serif"/>
          <w:b/>
          <w:color w:val="000000"/>
          <w:sz w:val="20"/>
        </w:rPr>
        <w:t>Other Common Stock Repurchases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During December 2022, the Company used approximately $5.0 million of the net proceeds from the 2029 Convertible Notes offering to repurchase for cash 578,703 shares of its Class A common stock from purchasers of the notes in privately negotiated transactions. Such transactions were authorized separately from, and not considered a part of, the publicly announced share repurchase program discussed above. The repurchase amount is allocated between "Additional paid-in capital" and "Retained earnings" in our condensed consolidated balance sheets.</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Stock Compensation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maintain a Board-approved incentive plan to retain the services of our valued officers, directors and employees and to incentivize such persons to make contributions to our company and motivate excellent performance (the "Incentive Plan"). Under the Incentive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granted under the Incentive Plan are measured at the grant date fair value with compensation costs associated with the awards recognized over the requisite service period, usually the vesting period, on a straight-line basis.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following table presents a summary of stock compensation activity:</w:t>
      </w:r>
    </w:p>
    <w:tbl>
      <w:tblPr>
        <w:tblW w:w="5158" w:type="dxa"/>
        <w:jc w:val="left"/>
        <w:tblInd w:w="0" w:type="dxa"/>
        <w:tblCellMar>
          <w:top w:w="28" w:type="dxa"/>
          <w:left w:w="28" w:type="dxa"/>
          <w:bottom w:w="28" w:type="dxa"/>
          <w:right w:w="28" w:type="dxa"/>
        </w:tblCellMar>
      </w:tblPr>
      <w:tblGrid>
        <w:gridCol w:w="1042"/>
        <w:gridCol w:w="918"/>
        <w:gridCol w:w="920"/>
        <w:gridCol w:w="435"/>
        <w:gridCol w:w="436"/>
        <w:gridCol w:w="196"/>
        <w:gridCol w:w="109"/>
        <w:gridCol w:w="109"/>
        <w:gridCol w:w="109"/>
        <w:gridCol w:w="212"/>
        <w:gridCol w:w="505"/>
        <w:gridCol w:w="167"/>
      </w:tblGrid>
      <w:tr>
        <w:trPr/>
        <w:tc>
          <w:tcPr>
            <w:tcW w:w="1042"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Weighted</w:t>
              <w:br/>
              <w:t>Average</w:t>
              <w:br/>
              <w:t>Grant Date</w:t>
              <w:br/>
              <w:t>Fair Value</w:t>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Outstanding as of September 30, 2022</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2,113,323 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Granted </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1,008,180 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 Narrow;sans-serif" w:hAnsi="Arial Narrow;sans-serif"/>
                <w:b w:val="false"/>
                <w:color w:val="000000"/>
                <w:sz w:val="20"/>
              </w:rPr>
              <w:t xml:space="preserve">Released </w:t>
            </w:r>
            <w:r>
              <w:rPr>
                <w:rFonts w:ascii="Arial Narrow;sans-serif" w:hAnsi="Arial Narrow;sans-serif"/>
                <w:b w:val="false"/>
                <w:color w:val="000000"/>
                <w:sz w:val="13"/>
              </w:rPr>
              <w:t>(a)</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(480,238)</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Cancelled</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(54,497)</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Outstanding as of March 31, 2023</w:t>
            </w:r>
          </w:p>
        </w:tc>
        <w:tc>
          <w:tcPr>
            <w:tcW w:w="871"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2,586,768 </w:t>
            </w:r>
          </w:p>
        </w:tc>
        <w:tc>
          <w:tcPr>
            <w:tcW w:w="1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05"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6.81 </w:t>
            </w:r>
          </w:p>
        </w:tc>
        <w:tc>
          <w:tcPr>
            <w:tcW w:w="167"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Arial Narrow;sans-serif" w:hAnsi="Arial Narrow;sans-serif"/>
          <w:b w:val="false"/>
          <w:color w:val="000000"/>
          <w:sz w:val="16"/>
        </w:rPr>
      </w:pPr>
      <w:r>
        <w:rPr>
          <w:rFonts w:ascii="Arial Narrow;sans-serif" w:hAnsi="Arial Narrow;sans-serif"/>
          <w:b w:val="false"/>
          <w:color w:val="000000"/>
          <w:sz w:val="16"/>
        </w:rPr>
        <w:t>(a) 114,311 shares were withheld to satisfy related income tax withholding.</w:t>
      </w:r>
    </w:p>
    <w:p>
      <w:pPr>
        <w:pStyle w:val="TextBody"/>
        <w:spacing w:before="60" w:after="283"/>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NOTE 9: CONTINGENCIES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Currently, and from time to time, we are involved in various claims, disputes, lawsuits, investigations, and legal and regulatory proceedings, including the matter described below.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and the amount of resulting loss may differ from these estimates. We do not believe the resolution of any particular matter will have a material adverse effect on our financial condition, results of operations or liquidity.</w:t>
      </w:r>
    </w:p>
    <w:p>
      <w:pPr>
        <w:pStyle w:val="TextBody"/>
        <w:spacing w:lineRule="auto" w:line="288" w:before="180" w:after="283"/>
        <w:rPr/>
      </w:pPr>
      <w:r>
        <w:rPr>
          <w:rFonts w:ascii="Arial Narrow;sans-serif" w:hAnsi="Arial Narrow;sans-serif"/>
          <w:b w:val="false"/>
          <w:color w:val="000000"/>
          <w:sz w:val="20"/>
        </w:rPr>
        <w:t xml:space="preserve">On October 14, 2021, Andrew Kowlessar filed an action in the Circuit Court of the 17th Judicial Circuit in and for Broward County, Florida styled </w:t>
      </w:r>
      <w:r>
        <w:rPr>
          <w:rFonts w:ascii="Arial Narrow;sans-serif" w:hAnsi="Arial Narrow;sans-serif"/>
          <w:b w:val="false"/>
          <w:i/>
          <w:color w:val="000000"/>
          <w:sz w:val="20"/>
        </w:rPr>
        <w:t>Andrew Kowlessar, individually and on behalf of all others similarly situated vs. EZCORP, Inc. d/b/a Value Pawn &amp; Jewelry</w:t>
      </w:r>
      <w:r>
        <w:rPr>
          <w:rFonts w:ascii="Arial Narrow;sans-serif" w:hAnsi="Arial Narrow;sans-serif"/>
          <w:b w:val="false"/>
          <w:color w:val="000000"/>
          <w:sz w:val="20"/>
        </w:rPr>
        <w:t xml:space="preserve">. The matter subsequently was amended and removed to the United States District Court of the Southern District of Florida as </w:t>
      </w:r>
      <w:r>
        <w:rPr>
          <w:rFonts w:ascii="Arial Narrow;sans-serif" w:hAnsi="Arial Narrow;sans-serif"/>
          <w:b w:val="false"/>
          <w:i/>
          <w:color w:val="000000"/>
          <w:sz w:val="20"/>
        </w:rPr>
        <w:t>Andrew Kowlessar, individually and on behalf of all others similarly situated vs. EZPAWN Florida, Inc. d/b/a Value Pawn &amp; Jewelry</w:t>
      </w:r>
      <w:r>
        <w:rPr>
          <w:rFonts w:ascii="Arial Narrow;sans-serif" w:hAnsi="Arial Narrow;sans-serif"/>
          <w:b w:val="false"/>
          <w:color w:val="000000"/>
          <w:sz w:val="20"/>
        </w:rPr>
        <w:t xml:space="preserve">. In May 2022, the federal court action was dismissed and the case was refiled in the Circuit Court of the Eleventh Judicial Circuit in and for Miami-Dade County, Florida. The complaint was brought under Section 501.059, Florida Statutes, the Florida Telephone Solicitation Act (“Act”), and alleges certain text messages were sent in violation of the Act. The matter involves claims by a single individual, but alleges a class of persons who may have similar claims of violations of the Act and seeks class certification. On June 16, 2022, following discovery and pre-trial mediation, the parties agreed to a settlement of all asserted claims and entered into a Settlement Agreement and Release, which was approved by the court on October 24, 2022. The period for submitting claims expired on November 8, 2022. The Company recorded a $2.0 million charge during the quarter ended June 30, 2022, which amount has since been paid to the third party claims administrator in final satisfaction of claims and related costs. The claims administrator is in the process of disbursing settlement funds.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NOTE 10: SEGMENT INFORMATION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Our operations are primarily managed on a geographical basis and are comprised of three reportable segments. The factors for determining our reportable segments include the manner in which our chief operating decision maker ("CODM") evaluates performance for purposes of allocating resources and assessing performance.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currently report our segments as follows:</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U.S. Pawn — all pawn activities in the United States;</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Latin America Pawn — all pawn activities in Mexico and other parts of Latin America; and</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Other Investments — primarily our equity interest in the net income of Cash Converters along with our investment in Founders and RDC.</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There are no inter-segment revenues presented below, and the amounts below were determined in accordance with the same accounting principles used in our condensed consolidated financial statements.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following tables present revenue for each reportable segment, disaggregated revenue within our three reportable segments and Corporate, segment profits and segment contribution.</w:t>
      </w:r>
    </w:p>
    <w:tbl>
      <w:tblPr>
        <w:tblW w:w="10205" w:type="dxa"/>
        <w:jc w:val="left"/>
        <w:tblInd w:w="0" w:type="dxa"/>
        <w:tblCellMar>
          <w:top w:w="28" w:type="dxa"/>
          <w:left w:w="28" w:type="dxa"/>
          <w:bottom w:w="28" w:type="dxa"/>
          <w:right w:w="28" w:type="dxa"/>
        </w:tblCellMar>
      </w:tblPr>
      <w:tblGrid>
        <w:gridCol w:w="806"/>
        <w:gridCol w:w="648"/>
        <w:gridCol w:w="622"/>
        <w:gridCol w:w="181"/>
        <w:gridCol w:w="646"/>
        <w:gridCol w:w="109"/>
        <w:gridCol w:w="109"/>
        <w:gridCol w:w="109"/>
        <w:gridCol w:w="109"/>
        <w:gridCol w:w="253"/>
        <w:gridCol w:w="799"/>
        <w:gridCol w:w="152"/>
        <w:gridCol w:w="109"/>
        <w:gridCol w:w="109"/>
        <w:gridCol w:w="109"/>
        <w:gridCol w:w="244"/>
        <w:gridCol w:w="772"/>
        <w:gridCol w:w="148"/>
        <w:gridCol w:w="109"/>
        <w:gridCol w:w="109"/>
        <w:gridCol w:w="109"/>
        <w:gridCol w:w="206"/>
        <w:gridCol w:w="738"/>
        <w:gridCol w:w="124"/>
        <w:gridCol w:w="109"/>
        <w:gridCol w:w="109"/>
        <w:gridCol w:w="109"/>
        <w:gridCol w:w="213"/>
        <w:gridCol w:w="708"/>
        <w:gridCol w:w="128"/>
        <w:gridCol w:w="109"/>
        <w:gridCol w:w="109"/>
        <w:gridCol w:w="109"/>
        <w:gridCol w:w="196"/>
        <w:gridCol w:w="701"/>
        <w:gridCol w:w="176"/>
      </w:tblGrid>
      <w:tr>
        <w:trPr/>
        <w:tc>
          <w:tcPr>
            <w:tcW w:w="80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20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29" w:type="dxa"/>
            <w:gridSpan w:val="3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2023</w:t>
            </w:r>
          </w:p>
        </w:tc>
      </w:tr>
      <w:tr>
        <w:trPr/>
        <w:tc>
          <w:tcPr>
            <w:tcW w:w="20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43,767 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152,507 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152,507 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3,011 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12,825 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12,825 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69,945 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23,085 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93,030 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93,030 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188,531 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69,882 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258,423 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258,423 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29,696 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97,339 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97,339 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3,352 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11,902 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11,902 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r>
      <w:tr>
        <w:trPr/>
        <w:tc>
          <w:tcPr>
            <w:tcW w:w="207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112,338 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36,834 </w:t>
            </w:r>
          </w:p>
        </w:tc>
        <w:tc>
          <w:tcPr>
            <w:tcW w:w="152"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4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149,182 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149,182 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29,323 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101,269 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101,269 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15,609 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15,609 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2,332 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7,963 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loss on sale or disposal of assets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(1,599)</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(1,898)</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32,501 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32,501 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32,501 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r>
      <w:tr>
        <w:trPr/>
        <w:tc>
          <w:tcPr>
            <w:tcW w:w="207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 (loss)</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9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7,996 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(32,497)</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13,251 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6"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0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13,251 </w:t>
            </w:r>
          </w:p>
        </w:tc>
        <w:tc>
          <w:tcPr>
            <w:tcW w:w="12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(20,591)</w:t>
            </w:r>
          </w:p>
        </w:tc>
        <w:tc>
          <w:tcPr>
            <w:tcW w:w="12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(7,340)</w:t>
            </w:r>
          </w:p>
        </w:tc>
        <w:tc>
          <w:tcPr>
            <w:tcW w:w="17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tbl>
      <w:tblPr>
        <w:tblW w:w="10205" w:type="dxa"/>
        <w:jc w:val="left"/>
        <w:tblInd w:w="0" w:type="dxa"/>
        <w:tblCellMar>
          <w:top w:w="28" w:type="dxa"/>
          <w:left w:w="28" w:type="dxa"/>
          <w:bottom w:w="28" w:type="dxa"/>
          <w:right w:w="28" w:type="dxa"/>
        </w:tblCellMar>
      </w:tblPr>
      <w:tblGrid>
        <w:gridCol w:w="823"/>
        <w:gridCol w:w="660"/>
        <w:gridCol w:w="632"/>
        <w:gridCol w:w="181"/>
        <w:gridCol w:w="646"/>
        <w:gridCol w:w="109"/>
        <w:gridCol w:w="109"/>
        <w:gridCol w:w="109"/>
        <w:gridCol w:w="109"/>
        <w:gridCol w:w="250"/>
        <w:gridCol w:w="789"/>
        <w:gridCol w:w="150"/>
        <w:gridCol w:w="109"/>
        <w:gridCol w:w="109"/>
        <w:gridCol w:w="109"/>
        <w:gridCol w:w="265"/>
        <w:gridCol w:w="728"/>
        <w:gridCol w:w="160"/>
        <w:gridCol w:w="109"/>
        <w:gridCol w:w="109"/>
        <w:gridCol w:w="109"/>
        <w:gridCol w:w="205"/>
        <w:gridCol w:w="734"/>
        <w:gridCol w:w="123"/>
        <w:gridCol w:w="109"/>
        <w:gridCol w:w="109"/>
        <w:gridCol w:w="109"/>
        <w:gridCol w:w="212"/>
        <w:gridCol w:w="702"/>
        <w:gridCol w:w="128"/>
        <w:gridCol w:w="109"/>
        <w:gridCol w:w="109"/>
        <w:gridCol w:w="109"/>
        <w:gridCol w:w="196"/>
        <w:gridCol w:w="701"/>
        <w:gridCol w:w="176"/>
      </w:tblGrid>
      <w:tr>
        <w:trPr/>
        <w:tc>
          <w:tcPr>
            <w:tcW w:w="823"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90" w:type="dxa"/>
            <w:gridSpan w:val="3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2022</w:t>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33,492 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133,556 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133,556 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17,911 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76,683 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76,683 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162,340 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53,613 </w:t>
            </w:r>
          </w:p>
        </w:tc>
        <w:tc>
          <w:tcPr>
            <w:tcW w:w="15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215,982 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215,982 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58,613 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23,633 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82,246 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82,246 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4,808 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100,929 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27,970 </w:t>
            </w:r>
          </w:p>
        </w:tc>
        <w:tc>
          <w:tcPr>
            <w:tcW w:w="150"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128,928 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128,928 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21,251 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85,743 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85,743 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12,227 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12,227 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1,891 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(697)</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1,439 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Segment contribution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9"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4,758 </w:t>
            </w:r>
          </w:p>
        </w:tc>
        <w:tc>
          <w:tcPr>
            <w:tcW w:w="150"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8"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(1,418)</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37,152 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4"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4"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0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37,152 </w:t>
            </w:r>
          </w:p>
        </w:tc>
        <w:tc>
          <w:tcPr>
            <w:tcW w:w="12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(17,029)</w:t>
            </w:r>
          </w:p>
        </w:tc>
        <w:tc>
          <w:tcPr>
            <w:tcW w:w="12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20,123 </w:t>
            </w:r>
          </w:p>
        </w:tc>
        <w:tc>
          <w:tcPr>
            <w:tcW w:w="17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28" w:type="dxa"/>
        </w:tblCellMar>
      </w:tblPr>
      <w:tblGrid>
        <w:gridCol w:w="802"/>
        <w:gridCol w:w="645"/>
        <w:gridCol w:w="619"/>
        <w:gridCol w:w="181"/>
        <w:gridCol w:w="646"/>
        <w:gridCol w:w="109"/>
        <w:gridCol w:w="109"/>
        <w:gridCol w:w="109"/>
        <w:gridCol w:w="109"/>
        <w:gridCol w:w="253"/>
        <w:gridCol w:w="801"/>
        <w:gridCol w:w="153"/>
        <w:gridCol w:w="109"/>
        <w:gridCol w:w="109"/>
        <w:gridCol w:w="109"/>
        <w:gridCol w:w="244"/>
        <w:gridCol w:w="773"/>
        <w:gridCol w:w="148"/>
        <w:gridCol w:w="109"/>
        <w:gridCol w:w="109"/>
        <w:gridCol w:w="109"/>
        <w:gridCol w:w="207"/>
        <w:gridCol w:w="739"/>
        <w:gridCol w:w="124"/>
        <w:gridCol w:w="109"/>
        <w:gridCol w:w="109"/>
        <w:gridCol w:w="109"/>
        <w:gridCol w:w="214"/>
        <w:gridCol w:w="709"/>
        <w:gridCol w:w="129"/>
        <w:gridCol w:w="109"/>
        <w:gridCol w:w="109"/>
        <w:gridCol w:w="109"/>
        <w:gridCol w:w="196"/>
        <w:gridCol w:w="701"/>
        <w:gridCol w:w="177"/>
      </w:tblGrid>
      <w:tr>
        <w:trPr/>
        <w:tc>
          <w:tcPr>
            <w:tcW w:w="802"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2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39" w:type="dxa"/>
            <w:gridSpan w:val="3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2023</w:t>
            </w:r>
          </w:p>
        </w:tc>
      </w:tr>
      <w:tr>
        <w:trPr/>
        <w:tc>
          <w:tcPr>
            <w:tcW w:w="2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227,054 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89,240 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316,294 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316,294 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3,719 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20,709 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20,709 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46,368 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185,623 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185,623 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383,356 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139,362 </w:t>
            </w:r>
          </w:p>
        </w:tc>
        <w:tc>
          <w:tcPr>
            <w:tcW w:w="153"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4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522,750 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522,750 </w:t>
            </w:r>
          </w:p>
        </w:tc>
        <w:tc>
          <w:tcPr>
            <w:tcW w:w="177"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140,899 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61,317 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202,216 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202,216 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4,089 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18,855 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18,855 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r>
      <w:tr>
        <w:trPr/>
        <w:tc>
          <w:tcPr>
            <w:tcW w:w="206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227,691 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73,956 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301,679 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301,679 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56,822 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202,072 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202,072 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31,088 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31,085 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4,547 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9,862 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6,089 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15,951 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9,580 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(467)</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(468)</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(2,094)</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(2,562)</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30,917 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30,917 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30,917 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r>
      <w:tr>
        <w:trPr/>
        <w:tc>
          <w:tcPr>
            <w:tcW w:w="206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 (loss)</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77,043 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15,525 </w:t>
            </w:r>
          </w:p>
        </w:tc>
        <w:tc>
          <w:tcPr>
            <w:tcW w:w="153"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3"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(30,895)</w:t>
            </w:r>
          </w:p>
        </w:tc>
        <w:tc>
          <w:tcPr>
            <w:tcW w:w="14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61,673 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bottom w:val="single" w:sz="12"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bottom w:val="single" w:sz="12"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207" w:type="dxa"/>
            <w:gridSpan w:val="3"/>
            <w:tcBorders>
              <w:bottom w:val="single" w:sz="12"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165" w:type="dxa"/>
            <w:gridSpan w:val="3"/>
            <w:tcBorders>
              <w:bottom w:val="single" w:sz="12"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07" w:type="dxa"/>
            <w:tcBorders>
              <w:bottom w:val="single" w:sz="12"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bottom w:val="single" w:sz="12"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61,673 </w:t>
            </w:r>
          </w:p>
        </w:tc>
        <w:tc>
          <w:tcPr>
            <w:tcW w:w="124" w:type="dxa"/>
            <w:tcBorders>
              <w:bottom w:val="single" w:sz="12"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14" w:type="dxa"/>
            <w:tcBorders>
              <w:bottom w:val="single" w:sz="12"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9" w:type="dxa"/>
            <w:tcBorders>
              <w:bottom w:val="single" w:sz="12"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(44,475)</w:t>
            </w:r>
          </w:p>
        </w:tc>
        <w:tc>
          <w:tcPr>
            <w:tcW w:w="129" w:type="dxa"/>
            <w:tcBorders>
              <w:bottom w:val="single" w:sz="12"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96" w:type="dxa"/>
            <w:tcBorders>
              <w:bottom w:val="single" w:sz="12"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bottom w:val="single" w:sz="12"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17,198 </w:t>
            </w:r>
          </w:p>
        </w:tc>
        <w:tc>
          <w:tcPr>
            <w:tcW w:w="177" w:type="dxa"/>
            <w:tcBorders>
              <w:bottom w:val="single" w:sz="12"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tbl>
      <w:tblPr>
        <w:tblW w:w="10205" w:type="dxa"/>
        <w:jc w:val="left"/>
        <w:tblInd w:w="0" w:type="dxa"/>
        <w:tblCellMar>
          <w:top w:w="28" w:type="dxa"/>
          <w:left w:w="28" w:type="dxa"/>
          <w:bottom w:w="28" w:type="dxa"/>
          <w:right w:w="28" w:type="dxa"/>
        </w:tblCellMar>
      </w:tblPr>
      <w:tblGrid>
        <w:gridCol w:w="823"/>
        <w:gridCol w:w="660"/>
        <w:gridCol w:w="632"/>
        <w:gridCol w:w="181"/>
        <w:gridCol w:w="646"/>
        <w:gridCol w:w="109"/>
        <w:gridCol w:w="109"/>
        <w:gridCol w:w="109"/>
        <w:gridCol w:w="109"/>
        <w:gridCol w:w="250"/>
        <w:gridCol w:w="789"/>
        <w:gridCol w:w="150"/>
        <w:gridCol w:w="109"/>
        <w:gridCol w:w="109"/>
        <w:gridCol w:w="109"/>
        <w:gridCol w:w="300"/>
        <w:gridCol w:w="673"/>
        <w:gridCol w:w="181"/>
        <w:gridCol w:w="109"/>
        <w:gridCol w:w="109"/>
        <w:gridCol w:w="109"/>
        <w:gridCol w:w="205"/>
        <w:gridCol w:w="734"/>
        <w:gridCol w:w="123"/>
        <w:gridCol w:w="109"/>
        <w:gridCol w:w="109"/>
        <w:gridCol w:w="109"/>
        <w:gridCol w:w="212"/>
        <w:gridCol w:w="702"/>
        <w:gridCol w:w="128"/>
        <w:gridCol w:w="109"/>
        <w:gridCol w:w="109"/>
        <w:gridCol w:w="109"/>
        <w:gridCol w:w="196"/>
        <w:gridCol w:w="701"/>
        <w:gridCol w:w="175"/>
      </w:tblGrid>
      <w:tr>
        <w:trPr/>
        <w:tc>
          <w:tcPr>
            <w:tcW w:w="823"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90" w:type="dxa"/>
            <w:gridSpan w:val="3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2022</w:t>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69,134 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271,276 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271,276 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4,174 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12,634 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12,634 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37,379 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152,708 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152,708 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358 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358 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325,977 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110,927 </w:t>
            </w:r>
          </w:p>
        </w:tc>
        <w:tc>
          <w:tcPr>
            <w:tcW w:w="150"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436,976 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436,976 </w:t>
            </w:r>
          </w:p>
        </w:tc>
        <w:tc>
          <w:tcPr>
            <w:tcW w:w="17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116,445 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48,912 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165,357 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165,357 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3,807 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10,580 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10,580 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202,759 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58,208 </w:t>
            </w:r>
          </w:p>
        </w:tc>
        <w:tc>
          <w:tcPr>
            <w:tcW w:w="15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261,039 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261,039 </w:t>
            </w:r>
          </w:p>
        </w:tc>
        <w:tc>
          <w:tcPr>
            <w:tcW w:w="17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43,333 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172,514 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172,514 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27,772 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27,772 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3,871 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9,166 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5,858 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15,024 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4,958 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4,958 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(437)</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(437)</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Segment contribution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9"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11,245 </w:t>
            </w:r>
          </w:p>
        </w:tc>
        <w:tc>
          <w:tcPr>
            <w:tcW w:w="15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79,303 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05"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79,303 </w:t>
            </w:r>
          </w:p>
        </w:tc>
        <w:tc>
          <w:tcPr>
            <w:tcW w:w="12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(37,833)</w:t>
            </w:r>
          </w:p>
        </w:tc>
        <w:tc>
          <w:tcPr>
            <w:tcW w:w="12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41,470 </w:t>
            </w:r>
          </w:p>
        </w:tc>
        <w:tc>
          <w:tcPr>
            <w:tcW w:w="175"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283"/>
        <w:rPr/>
      </w:pPr>
      <w:r>
        <w:rPr/>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following table presents separately identified net earning assets by segment:</w:t>
      </w:r>
    </w:p>
    <w:tbl>
      <w:tblPr>
        <w:tblW w:w="8355" w:type="dxa"/>
        <w:jc w:val="left"/>
        <w:tblInd w:w="0" w:type="dxa"/>
        <w:tblCellMar>
          <w:top w:w="28" w:type="dxa"/>
          <w:left w:w="28" w:type="dxa"/>
          <w:bottom w:w="28" w:type="dxa"/>
          <w:right w:w="28" w:type="dxa"/>
        </w:tblCellMar>
      </w:tblPr>
      <w:tblGrid>
        <w:gridCol w:w="537"/>
        <w:gridCol w:w="473"/>
        <w:gridCol w:w="475"/>
        <w:gridCol w:w="181"/>
        <w:gridCol w:w="646"/>
        <w:gridCol w:w="109"/>
        <w:gridCol w:w="109"/>
        <w:gridCol w:w="109"/>
        <w:gridCol w:w="109"/>
        <w:gridCol w:w="315"/>
        <w:gridCol w:w="995"/>
        <w:gridCol w:w="190"/>
        <w:gridCol w:w="109"/>
        <w:gridCol w:w="109"/>
        <w:gridCol w:w="109"/>
        <w:gridCol w:w="242"/>
        <w:gridCol w:w="543"/>
        <w:gridCol w:w="146"/>
        <w:gridCol w:w="109"/>
        <w:gridCol w:w="109"/>
        <w:gridCol w:w="109"/>
        <w:gridCol w:w="316"/>
        <w:gridCol w:w="708"/>
        <w:gridCol w:w="190"/>
        <w:gridCol w:w="109"/>
        <w:gridCol w:w="109"/>
        <w:gridCol w:w="109"/>
        <w:gridCol w:w="181"/>
        <w:gridCol w:w="646"/>
        <w:gridCol w:w="154"/>
      </w:tblGrid>
      <w:tr>
        <w:trPr/>
        <w:tc>
          <w:tcPr>
            <w:tcW w:w="537"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w:t>
              <w:br/>
              <w:t>Investments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2023</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157,043 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49,053 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206,096 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112,147 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38,150 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150,297 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2022</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40,103 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173,618 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26,570 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119,890 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NOTE 11: SUPPLEMENTAL CONSOLIDATED FINANCIAL INFORMATION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following table provides supplemental information on net amounts included in our condensed consolidated balance sheets:</w:t>
      </w:r>
    </w:p>
    <w:tbl>
      <w:tblPr>
        <w:tblW w:w="8512" w:type="dxa"/>
        <w:jc w:val="left"/>
        <w:tblInd w:w="0" w:type="dxa"/>
        <w:tblCellMar>
          <w:top w:w="28" w:type="dxa"/>
          <w:left w:w="28" w:type="dxa"/>
          <w:bottom w:w="28" w:type="dxa"/>
          <w:right w:w="28" w:type="dxa"/>
        </w:tblCellMar>
      </w:tblPr>
      <w:tblGrid>
        <w:gridCol w:w="1502"/>
        <w:gridCol w:w="1325"/>
        <w:gridCol w:w="1328"/>
        <w:gridCol w:w="214"/>
        <w:gridCol w:w="766"/>
        <w:gridCol w:w="129"/>
        <w:gridCol w:w="109"/>
        <w:gridCol w:w="109"/>
        <w:gridCol w:w="109"/>
        <w:gridCol w:w="214"/>
        <w:gridCol w:w="766"/>
        <w:gridCol w:w="129"/>
        <w:gridCol w:w="109"/>
        <w:gridCol w:w="109"/>
        <w:gridCol w:w="109"/>
        <w:gridCol w:w="274"/>
        <w:gridCol w:w="978"/>
        <w:gridCol w:w="233"/>
      </w:tblGrid>
      <w:tr>
        <w:trPr/>
        <w:tc>
          <w:tcPr>
            <w:tcW w:w="1502"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2022</w:t>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pawn service charges receivable</w:t>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42,335 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35,886 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44,192 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 for uncollectible pawn service charges receivable</w:t>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(9,219)</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(7,567)</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(10,716)</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33,116 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28,319 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33,476 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inventory</w:t>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153,348 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123,944 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153,673 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reserves</w:t>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(3,051)</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(4,054)</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(2,058)</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150,297 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119,890 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151,615 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1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w:t>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7,677 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10,245 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8,336 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receivable, notes receivable and other</w:t>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27,817 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8,255 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8,435 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 prepaid and receivable</w:t>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10,070 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8,767 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17,923 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45,564 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27,267 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34,694 </w:t>
            </w:r>
          </w:p>
        </w:tc>
        <w:tc>
          <w:tcPr>
            <w:tcW w:w="233"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gross</w:t>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325,458 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293,087 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306,667 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depreciation</w:t>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(265,683)</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(242,213)</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(249,942)</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59,775 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50,874 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56,725 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18,443 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17,756 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24,056 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payroll</w:t>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8,842 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8,631 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8,365 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Incentive accrual</w:t>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8,997 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8,196 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17,403 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payroll related expenses</w:t>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7,877 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9,592 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sales and VAT taxes</w:t>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6,949 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7,279 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income taxes payable</w:t>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3,662 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4,346 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2,663 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current liabilities</w:t>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17,451 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14,867 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15,151 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21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72,695 </w:t>
            </w:r>
          </w:p>
        </w:tc>
        <w:tc>
          <w:tcPr>
            <w:tcW w:w="12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69,695 </w:t>
            </w:r>
          </w:p>
        </w:tc>
        <w:tc>
          <w:tcPr>
            <w:tcW w:w="12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7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84,509 </w:t>
            </w:r>
          </w:p>
        </w:tc>
        <w:tc>
          <w:tcPr>
            <w:tcW w:w="23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rPr>
          <w:color w:val="000000"/>
        </w:rPr>
      </w:pPr>
      <w:r>
        <w:rPr>
          <w:color w:val="000000"/>
        </w:rPr>
        <w:t>    </w:t>
      </w:r>
    </w:p>
    <w:p>
      <w:pPr>
        <w:pStyle w:val="TextBody"/>
        <w:spacing w:lineRule="auto" w:line="288" w:before="80" w:after="283"/>
        <w:rPr>
          <w:rFonts w:ascii="Arial Narrow;sans-serif" w:hAnsi="Arial Narrow;sans-serif"/>
          <w:b w:val="false"/>
          <w:color w:val="000000"/>
          <w:sz w:val="20"/>
        </w:rPr>
      </w:pPr>
      <w:r>
        <w:rPr>
          <w:rFonts w:ascii="Arial Narrow;sans-serif" w:hAnsi="Arial Narrow;sans-serif"/>
          <w:b w:val="false"/>
          <w:color w:val="000000"/>
          <w:sz w:val="20"/>
        </w:rPr>
        <w:t>The following table provides supplemental disclosure of Consolidated Statements of Cash Flows information:</w:t>
      </w:r>
    </w:p>
    <w:tbl>
      <w:tblPr>
        <w:tblW w:w="5633" w:type="dxa"/>
        <w:jc w:val="left"/>
        <w:tblInd w:w="0" w:type="dxa"/>
        <w:tblCellMar>
          <w:top w:w="28" w:type="dxa"/>
          <w:left w:w="28" w:type="dxa"/>
          <w:bottom w:w="28" w:type="dxa"/>
          <w:right w:w="28" w:type="dxa"/>
        </w:tblCellMar>
      </w:tblPr>
      <w:tblGrid>
        <w:gridCol w:w="1226"/>
        <w:gridCol w:w="1080"/>
        <w:gridCol w:w="1083"/>
        <w:gridCol w:w="181"/>
        <w:gridCol w:w="646"/>
        <w:gridCol w:w="109"/>
        <w:gridCol w:w="109"/>
        <w:gridCol w:w="109"/>
        <w:gridCol w:w="109"/>
        <w:gridCol w:w="181"/>
        <w:gridCol w:w="646"/>
        <w:gridCol w:w="154"/>
      </w:tblGrid>
      <w:tr>
        <w:trPr/>
        <w:tc>
          <w:tcPr>
            <w:tcW w:w="1226"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3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Supplemental disclosure of cash flow information</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254,964 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cash</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cash and cash equivalents and restricted cash</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251,579 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263,677 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investing and financing activities:</w:t>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 forfeited and transferred to inventory</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159,398 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134,562 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Transfer of consideration for other investment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Transfer of equity consideration for acquisition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 earn-out contingency</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acquisition consideration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ITEM 2. MANAGEMENT'S DISCUSSION AND ANALYSIS OF FINANCIAL CONDITION AND RESULTS OF OPERATIONS</w:t>
      </w:r>
    </w:p>
    <w:p>
      <w:pPr>
        <w:pStyle w:val="TextBody"/>
        <w:spacing w:lineRule="auto" w:line="288" w:before="180" w:after="283"/>
        <w:rPr/>
      </w:pPr>
      <w:r>
        <w:rPr>
          <w:rFonts w:ascii="Arial Narrow;sans-serif" w:hAnsi="Arial Narrow;sans-serif"/>
          <w:b w:val="false"/>
          <w:color w:val="000000"/>
          <w:sz w:val="20"/>
        </w:rPr>
        <w:t xml:space="preserve">Management’s Discussion and Analysis of Financial Condition and Results of Operations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This discussion contains forward-looking statements. Our actual results could differ materially from those anticipated in these forward-looking statements. See </w:t>
      </w:r>
      <w:hyperlink r:id="rId3">
        <w:r>
          <w:rPr>
            <w:rStyle w:val="InternetLink"/>
            <w:rFonts w:ascii="Arial Narrow;sans-serif" w:hAnsi="Arial Narrow;sans-serif"/>
            <w:b w:val="false"/>
            <w:strike w:val="false"/>
            <w:dstrike w:val="false"/>
            <w:color w:val="000000"/>
            <w:sz w:val="20"/>
            <w:u w:val="none"/>
            <w:effect w:val="none"/>
          </w:rPr>
          <w:t xml:space="preserve">"Part I, Item 1A — Risk Factors" of our Annual Report on Form 10-K for the year ended September 30, </w:t>
        </w:r>
      </w:hyperlink>
      <w:r>
        <w:rPr>
          <w:rFonts w:ascii="Arial Narrow;sans-serif" w:hAnsi="Arial Narrow;sans-serif"/>
          <w:b w:val="false"/>
          <w:color w:val="000000"/>
          <w:sz w:val="20"/>
        </w:rPr>
        <w:t>2022, as supplemented by the information set forth in “Part I, Item 3 — Quantitative and Qualitative Disclosures about Market Risk” and "Part II, Item 1A — Risk Factors" of this Report, for a discussion of certain risks, uncertainties and assumptions associated with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Business Overview</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EZCORP is a Delaware corporation headquartered in Austin, Texas. We are a leading provider of pawn services in the United States and Latin America. Pawn loans are nonrecourse loans collateralized by personal property. We also sell merchandise, primarily collateral forfeited from unpaid loans or goods purchased directly from customers.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exist to serve our customers’ short-term cash needs, helping them to live and enjoy their lives. We are focused on three strategic pillars:</w:t>
      </w:r>
    </w:p>
    <w:tbl>
      <w:tblPr>
        <w:tblW w:w="10205" w:type="dxa"/>
        <w:jc w:val="center"/>
        <w:tblInd w:w="0" w:type="dxa"/>
        <w:tblCellMar>
          <w:top w:w="28" w:type="dxa"/>
          <w:left w:w="28" w:type="dxa"/>
          <w:bottom w:w="28" w:type="dxa"/>
          <w:right w:w="28" w:type="dxa"/>
        </w:tblCellMar>
      </w:tblPr>
      <w:tblGrid>
        <w:gridCol w:w="1001"/>
        <w:gridCol w:w="878"/>
        <w:gridCol w:w="883"/>
        <w:gridCol w:w="2175"/>
        <w:gridCol w:w="2172"/>
        <w:gridCol w:w="3096"/>
      </w:tblGrid>
      <w:tr>
        <w:trPr/>
        <w:tc>
          <w:tcPr>
            <w:tcW w:w="1001"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2172" w:type="dxa"/>
            <w:tcBorders/>
            <w:shd w:fill="auto" w:val="clear"/>
            <w:vAlign w:val="center"/>
          </w:tcPr>
          <w:p>
            <w:pPr>
              <w:pStyle w:val="TableContents"/>
              <w:spacing w:before="0" w:after="283"/>
              <w:rPr>
                <w:sz w:val="4"/>
                <w:szCs w:val="4"/>
              </w:rPr>
            </w:pPr>
            <w:r>
              <w:rPr>
                <w:sz w:val="4"/>
                <w:szCs w:val="4"/>
              </w:rPr>
            </w:r>
          </w:p>
        </w:tc>
        <w:tc>
          <w:tcPr>
            <w:tcW w:w="3096" w:type="dxa"/>
            <w:tcBorders/>
            <w:shd w:fill="auto" w:val="clear"/>
            <w:vAlign w:val="center"/>
          </w:tcPr>
          <w:p>
            <w:pPr>
              <w:pStyle w:val="TableContents"/>
              <w:spacing w:before="0" w:after="283"/>
              <w:rPr>
                <w:sz w:val="4"/>
                <w:szCs w:val="4"/>
              </w:rPr>
            </w:pPr>
            <w:r>
              <w:rPr>
                <w:sz w:val="4"/>
                <w:szCs w:val="4"/>
              </w:rPr>
            </w:r>
          </w:p>
        </w:tc>
      </w:tr>
      <w:tr>
        <w:trPr/>
        <w:tc>
          <w:tcPr>
            <w:tcW w:w="2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2"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Strengthen the Core</w:t>
            </w:r>
          </w:p>
        </w:tc>
        <w:tc>
          <w:tcPr>
            <w:tcW w:w="7443" w:type="dxa"/>
            <w:gridSpan w:val="3"/>
            <w:tcBorders>
              <w:top w:val="single" w:sz="8" w:space="0" w:color="FFFFFF"/>
              <w:left w:val="single" w:sz="8" w:space="0" w:color="FFFFFF"/>
              <w:right w:val="single" w:sz="8" w:space="0" w:color="FFFFFF"/>
            </w:tcBorders>
            <w:shd w:fill="80C9FF" w:val="clear"/>
            <w:tcMar>
              <w:top w:w="30" w:type="dxa"/>
              <w:bottom w:w="0" w:type="dxa"/>
            </w:tcMar>
            <w:vAlign w:val="center"/>
          </w:tcPr>
          <w:p>
            <w:pPr>
              <w:pStyle w:val="TableContents"/>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Relentless focus on superior execution and operational excellence in our core pawn business</w:t>
            </w:r>
          </w:p>
        </w:tc>
      </w:tr>
      <w:tr>
        <w:trPr/>
        <w:tc>
          <w:tcPr>
            <w:tcW w:w="2762"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Cost Efficiency and Simplification</w:t>
            </w:r>
          </w:p>
        </w:tc>
        <w:tc>
          <w:tcPr>
            <w:tcW w:w="7443" w:type="dxa"/>
            <w:gridSpan w:val="3"/>
            <w:tcBorders>
              <w:top w:val="single" w:sz="8" w:space="0" w:color="FFFFFF"/>
              <w:left w:val="single" w:sz="8" w:space="0" w:color="FFFFFF"/>
              <w:right w:val="single" w:sz="8" w:space="0" w:color="FFFFFF"/>
            </w:tcBorders>
            <w:shd w:fill="80C9FF" w:val="clear"/>
            <w:tcMar>
              <w:top w:w="30" w:type="dxa"/>
              <w:bottom w:w="0" w:type="dxa"/>
            </w:tcMar>
            <w:vAlign w:val="center"/>
          </w:tcPr>
          <w:p>
            <w:pPr>
              <w:pStyle w:val="TableContents"/>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Shape a culture of cost efficiency through ongoing focus on simplification and optimization</w:t>
            </w:r>
          </w:p>
        </w:tc>
      </w:tr>
      <w:tr>
        <w:trPr/>
        <w:tc>
          <w:tcPr>
            <w:tcW w:w="2762" w:type="dxa"/>
            <w:gridSpan w:val="3"/>
            <w:tcBorders>
              <w:top w:val="single" w:sz="8" w:space="0" w:color="FFFFFF"/>
              <w:left w:val="single" w:sz="8" w:space="0" w:color="FFFFFF"/>
              <w:bottom w:val="single" w:sz="8" w:space="0" w:color="FFFFFF"/>
            </w:tcBorders>
            <w:shd w:fill="026DCE" w:val="clear"/>
            <w:tcMar>
              <w:top w:w="30" w:type="dxa"/>
              <w:bottom w:w="30" w:type="dxa"/>
              <w:right w:w="0" w:type="dxa"/>
            </w:tcMar>
            <w:vAlign w:val="center"/>
          </w:tcPr>
          <w:p>
            <w:pPr>
              <w:pStyle w:val="TableContents"/>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Innovate and Grow</w:t>
            </w:r>
          </w:p>
        </w:tc>
        <w:tc>
          <w:tcPr>
            <w:tcW w:w="7443" w:type="dxa"/>
            <w:gridSpan w:val="3"/>
            <w:tcBorders>
              <w:top w:val="single" w:sz="8" w:space="0" w:color="FFFFFF"/>
              <w:left w:val="single" w:sz="8" w:space="0" w:color="FFFFFF"/>
              <w:bottom w:val="single" w:sz="8" w:space="0" w:color="FFFFFF"/>
              <w:right w:val="single" w:sz="8" w:space="0" w:color="FFFFFF"/>
            </w:tcBorders>
            <w:shd w:fill="80C9FF" w:val="clear"/>
            <w:tcMar>
              <w:top w:w="30" w:type="dxa"/>
              <w:bottom w:w="30" w:type="dxa"/>
            </w:tcMar>
            <w:vAlign w:val="center"/>
          </w:tcPr>
          <w:p>
            <w:pPr>
              <w:pStyle w:val="TableContents"/>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Broaden customer engagement to service more customers more frequently in more locations</w:t>
            </w:r>
          </w:p>
        </w:tc>
      </w:tr>
    </w:tbl>
    <w:p>
      <w:pPr>
        <w:pStyle w:val="TextBody"/>
        <w:spacing w:lineRule="auto" w:line="288" w:before="260" w:after="283"/>
        <w:rPr>
          <w:rFonts w:ascii="Arial Narrow;sans-serif" w:hAnsi="Arial Narrow;sans-serif"/>
          <w:b/>
          <w:color w:val="000000"/>
          <w:sz w:val="24"/>
        </w:rPr>
      </w:pPr>
      <w:r>
        <w:rPr>
          <w:rFonts w:ascii="Arial Narrow;sans-serif" w:hAnsi="Arial Narrow;sans-serif"/>
          <w:b/>
          <w:color w:val="000000"/>
          <w:sz w:val="24"/>
        </w:rPr>
        <w:t>Pawn Activities</w:t>
      </w:r>
    </w:p>
    <w:p>
      <w:pPr>
        <w:pStyle w:val="TextBody"/>
        <w:spacing w:lineRule="auto" w:line="288" w:before="180" w:after="60"/>
        <w:rPr>
          <w:rFonts w:ascii="Arial Narrow;sans-serif" w:hAnsi="Arial Narrow;sans-serif"/>
          <w:b w:val="false"/>
          <w:color w:val="000000"/>
          <w:sz w:val="20"/>
        </w:rPr>
      </w:pPr>
      <w:r>
        <w:rPr>
          <w:rFonts w:ascii="Arial Narrow;sans-serif" w:hAnsi="Arial Narrow;sans-serif"/>
          <w:b w:val="false"/>
          <w:color w:val="000000"/>
          <w:sz w:val="20"/>
        </w:rPr>
        <w:t>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or musical instruments. If the customer chooses to redeem their pawn, they will repay the amount advanced plus any accrued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Our ability to offer quality second-hand goods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As a significant portion of our inventory and sales involve gold and jewelry, our results can be influenced by the market price of gold and diamonds.</w:t>
      </w:r>
    </w:p>
    <w:p>
      <w:pPr>
        <w:pStyle w:val="TextBody"/>
        <w:spacing w:lineRule="auto" w:line="288" w:before="180" w:after="283"/>
        <w:rPr>
          <w:rFonts w:ascii="Arial Narrow;sans-serif" w:hAnsi="Arial Narrow;sans-serif"/>
          <w:b/>
          <w:color w:val="000000"/>
          <w:sz w:val="24"/>
        </w:rPr>
      </w:pPr>
      <w:r>
        <w:rPr>
          <w:rFonts w:ascii="Arial Narrow;sans-serif" w:hAnsi="Arial Narrow;sans-serif"/>
          <w:b/>
          <w:color w:val="000000"/>
          <w:sz w:val="24"/>
        </w:rPr>
        <w:t>Growth and Expansion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Our strategy is to expand the number of locations we operate through opening new (“de novo”) locations and through acquisitions and investments in both Latin America, the United States and potential new markets. Our ability to open de novo stores, acquire new stores and make other related investments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the availability of qualified personnel. </w:t>
      </w:r>
    </w:p>
    <w:p>
      <w:pPr>
        <w:pStyle w:val="TextBody"/>
        <w:spacing w:lineRule="auto" w:line="288" w:before="180" w:after="283"/>
        <w:rPr>
          <w:rFonts w:ascii="Arial Narrow;sans-serif" w:hAnsi="Arial Narrow;sans-serif"/>
          <w:b/>
          <w:color w:val="000000"/>
          <w:sz w:val="24"/>
        </w:rPr>
      </w:pPr>
      <w:r>
        <w:rPr>
          <w:rFonts w:ascii="Arial Narrow;sans-serif" w:hAnsi="Arial Narrow;sans-serif"/>
          <w:b/>
          <w:color w:val="000000"/>
          <w:sz w:val="24"/>
        </w:rPr>
        <w:t>Seasonality and Quarterly Results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In the United States, PSC is historically highest in our fourth fiscal quarter (July through September) due to a higher average loan balance during the summer lending season. PSC is historically lowest in our third fiscal quarter (April through June) following the tax refund season and merchandise sales are highest in our first and second fiscal quarters (October through March) due to the holiday season, jewelry sales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surrounding Valentine’s Day and the availability of tax refunds. In Latin America, most of our customers receive additional compensation from their employers in December, and many receive additional compensation in June or July, applying downward pressure on loan balances and fueling some merchandise sales in those periods. As a net effect of these and other factors and excluding discrete charges, our consolidated income/loss before tax is generally highest in our first fiscal quarter (October through December) and lowest in our third fiscal quarter (April through June).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Arial Narrow;sans-serif" w:hAnsi="Arial Narrow;sans-serif"/>
          <w:b/>
          <w:color w:val="365F91"/>
          <w:sz w:val="28"/>
        </w:rPr>
      </w:pPr>
      <w:r>
        <w:rPr>
          <w:rFonts w:ascii="Arial Narrow;sans-serif" w:hAnsi="Arial Narrow;sans-serif"/>
          <w:b/>
          <w:color w:val="365F91"/>
          <w:sz w:val="28"/>
        </w:rPr>
        <w:t>Financial Highlights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remain focused on optimizing our balance of pawn loans outstanding (“PLO”) and the resulting higher PSC. The following chart presents sources of gross profit, including PSC, merchandise sales gross profit ("Merchandise sales GP") and jewelry scrapping gross profit ("Jewelry Scrapping GP") for the three and six months ended March 31, 2023 and 2022:</w:t>
      </w:r>
    </w:p>
    <w:p>
      <w:pPr>
        <w:pStyle w:val="TextBody"/>
        <w:spacing w:before="120" w:after="283"/>
        <w:jc w:val="center"/>
        <w:rPr/>
      </w:pPr>
      <w:r>
        <w:rPr/>
        <w:drawing>
          <wp:inline distT="0" distB="63500" distL="0" distR="0">
            <wp:extent cx="6381750" cy="3095625"/>
            <wp:effectExtent l="0" t="0" r="0" b="0"/>
            <wp:docPr id="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 descr=""/>
                    <pic:cNvPicPr>
                      <a:picLocks noChangeAspect="1" noChangeArrowheads="1"/>
                    </pic:cNvPicPr>
                  </pic:nvPicPr>
                  <pic:blipFill>
                    <a:blip r:embed="rId4"/>
                    <a:stretch>
                      <a:fillRect/>
                    </a:stretch>
                  </pic:blipFill>
                  <pic:spPr bwMode="auto">
                    <a:xfrm>
                      <a:off x="0" y="0"/>
                      <a:ext cx="6381750" cy="3095625"/>
                    </a:xfrm>
                    <a:prstGeom prst="rect">
                      <a:avLst/>
                    </a:prstGeom>
                  </pic:spPr>
                </pic:pic>
              </a:graphicData>
            </a:graphic>
          </wp:inline>
        </w:drawing>
      </w:r>
    </w:p>
    <w:p>
      <w:pPr>
        <w:pStyle w:val="TextBody"/>
        <w:spacing w:lineRule="auto" w:line="288" w:before="60" w:after="283"/>
        <w:rPr>
          <w:rFonts w:ascii="Arial Narrow;sans-serif" w:hAnsi="Arial Narrow;sans-serif"/>
          <w:b w:val="false"/>
          <w:color w:val="000000"/>
          <w:sz w:val="20"/>
        </w:rPr>
      </w:pPr>
      <w:r>
        <w:rPr>
          <w:rFonts w:ascii="Arial Narrow;sans-serif" w:hAnsi="Arial Narrow;sans-serif"/>
          <w:b w:val="false"/>
          <w:color w:val="000000"/>
          <w:sz w:val="20"/>
        </w:rPr>
        <w:t>The following chart presents sources of gross profit by geographic disbursement for the three and six months ended March 31, 2023 and 2022:</w:t>
      </w:r>
    </w:p>
    <w:p>
      <w:pPr>
        <w:pStyle w:val="TextBody"/>
        <w:spacing w:before="120" w:after="283"/>
        <w:jc w:val="center"/>
        <w:rPr/>
      </w:pPr>
      <w:r>
        <w:rPr/>
        <w:drawing>
          <wp:inline distT="0" distB="63500" distL="0" distR="0">
            <wp:extent cx="6381750" cy="3095625"/>
            <wp:effectExtent l="0" t="0" r="0" b="0"/>
            <wp:docPr id="2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 descr=""/>
                    <pic:cNvPicPr>
                      <a:picLocks noChangeAspect="1" noChangeArrowheads="1"/>
                    </pic:cNvPicPr>
                  </pic:nvPicPr>
                  <pic:blipFill>
                    <a:blip r:embed="rId5"/>
                    <a:stretch>
                      <a:fillRect/>
                    </a:stretch>
                  </pic:blipFill>
                  <pic:spPr bwMode="auto">
                    <a:xfrm>
                      <a:off x="0" y="0"/>
                      <a:ext cx="6381750" cy="3095625"/>
                    </a:xfrm>
                    <a:prstGeom prst="rect">
                      <a:avLst/>
                    </a:prstGeom>
                  </pic:spPr>
                </pic:pic>
              </a:graphicData>
            </a:graphic>
          </wp:inline>
        </w:drawing>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color w:val="365F91"/>
          <w:sz w:val="28"/>
        </w:rPr>
      </w:pPr>
      <w:r>
        <w:rPr>
          <w:rFonts w:ascii="Arial Narrow;sans-serif" w:hAnsi="Arial Narrow;sans-serif"/>
          <w:b/>
          <w:color w:val="365F91"/>
          <w:sz w:val="28"/>
        </w:rPr>
        <w:t>Results of Operations</w:t>
      </w:r>
    </w:p>
    <w:p>
      <w:pPr>
        <w:pStyle w:val="TextBody"/>
        <w:spacing w:lineRule="auto" w:line="288" w:before="180" w:after="283"/>
        <w:rPr>
          <w:rFonts w:ascii="Arial Narrow;sans-serif" w:hAnsi="Arial Narrow;sans-serif"/>
          <w:b/>
          <w:color w:val="000000"/>
          <w:sz w:val="24"/>
        </w:rPr>
      </w:pPr>
      <w:r>
        <w:rPr>
          <w:rFonts w:ascii="Arial Narrow;sans-serif" w:hAnsi="Arial Narrow;sans-serif"/>
          <w:b/>
          <w:color w:val="000000"/>
          <w:sz w:val="24"/>
        </w:rPr>
        <w:t>Non-GAAP Constant Currency and Same Store Financial Information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To supplement our condensed consolidated financial statements, which are prepared and presented in accordance with GAAP, we provide certain other non-GAAP financial information on a constant currency basis ("constant currency") and "same store" basis. We use constant currency results to evaluate our Latin America Pawn operations, which are denominated primarily in Mexican pesos, Guatemalan quetzales and other Latin American currencies. We analyze results on a same 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 store results is meaningful and useful in understanding the activities and business metrics of our Latin America Pawn operations and reflect an additional way of viewing aspects of our business that, when viewed with GAAP results, provide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three and six months ended March 31, 2023 and March 31, 2022 were as follows:</w:t>
      </w:r>
    </w:p>
    <w:tbl>
      <w:tblPr>
        <w:tblW w:w="6831" w:type="dxa"/>
        <w:jc w:val="left"/>
        <w:tblInd w:w="0" w:type="dxa"/>
        <w:tblCellMar>
          <w:top w:w="28" w:type="dxa"/>
          <w:left w:w="28" w:type="dxa"/>
          <w:bottom w:w="28" w:type="dxa"/>
          <w:right w:w="28" w:type="dxa"/>
        </w:tblCellMar>
      </w:tblPr>
      <w:tblGrid>
        <w:gridCol w:w="499"/>
        <w:gridCol w:w="438"/>
        <w:gridCol w:w="442"/>
        <w:gridCol w:w="210"/>
        <w:gridCol w:w="211"/>
        <w:gridCol w:w="136"/>
        <w:gridCol w:w="109"/>
        <w:gridCol w:w="109"/>
        <w:gridCol w:w="109"/>
        <w:gridCol w:w="210"/>
        <w:gridCol w:w="211"/>
        <w:gridCol w:w="136"/>
        <w:gridCol w:w="109"/>
        <w:gridCol w:w="109"/>
        <w:gridCol w:w="109"/>
        <w:gridCol w:w="242"/>
        <w:gridCol w:w="179"/>
        <w:gridCol w:w="171"/>
        <w:gridCol w:w="171"/>
        <w:gridCol w:w="171"/>
        <w:gridCol w:w="171"/>
        <w:gridCol w:w="242"/>
        <w:gridCol w:w="179"/>
        <w:gridCol w:w="171"/>
        <w:gridCol w:w="109"/>
        <w:gridCol w:w="109"/>
        <w:gridCol w:w="109"/>
        <w:gridCol w:w="214"/>
        <w:gridCol w:w="207"/>
        <w:gridCol w:w="151"/>
        <w:gridCol w:w="151"/>
        <w:gridCol w:w="151"/>
        <w:gridCol w:w="151"/>
        <w:gridCol w:w="214"/>
        <w:gridCol w:w="207"/>
        <w:gridCol w:w="214"/>
      </w:tblGrid>
      <w:tr>
        <w:trPr/>
        <w:tc>
          <w:tcPr>
            <w:tcW w:w="49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5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4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Mexican peso</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19.2 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Guatemalan quetzal</w:t>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Honduran lempira</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auto" w:val="clear"/>
            <w:vAlign w:val="center"/>
          </w:tcPr>
          <w:p>
            <w:pPr>
              <w:pStyle w:val="TableContents"/>
              <w:spacing w:before="0" w:after="283"/>
              <w:rPr>
                <w:sz w:val="4"/>
                <w:szCs w:val="4"/>
              </w:rPr>
            </w:pPr>
            <w:r>
              <w:rPr>
                <w:sz w:val="4"/>
                <w:szCs w:val="4"/>
              </w:rPr>
            </w:r>
          </w:p>
        </w:tc>
        <w:tc>
          <w:tcPr>
            <w:tcW w:w="5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2" w:type="dxa"/>
            <w:gridSpan w:val="3"/>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635" w:type="dxa"/>
            <w:gridSpan w:val="3"/>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Australian dollar</w:t>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Arial Narrow;sans-serif" w:hAnsi="Arial Narrow;sans-serif"/>
          <w:b/>
          <w:color w:val="000000"/>
          <w:sz w:val="24"/>
        </w:rPr>
      </w:pPr>
      <w:r>
        <w:rPr>
          <w:rFonts w:ascii="Arial Narrow;sans-serif" w:hAnsi="Arial Narrow;sans-serif"/>
          <w:b/>
          <w:color w:val="000000"/>
          <w:sz w:val="24"/>
        </w:rPr>
        <w:t>Operating Results</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Segments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We manage our business and report our financial results in three reportable segments: </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U.S. Pawn — Represents all pawn activities in the United States;</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Latin America Pawn — Represents all pawn activities in Mexico and other parts of Latin America; and</w:t>
      </w:r>
    </w:p>
    <w:p>
      <w:pPr>
        <w:pStyle w:val="TextBody"/>
        <w:spacing w:lineRule="auto" w:line="288" w:before="180" w:after="283"/>
        <w:ind w:left="0" w:right="0" w:hanging="360"/>
        <w:rPr/>
      </w:pPr>
      <w:r>
        <w:rPr>
          <w:color w:val="000000"/>
        </w:rPr>
        <w:t>•</w:t>
      </w:r>
      <w:r>
        <w:rPr>
          <w:rFonts w:ascii="Arial Narrow;sans-serif" w:hAnsi="Arial Narrow;sans-serif"/>
          <w:b w:val="false"/>
          <w:color w:val="000000"/>
          <w:sz w:val="20"/>
        </w:rPr>
        <w:t>Other Investments — Represents our equity interest in the net income of Cash Converters along with our investment in Founders and RDC.</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Store Count by Segment</w:t>
      </w:r>
    </w:p>
    <w:tbl>
      <w:tblPr>
        <w:tblW w:w="6646" w:type="dxa"/>
        <w:jc w:val="left"/>
        <w:tblInd w:w="0" w:type="dxa"/>
        <w:tblCellMar>
          <w:top w:w="28" w:type="dxa"/>
          <w:left w:w="28" w:type="dxa"/>
          <w:bottom w:w="28" w:type="dxa"/>
          <w:right w:w="28" w:type="dxa"/>
        </w:tblCellMar>
      </w:tblPr>
      <w:tblGrid>
        <w:gridCol w:w="629"/>
        <w:gridCol w:w="553"/>
        <w:gridCol w:w="557"/>
        <w:gridCol w:w="280"/>
        <w:gridCol w:w="280"/>
        <w:gridCol w:w="280"/>
        <w:gridCol w:w="199"/>
        <w:gridCol w:w="199"/>
        <w:gridCol w:w="199"/>
        <w:gridCol w:w="499"/>
        <w:gridCol w:w="499"/>
        <w:gridCol w:w="501"/>
        <w:gridCol w:w="199"/>
        <w:gridCol w:w="199"/>
        <w:gridCol w:w="199"/>
        <w:gridCol w:w="199"/>
        <w:gridCol w:w="109"/>
        <w:gridCol w:w="312"/>
        <w:gridCol w:w="312"/>
        <w:gridCol w:w="442"/>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2" w:type="dxa"/>
            <w:gridSpan w:val="1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2023</w:t>
            </w:r>
          </w:p>
        </w:tc>
        <w:tc>
          <w:tcPr>
            <w:tcW w:w="1175" w:type="dxa"/>
            <w:gridSpan w:val="4"/>
            <w:tcBorders/>
            <w:shd w:fill="auto" w:val="clea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December 31, 2022</w:t>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661 </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1,186 </w:t>
            </w:r>
          </w:p>
        </w:tc>
        <w:tc>
          <w:tcPr>
            <w:tcW w:w="4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4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vAlign w:val="center"/>
          </w:tcPr>
          <w:p>
            <w:pPr>
              <w:pStyle w:val="TableContents"/>
              <w:spacing w:before="0" w:after="283"/>
              <w:rPr>
                <w:sz w:val="4"/>
                <w:szCs w:val="4"/>
              </w:rPr>
            </w:pPr>
            <w:r>
              <w:rPr>
                <w:sz w:val="4"/>
                <w:szCs w:val="4"/>
              </w:rPr>
            </w:r>
          </w:p>
        </w:tc>
        <w:tc>
          <w:tcPr>
            <w:tcW w:w="840"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vAlign w:val="center"/>
          </w:tcPr>
          <w:p>
            <w:pPr>
              <w:pStyle w:val="TableContents"/>
              <w:spacing w:before="0" w:after="283"/>
              <w:rPr>
                <w:sz w:val="4"/>
                <w:szCs w:val="4"/>
              </w:rPr>
            </w:pPr>
            <w:r>
              <w:rPr>
                <w:sz w:val="4"/>
                <w:szCs w:val="4"/>
              </w:rPr>
            </w:r>
          </w:p>
        </w:tc>
        <w:tc>
          <w:tcPr>
            <w:tcW w:w="840"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739"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2023</w:t>
            </w:r>
          </w:p>
        </w:tc>
        <w:tc>
          <w:tcPr>
            <w:tcW w:w="560"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527 </w:t>
            </w:r>
          </w:p>
        </w:tc>
        <w:tc>
          <w:tcPr>
            <w:tcW w:w="28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672 </w:t>
            </w:r>
          </w:p>
        </w:tc>
        <w:tc>
          <w:tcPr>
            <w:tcW w:w="50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1,199 </w:t>
            </w:r>
          </w:p>
        </w:tc>
        <w:tc>
          <w:tcPr>
            <w:tcW w:w="44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tbl>
      <w:tblPr>
        <w:tblW w:w="6646" w:type="dxa"/>
        <w:jc w:val="left"/>
        <w:tblInd w:w="0" w:type="dxa"/>
        <w:tblCellMar>
          <w:top w:w="28" w:type="dxa"/>
          <w:left w:w="28" w:type="dxa"/>
          <w:bottom w:w="28" w:type="dxa"/>
          <w:right w:w="28" w:type="dxa"/>
        </w:tblCellMar>
      </w:tblPr>
      <w:tblGrid>
        <w:gridCol w:w="629"/>
        <w:gridCol w:w="553"/>
        <w:gridCol w:w="557"/>
        <w:gridCol w:w="280"/>
        <w:gridCol w:w="280"/>
        <w:gridCol w:w="280"/>
        <w:gridCol w:w="199"/>
        <w:gridCol w:w="199"/>
        <w:gridCol w:w="199"/>
        <w:gridCol w:w="499"/>
        <w:gridCol w:w="499"/>
        <w:gridCol w:w="501"/>
        <w:gridCol w:w="199"/>
        <w:gridCol w:w="199"/>
        <w:gridCol w:w="199"/>
        <w:gridCol w:w="199"/>
        <w:gridCol w:w="109"/>
        <w:gridCol w:w="312"/>
        <w:gridCol w:w="312"/>
        <w:gridCol w:w="442"/>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2" w:type="dxa"/>
            <w:gridSpan w:val="1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 2022</w:t>
            </w:r>
          </w:p>
        </w:tc>
        <w:tc>
          <w:tcPr>
            <w:tcW w:w="1175" w:type="dxa"/>
            <w:gridSpan w:val="4"/>
            <w:tcBorders/>
            <w:shd w:fill="auto" w:val="clea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December 31, 2021</w:t>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633 </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1,149 </w:t>
            </w:r>
          </w:p>
        </w:tc>
        <w:tc>
          <w:tcPr>
            <w:tcW w:w="4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4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vAlign w:val="center"/>
          </w:tcPr>
          <w:p>
            <w:pPr>
              <w:pStyle w:val="TableContents"/>
              <w:spacing w:before="0" w:after="283"/>
              <w:rPr>
                <w:sz w:val="4"/>
                <w:szCs w:val="4"/>
              </w:rPr>
            </w:pPr>
            <w:r>
              <w:rPr>
                <w:sz w:val="4"/>
                <w:szCs w:val="4"/>
              </w:rPr>
            </w:r>
          </w:p>
        </w:tc>
        <w:tc>
          <w:tcPr>
            <w:tcW w:w="840"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vAlign w:val="center"/>
          </w:tcPr>
          <w:p>
            <w:pPr>
              <w:pStyle w:val="TableContents"/>
              <w:spacing w:before="0" w:after="283"/>
              <w:rPr>
                <w:sz w:val="4"/>
                <w:szCs w:val="4"/>
              </w:rPr>
            </w:pPr>
            <w:r>
              <w:rPr>
                <w:sz w:val="4"/>
                <w:szCs w:val="4"/>
              </w:rPr>
            </w:r>
          </w:p>
        </w:tc>
        <w:tc>
          <w:tcPr>
            <w:tcW w:w="840"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739"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2022</w:t>
            </w:r>
          </w:p>
        </w:tc>
        <w:tc>
          <w:tcPr>
            <w:tcW w:w="560"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28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636 </w:t>
            </w:r>
          </w:p>
        </w:tc>
        <w:tc>
          <w:tcPr>
            <w:tcW w:w="50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1,152 </w:t>
            </w:r>
          </w:p>
        </w:tc>
        <w:tc>
          <w:tcPr>
            <w:tcW w:w="44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7148" w:type="dxa"/>
        <w:jc w:val="left"/>
        <w:tblInd w:w="0" w:type="dxa"/>
        <w:tblCellMar>
          <w:top w:w="28" w:type="dxa"/>
          <w:left w:w="28" w:type="dxa"/>
          <w:bottom w:w="28" w:type="dxa"/>
          <w:right w:w="28" w:type="dxa"/>
        </w:tblCellMar>
      </w:tblPr>
      <w:tblGrid>
        <w:gridCol w:w="843"/>
        <w:gridCol w:w="740"/>
        <w:gridCol w:w="742"/>
        <w:gridCol w:w="280"/>
        <w:gridCol w:w="280"/>
        <w:gridCol w:w="280"/>
        <w:gridCol w:w="187"/>
        <w:gridCol w:w="187"/>
        <w:gridCol w:w="187"/>
        <w:gridCol w:w="499"/>
        <w:gridCol w:w="499"/>
        <w:gridCol w:w="501"/>
        <w:gridCol w:w="187"/>
        <w:gridCol w:w="187"/>
        <w:gridCol w:w="187"/>
        <w:gridCol w:w="187"/>
        <w:gridCol w:w="109"/>
        <w:gridCol w:w="312"/>
        <w:gridCol w:w="312"/>
        <w:gridCol w:w="442"/>
      </w:tblGrid>
      <w:tr>
        <w:trPr/>
        <w:tc>
          <w:tcPr>
            <w:tcW w:w="843"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48" w:type="dxa"/>
            <w:gridSpan w:val="1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2023</w:t>
            </w:r>
          </w:p>
        </w:tc>
        <w:tc>
          <w:tcPr>
            <w:tcW w:w="1175" w:type="dxa"/>
            <w:gridSpan w:val="4"/>
            <w:tcBorders/>
            <w:shd w:fill="auto" w:val="clea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2022</w:t>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660 </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1,175 </w:t>
            </w:r>
          </w:p>
        </w:tc>
        <w:tc>
          <w:tcPr>
            <w:tcW w:w="4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4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4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sold, combined or closed</w:t>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4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2023</w:t>
            </w:r>
          </w:p>
        </w:tc>
        <w:tc>
          <w:tcPr>
            <w:tcW w:w="560"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527 </w:t>
            </w:r>
          </w:p>
        </w:tc>
        <w:tc>
          <w:tcPr>
            <w:tcW w:w="28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61" w:type="dxa"/>
            <w:gridSpan w:val="3"/>
            <w:tcBorders>
              <w:top w:val="single" w:sz="8"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672 </w:t>
            </w:r>
          </w:p>
        </w:tc>
        <w:tc>
          <w:tcPr>
            <w:tcW w:w="50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61" w:type="dxa"/>
            <w:gridSpan w:val="3"/>
            <w:tcBorders>
              <w:top w:val="single" w:sz="8"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1,199 </w:t>
            </w:r>
          </w:p>
        </w:tc>
        <w:tc>
          <w:tcPr>
            <w:tcW w:w="44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608" w:type="dxa"/>
        <w:jc w:val="left"/>
        <w:tblInd w:w="0" w:type="dxa"/>
        <w:tblCellMar>
          <w:top w:w="28" w:type="dxa"/>
          <w:left w:w="28" w:type="dxa"/>
          <w:bottom w:w="28" w:type="dxa"/>
          <w:right w:w="28" w:type="dxa"/>
        </w:tblCellMar>
      </w:tblPr>
      <w:tblGrid>
        <w:gridCol w:w="647"/>
        <w:gridCol w:w="568"/>
        <w:gridCol w:w="570"/>
        <w:gridCol w:w="280"/>
        <w:gridCol w:w="280"/>
        <w:gridCol w:w="280"/>
        <w:gridCol w:w="187"/>
        <w:gridCol w:w="187"/>
        <w:gridCol w:w="187"/>
        <w:gridCol w:w="499"/>
        <w:gridCol w:w="499"/>
        <w:gridCol w:w="501"/>
        <w:gridCol w:w="187"/>
        <w:gridCol w:w="187"/>
        <w:gridCol w:w="187"/>
        <w:gridCol w:w="187"/>
        <w:gridCol w:w="109"/>
        <w:gridCol w:w="312"/>
        <w:gridCol w:w="312"/>
        <w:gridCol w:w="442"/>
      </w:tblGrid>
      <w:tr>
        <w:trPr/>
        <w:tc>
          <w:tcPr>
            <w:tcW w:w="647"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48" w:type="dxa"/>
            <w:gridSpan w:val="13"/>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 2022</w:t>
            </w:r>
          </w:p>
        </w:tc>
        <w:tc>
          <w:tcPr>
            <w:tcW w:w="1175" w:type="dxa"/>
            <w:gridSpan w:val="4"/>
            <w:tcBorders/>
            <w:shd w:fill="auto" w:val="clear"/>
          </w:tcPr>
          <w:p>
            <w:pPr>
              <w:pStyle w:val="TableContents"/>
              <w:spacing w:before="0" w:after="283"/>
              <w:rPr>
                <w:sz w:val="4"/>
                <w:szCs w:val="4"/>
              </w:rPr>
            </w:pPr>
            <w:r>
              <w:rPr>
                <w:sz w:val="4"/>
                <w:szCs w:val="4"/>
              </w:rPr>
            </w:r>
          </w:p>
        </w:tc>
      </w:tr>
      <w:tr>
        <w:trPr/>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2021</w:t>
            </w:r>
          </w:p>
        </w:tc>
        <w:tc>
          <w:tcPr>
            <w:tcW w:w="5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632 </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1,148 </w:t>
            </w:r>
          </w:p>
        </w:tc>
        <w:tc>
          <w:tcPr>
            <w:tcW w:w="4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4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auto" w:val="clear"/>
            <w:vAlign w:val="center"/>
          </w:tcPr>
          <w:p>
            <w:pPr>
              <w:pStyle w:val="TableContents"/>
              <w:spacing w:before="0" w:after="283"/>
              <w:rPr>
                <w:sz w:val="4"/>
                <w:szCs w:val="4"/>
              </w:rPr>
            </w:pPr>
            <w:r>
              <w:rPr>
                <w:sz w:val="4"/>
                <w:szCs w:val="4"/>
              </w:rPr>
            </w:r>
          </w:p>
        </w:tc>
        <w:tc>
          <w:tcPr>
            <w:tcW w:w="840"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auto" w:val="clear"/>
            <w:vAlign w:val="center"/>
          </w:tcPr>
          <w:p>
            <w:pPr>
              <w:pStyle w:val="TableContents"/>
              <w:spacing w:before="0" w:after="283"/>
              <w:rPr>
                <w:sz w:val="4"/>
                <w:szCs w:val="4"/>
              </w:rPr>
            </w:pPr>
            <w:r>
              <w:rPr>
                <w:sz w:val="4"/>
                <w:szCs w:val="4"/>
              </w:rPr>
            </w:r>
          </w:p>
        </w:tc>
        <w:tc>
          <w:tcPr>
            <w:tcW w:w="840"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1785"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2022</w:t>
            </w:r>
          </w:p>
        </w:tc>
        <w:tc>
          <w:tcPr>
            <w:tcW w:w="560"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28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61" w:type="dxa"/>
            <w:gridSpan w:val="3"/>
            <w:tcBorders>
              <w:top w:val="single" w:sz="8"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636 </w:t>
            </w:r>
          </w:p>
        </w:tc>
        <w:tc>
          <w:tcPr>
            <w:tcW w:w="50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61" w:type="dxa"/>
            <w:gridSpan w:val="3"/>
            <w:tcBorders>
              <w:top w:val="single" w:sz="8"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1,152 </w:t>
            </w:r>
          </w:p>
        </w:tc>
        <w:tc>
          <w:tcPr>
            <w:tcW w:w="44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76" w:before="180" w:after="283"/>
        <w:rPr>
          <w:rFonts w:ascii="Arial Narrow;sans-serif" w:hAnsi="Arial Narrow;sans-serif"/>
          <w:b/>
          <w:i/>
          <w:color w:val="000000"/>
          <w:sz w:val="20"/>
        </w:rPr>
      </w:pPr>
      <w:r>
        <w:rPr>
          <w:rFonts w:ascii="Arial Narrow;sans-serif" w:hAnsi="Arial Narrow;sans-serif"/>
          <w:b/>
          <w:i/>
          <w:color w:val="000000"/>
          <w:sz w:val="20"/>
        </w:rPr>
        <w:t>Three Months Ended March 31, 2023 vs. Three Months Ended March 31, 2022</w:t>
      </w:r>
    </w:p>
    <w:p>
      <w:pPr>
        <w:pStyle w:val="TextBody"/>
        <w:spacing w:lineRule="auto" w:line="276" w:before="0" w:after="0"/>
        <w:rPr>
          <w:rFonts w:ascii="Arial Narrow;sans-serif" w:hAnsi="Arial Narrow;sans-serif"/>
          <w:b w:val="false"/>
          <w:color w:val="000000"/>
          <w:sz w:val="20"/>
        </w:rPr>
      </w:pPr>
      <w:r>
        <w:rPr>
          <w:rFonts w:ascii="Arial Narrow;sans-serif" w:hAnsi="Arial Narrow;sans-serif"/>
          <w:b w:val="false"/>
          <w:color w:val="000000"/>
          <w:sz w:val="20"/>
        </w:rPr>
        <w:t xml:space="preserve">These tables, as well as the discussion that follows, should be read in conjunction with the accompanying Condensed Consolidated Financial Statements and related notes. </w:t>
      </w:r>
    </w:p>
    <w:p>
      <w:pPr>
        <w:pStyle w:val="TextBody"/>
        <w:spacing w:lineRule="auto" w:line="276" w:before="180" w:after="283"/>
        <w:rPr>
          <w:rFonts w:ascii="Arial Narrow;sans-serif" w:hAnsi="Arial Narrow;sans-serif"/>
          <w:b/>
          <w:color w:val="000000"/>
          <w:sz w:val="20"/>
        </w:rPr>
      </w:pPr>
      <w:r>
        <w:rPr>
          <w:rFonts w:ascii="Arial Narrow;sans-serif" w:hAnsi="Arial Narrow;sans-serif"/>
          <w:b/>
          <w:color w:val="000000"/>
          <w:sz w:val="20"/>
        </w:rPr>
        <w:t>U.S. Pawn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our U.S. Pawn segment:</w:t>
      </w:r>
    </w:p>
    <w:tbl>
      <w:tblPr>
        <w:tblW w:w="7124" w:type="dxa"/>
        <w:jc w:val="left"/>
        <w:tblInd w:w="0" w:type="dxa"/>
        <w:tblCellMar>
          <w:top w:w="28" w:type="dxa"/>
          <w:left w:w="28" w:type="dxa"/>
          <w:bottom w:w="28" w:type="dxa"/>
          <w:right w:w="28" w:type="dxa"/>
        </w:tblCellMar>
      </w:tblPr>
      <w:tblGrid>
        <w:gridCol w:w="1318"/>
        <w:gridCol w:w="1162"/>
        <w:gridCol w:w="1164"/>
        <w:gridCol w:w="181"/>
        <w:gridCol w:w="646"/>
        <w:gridCol w:w="241"/>
        <w:gridCol w:w="109"/>
        <w:gridCol w:w="109"/>
        <w:gridCol w:w="109"/>
        <w:gridCol w:w="181"/>
        <w:gridCol w:w="646"/>
        <w:gridCol w:w="241"/>
        <w:gridCol w:w="109"/>
        <w:gridCol w:w="109"/>
        <w:gridCol w:w="109"/>
        <w:gridCol w:w="202"/>
        <w:gridCol w:w="202"/>
        <w:gridCol w:w="286"/>
      </w:tblGrid>
      <w:tr>
        <w:trPr/>
        <w:tc>
          <w:tcPr>
            <w:tcW w:w="1318"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63"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69,945 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58,772 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w:t>
            </w:r>
          </w:p>
        </w:tc>
      </w:tr>
      <w:tr>
        <w:trPr/>
        <w:tc>
          <w:tcPr>
            <w:tcW w:w="36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108,740 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100,064 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41,097 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41,451 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w:t>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(300)bps</w:t>
            </w:r>
          </w:p>
        </w:tc>
      </w:tr>
      <w:tr>
        <w:trPr/>
        <w:tc>
          <w:tcPr>
            <w:tcW w:w="36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9,814 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182%</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85%</w:t>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(700)bps</w:t>
            </w:r>
          </w:p>
        </w:tc>
      </w:tr>
      <w:tr>
        <w:trPr/>
        <w:tc>
          <w:tcPr>
            <w:tcW w:w="36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33%</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112,338 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100,929 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r>
      <w:tr>
        <w:trPr/>
        <w:tc>
          <w:tcPr>
            <w:tcW w:w="3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71,946 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64,492 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w:t>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37,751 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33,812 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 expense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64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37,752 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33,812 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644"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earning assets (a)</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269,190 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226,835 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w:t>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turnover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(b)</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w:t>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 Narrow;sans-serif" w:hAnsi="Arial Narrow;sans-serif"/>
                <w:b w:val="false"/>
                <w:color w:val="000000"/>
                <w:sz w:val="18"/>
              </w:rPr>
              <w:t>bps</w:t>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0" w:type="dxa"/>
            <w:gridSpan w:val="3"/>
            <w:tcBorders/>
            <w:shd w:fill="auto" w:val="clear"/>
            <w:vAlign w:val="center"/>
          </w:tcPr>
          <w:p>
            <w:pPr>
              <w:pStyle w:val="TableContents"/>
              <w:spacing w:before="0" w:after="283"/>
              <w:rPr>
                <w:sz w:val="4"/>
                <w:szCs w:val="4"/>
              </w:rPr>
            </w:pPr>
            <w:r>
              <w:rPr>
                <w:sz w:val="4"/>
                <w:szCs w:val="4"/>
              </w:rPr>
            </w:r>
          </w:p>
        </w:tc>
      </w:tr>
    </w:tbl>
    <w:tbl>
      <w:tblPr>
        <w:tblW w:w="7137" w:type="dxa"/>
        <w:jc w:val="left"/>
        <w:tblInd w:w="0" w:type="dxa"/>
        <w:tblCellMar>
          <w:top w:w="28" w:type="dxa"/>
          <w:left w:w="28" w:type="dxa"/>
          <w:bottom w:w="28" w:type="dxa"/>
          <w:right w:w="28" w:type="dxa"/>
        </w:tblCellMar>
      </w:tblPr>
      <w:tblGrid>
        <w:gridCol w:w="124"/>
        <w:gridCol w:w="109"/>
        <w:gridCol w:w="109"/>
        <w:gridCol w:w="1990"/>
        <w:gridCol w:w="1990"/>
        <w:gridCol w:w="28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0" w:type="dxa"/>
            <w:tcBorders/>
            <w:shd w:fill="auto" w:val="clear"/>
            <w:vAlign w:val="center"/>
          </w:tcPr>
          <w:p>
            <w:pPr>
              <w:pStyle w:val="TableContents"/>
              <w:spacing w:before="0" w:after="283"/>
              <w:rPr>
                <w:sz w:val="4"/>
                <w:szCs w:val="4"/>
              </w:rPr>
            </w:pPr>
            <w:r>
              <w:rPr>
                <w:sz w:val="4"/>
                <w:szCs w:val="4"/>
              </w:rPr>
            </w:r>
          </w:p>
        </w:tc>
        <w:tc>
          <w:tcPr>
            <w:tcW w:w="1990" w:type="dxa"/>
            <w:tcBorders/>
            <w:shd w:fill="auto" w:val="clear"/>
            <w:vAlign w:val="center"/>
          </w:tcPr>
          <w:p>
            <w:pPr>
              <w:pStyle w:val="TableContents"/>
              <w:spacing w:before="0" w:after="283"/>
              <w:rPr>
                <w:sz w:val="4"/>
                <w:szCs w:val="4"/>
              </w:rPr>
            </w:pPr>
            <w:r>
              <w:rPr>
                <w:sz w:val="4"/>
                <w:szCs w:val="4"/>
              </w:rPr>
            </w:r>
          </w:p>
        </w:tc>
        <w:tc>
          <w:tcPr>
            <w:tcW w:w="28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6795"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includes pawn loans and inventory.</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w:t>
            </w:r>
          </w:p>
        </w:tc>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bl>
    <w:p>
      <w:pPr>
        <w:pStyle w:val="TextBody"/>
        <w:spacing w:lineRule="auto" w:line="288" w:before="180" w:after="283"/>
        <w:rPr/>
      </w:pPr>
      <w:r>
        <w:rPr>
          <w:rFonts w:ascii="Arial Narrow;sans-serif" w:hAnsi="Arial Narrow;sans-serif"/>
          <w:b w:val="false"/>
          <w:color w:val="000000"/>
          <w:sz w:val="20"/>
          <w:highlight w:val="yellow"/>
        </w:rPr>
        <w:br/>
      </w:r>
      <w:r>
        <w:rPr>
          <w:rFonts w:ascii="Arial Narrow;sans-serif" w:hAnsi="Arial Narrow;sans-serif"/>
          <w:b w:val="false"/>
          <w:color w:val="000000"/>
          <w:sz w:val="20"/>
        </w:rPr>
        <w:br/>
        <w:t xml:space="preserve">PLO ended the quarter at $157.0 million, up 18% (14% on a same store basis).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Total revenue was up 16% and gross profit increased 11%, reflecting increased PSC and higher merchandise sales..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PSC increased 19% as a result of higher average PLO.</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Merchandise sales increased 9% and gross margin decreased to 38% from 41%, reflecting a more normalized operating environment. Aged general merchandise increased to 1.4% of total general merchandise inventory, primarily driven by recent acquisitions.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Net inventory increased 20% reflecting a return towards normalized inventory levels. Inventory turnover remained flat at 2.6x.</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Store expenses increased 12%, primarily due to increased labor in-line with store activity, higher store count and, to a lesser extent, expenses related to our loyalty program.</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Segment contribution increased 12% to $37.8 million, due to the changes noted above.</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Segment store count increased by two de novo stores during this quarter.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pPr>
      <w:r>
        <w:rPr>
          <w:rFonts w:ascii="Arial Narrow;sans-serif" w:hAnsi="Arial Narrow;sans-serif"/>
          <w:b/>
          <w:color w:val="000000"/>
          <w:sz w:val="20"/>
        </w:rPr>
        <w:t>Latin America Pawn</w:t>
      </w:r>
      <w:r>
        <w:rPr>
          <w:color w:val="000000"/>
        </w:rPr>
        <w:t xml:space="preserve">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the Latin America Pawn segment, including constant currency results, after translation to U.S. dollars from its functional currencies noted above under “Results of Operations — Non-GAAP Constant Currency and Same Store Financial Information."</w:t>
      </w:r>
    </w:p>
    <w:tbl>
      <w:tblPr>
        <w:tblW w:w="10205" w:type="dxa"/>
        <w:jc w:val="left"/>
        <w:tblInd w:w="0" w:type="dxa"/>
        <w:tblCellMar>
          <w:top w:w="28" w:type="dxa"/>
          <w:left w:w="28" w:type="dxa"/>
          <w:bottom w:w="28" w:type="dxa"/>
          <w:right w:w="28" w:type="dxa"/>
        </w:tblCellMar>
      </w:tblPr>
      <w:tblGrid>
        <w:gridCol w:w="1016"/>
        <w:gridCol w:w="850"/>
        <w:gridCol w:w="851"/>
        <w:gridCol w:w="181"/>
        <w:gridCol w:w="571"/>
        <w:gridCol w:w="241"/>
        <w:gridCol w:w="109"/>
        <w:gridCol w:w="109"/>
        <w:gridCol w:w="109"/>
        <w:gridCol w:w="181"/>
        <w:gridCol w:w="571"/>
        <w:gridCol w:w="241"/>
        <w:gridCol w:w="109"/>
        <w:gridCol w:w="109"/>
        <w:gridCol w:w="109"/>
        <w:gridCol w:w="328"/>
        <w:gridCol w:w="328"/>
        <w:gridCol w:w="329"/>
        <w:gridCol w:w="109"/>
        <w:gridCol w:w="109"/>
        <w:gridCol w:w="109"/>
        <w:gridCol w:w="281"/>
        <w:gridCol w:w="888"/>
        <w:gridCol w:w="375"/>
        <w:gridCol w:w="109"/>
        <w:gridCol w:w="109"/>
        <w:gridCol w:w="109"/>
        <w:gridCol w:w="485"/>
        <w:gridCol w:w="485"/>
        <w:gridCol w:w="695"/>
      </w:tblGrid>
      <w:tr>
        <w:trPr/>
        <w:tc>
          <w:tcPr>
            <w:tcW w:w="1016"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r>
      <w:tr>
        <w:trPr/>
        <w:tc>
          <w:tcPr>
            <w:tcW w:w="27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488" w:type="dxa"/>
            <w:gridSpan w:val="27"/>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w:t>
            </w:r>
          </w:p>
        </w:tc>
      </w:tr>
      <w:tr>
        <w:trPr/>
        <w:tc>
          <w:tcPr>
            <w:tcW w:w="27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2023 (GAAP)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2022 (GAAP)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(GAAP)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2023 (Constant Currency)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(Constant Currency)</w:t>
            </w:r>
          </w:p>
        </w:tc>
      </w:tr>
      <w:tr>
        <w:trPr/>
        <w:tc>
          <w:tcPr>
            <w:tcW w:w="2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23,085 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17,911 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21,674 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w:t>
            </w:r>
          </w:p>
        </w:tc>
      </w:tr>
      <w:tr>
        <w:trPr/>
        <w:tc>
          <w:tcPr>
            <w:tcW w:w="27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43,767 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33,492 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40,694 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w:t>
            </w:r>
          </w:p>
        </w:tc>
      </w:tr>
      <w:tr>
        <w:trPr/>
        <w:tc>
          <w:tcPr>
            <w:tcW w:w="2717"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14,071 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9,859 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13,012 </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w:t>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300bps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300bps</w:t>
            </w:r>
          </w:p>
        </w:tc>
      </w:tr>
      <w:tr>
        <w:trPr/>
        <w:tc>
          <w:tcPr>
            <w:tcW w:w="27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2,846 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29%</w:t>
            </w:r>
          </w:p>
        </w:tc>
      </w:tr>
      <w:tr>
        <w:trPr/>
        <w:tc>
          <w:tcPr>
            <w:tcW w:w="2717"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(271)%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(257)%</w:t>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7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717"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36,834 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27,970 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r>
      <w:tr>
        <w:trPr/>
        <w:tc>
          <w:tcPr>
            <w:tcW w:w="2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29,323 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21,251 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27,399 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29%</w:t>
            </w:r>
          </w:p>
        </w:tc>
      </w:tr>
      <w:tr>
        <w:trPr/>
        <w:tc>
          <w:tcPr>
            <w:tcW w:w="271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5" w:type="dxa"/>
            <w:gridSpan w:val="3"/>
            <w:tcBorders/>
            <w:shd w:fill="auto" w:val="clear"/>
            <w:vAlign w:val="center"/>
          </w:tcPr>
          <w:p>
            <w:pPr>
              <w:pStyle w:val="TableContents"/>
              <w:spacing w:before="0" w:after="283"/>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2,332 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2,160 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(2,336)</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717"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7,644 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4,828 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58%</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7,166 </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48%</w:t>
            </w:r>
          </w:p>
        </w:tc>
      </w:tr>
      <w:tr>
        <w:trPr/>
        <w:tc>
          <w:tcPr>
            <w:tcW w:w="2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(429)</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(713)%</w:t>
            </w:r>
          </w:p>
        </w:tc>
      </w:tr>
      <w:tr>
        <w:trPr/>
        <w:tc>
          <w:tcPr>
            <w:tcW w:w="2717"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Segment contribution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7,996 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4,758 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68%</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7,595 </w:t>
            </w:r>
          </w:p>
        </w:tc>
        <w:tc>
          <w:tcPr>
            <w:tcW w:w="37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60%</w:t>
            </w:r>
          </w:p>
        </w:tc>
      </w:tr>
      <w:tr>
        <w:trPr/>
        <w:tc>
          <w:tcPr>
            <w:tcW w:w="271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earning assets (a)</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87,203 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66,673 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81,237 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w:t>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turnover</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r>
      <w:tr>
        <w:trPr/>
        <w:tc>
          <w:tcPr>
            <w:tcW w:w="2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(b)</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r>
      <w:tr>
        <w:trPr/>
        <w:tc>
          <w:tcPr>
            <w:tcW w:w="271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5" w:type="dxa"/>
            <w:gridSpan w:val="3"/>
            <w:tcBorders/>
            <w:shd w:fill="auto" w:val="clear"/>
            <w:vAlign w:val="center"/>
          </w:tcPr>
          <w:p>
            <w:pPr>
              <w:pStyle w:val="TableContents"/>
              <w:spacing w:before="0" w:after="283"/>
              <w:rPr>
                <w:sz w:val="4"/>
                <w:szCs w:val="4"/>
              </w:rPr>
            </w:pPr>
            <w:r>
              <w:rPr>
                <w:sz w:val="4"/>
                <w:szCs w:val="4"/>
              </w:rPr>
            </w:r>
          </w:p>
        </w:tc>
      </w:tr>
    </w:tbl>
    <w:tbl>
      <w:tblPr>
        <w:tblW w:w="7137" w:type="dxa"/>
        <w:jc w:val="left"/>
        <w:tblInd w:w="0" w:type="dxa"/>
        <w:tblCellMar>
          <w:top w:w="28" w:type="dxa"/>
          <w:left w:w="28" w:type="dxa"/>
          <w:bottom w:w="28" w:type="dxa"/>
          <w:right w:w="28" w:type="dxa"/>
        </w:tblCellMar>
      </w:tblPr>
      <w:tblGrid>
        <w:gridCol w:w="124"/>
        <w:gridCol w:w="109"/>
        <w:gridCol w:w="109"/>
        <w:gridCol w:w="1990"/>
        <w:gridCol w:w="1990"/>
        <w:gridCol w:w="28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0" w:type="dxa"/>
            <w:tcBorders/>
            <w:shd w:fill="auto" w:val="clear"/>
            <w:vAlign w:val="center"/>
          </w:tcPr>
          <w:p>
            <w:pPr>
              <w:pStyle w:val="TableContents"/>
              <w:spacing w:before="0" w:after="283"/>
              <w:rPr>
                <w:sz w:val="4"/>
                <w:szCs w:val="4"/>
              </w:rPr>
            </w:pPr>
            <w:r>
              <w:rPr>
                <w:sz w:val="4"/>
                <w:szCs w:val="4"/>
              </w:rPr>
            </w:r>
          </w:p>
        </w:tc>
        <w:tc>
          <w:tcPr>
            <w:tcW w:w="1990" w:type="dxa"/>
            <w:tcBorders/>
            <w:shd w:fill="auto" w:val="clear"/>
            <w:vAlign w:val="center"/>
          </w:tcPr>
          <w:p>
            <w:pPr>
              <w:pStyle w:val="TableContents"/>
              <w:spacing w:before="0" w:after="283"/>
              <w:rPr>
                <w:sz w:val="4"/>
                <w:szCs w:val="4"/>
              </w:rPr>
            </w:pPr>
            <w:r>
              <w:rPr>
                <w:sz w:val="4"/>
                <w:szCs w:val="4"/>
              </w:rPr>
            </w:r>
          </w:p>
        </w:tc>
        <w:tc>
          <w:tcPr>
            <w:tcW w:w="28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6795"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includes pawn loans and inventory.</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w:t>
            </w:r>
          </w:p>
        </w:tc>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6795" w:type="dxa"/>
            <w:gridSpan w:val="3"/>
            <w:tcBorders/>
            <w:shd w:fill="auto" w:val="clear"/>
            <w:vAlign w:val="center"/>
          </w:tcPr>
          <w:p>
            <w:pPr>
              <w:pStyle w:val="TableContents"/>
              <w:spacing w:before="0" w:after="283"/>
              <w:rPr>
                <w:sz w:val="4"/>
                <w:szCs w:val="4"/>
              </w:rPr>
            </w:pPr>
            <w:r>
              <w:rPr>
                <w:sz w:val="4"/>
                <w:szCs w:val="4"/>
              </w:rPr>
            </w:r>
          </w:p>
        </w:tc>
      </w:tr>
    </w:tbl>
    <w:tbl>
      <w:tblPr>
        <w:tblW w:w="5080" w:type="dxa"/>
        <w:jc w:val="left"/>
        <w:tblInd w:w="0" w:type="dxa"/>
        <w:tblCellMar>
          <w:top w:w="28" w:type="dxa"/>
          <w:left w:w="28" w:type="dxa"/>
          <w:bottom w:w="28" w:type="dxa"/>
          <w:right w:w="28" w:type="dxa"/>
        </w:tblCellMar>
      </w:tblPr>
      <w:tblGrid>
        <w:gridCol w:w="790"/>
        <w:gridCol w:w="698"/>
        <w:gridCol w:w="701"/>
        <w:gridCol w:w="344"/>
        <w:gridCol w:w="344"/>
        <w:gridCol w:w="346"/>
        <w:gridCol w:w="109"/>
        <w:gridCol w:w="109"/>
        <w:gridCol w:w="109"/>
        <w:gridCol w:w="447"/>
        <w:gridCol w:w="447"/>
        <w:gridCol w:w="636"/>
      </w:tblGrid>
      <w:tr>
        <w:trPr/>
        <w:tc>
          <w:tcPr>
            <w:tcW w:w="790"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 </w:t>
            </w:r>
            <w:r>
              <w:rPr>
                <w:rFonts w:ascii="Arial Narrow;sans-serif" w:hAnsi="Arial Narrow;sans-serif"/>
                <w:b/>
                <w:color w:val="000000"/>
                <w:sz w:val="18"/>
              </w:rPr>
              <w:t>2023 Change</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(GAAP)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 </w:t>
            </w:r>
            <w:r>
              <w:rPr>
                <w:rFonts w:ascii="Arial Narrow;sans-serif" w:hAnsi="Arial Narrow;sans-serif"/>
                <w:b/>
                <w:color w:val="000000"/>
                <w:sz w:val="18"/>
              </w:rPr>
              <w:t>2023 Change</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(Constant Currency)</w:t>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Same Store data: </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PLO </w:t>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w:t>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PSC </w:t>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18%</w:t>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w:t>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16%</w:t>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Gross Profit </w:t>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49%</w:t>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24%</w:t>
            </w:r>
          </w:p>
        </w:tc>
      </w:tr>
    </w:tbl>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68" w:before="180" w:after="283"/>
        <w:rPr>
          <w:rFonts w:ascii="Arial Narrow;sans-serif" w:hAnsi="Arial Narrow;sans-serif"/>
          <w:b w:val="false"/>
          <w:color w:val="000000"/>
          <w:sz w:val="20"/>
        </w:rPr>
      </w:pPr>
      <w:r>
        <w:rPr>
          <w:rFonts w:ascii="Arial Narrow;sans-serif" w:hAnsi="Arial Narrow;sans-serif"/>
          <w:b w:val="false"/>
          <w:color w:val="000000"/>
          <w:sz w:val="20"/>
        </w:rPr>
        <w:t>PLO improved to $49.1 million, up 22% (14% on constant currency basis). On a same store basis, PLO increased 19% (12% on a constant currency basis).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Total revenue was up 30% (22% on constant currency basis), while gross profit increased 32% (23% on a constant currency basis), reflecting increased PSC, higher merchandise sales and improved merchandise sales gross profit.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PSC increased 29% (21% on a constant currency basis) as a result of higher average PLO and yield.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Merchandise sales gross margin increased from 29% to 32%. Aged general merchandise inventory increased to 3.2% from 1.0% of total merchandise inventory.</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Net inventory increased 44% (33% on a constant currency basis), reflecting a return towards normalized inventory levels. Inventory turnover remains strong at 3.5x.</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Store expenses increased 38% (29% on a constant currency basis), primarily due to increased labor in line with store activity and higher store count. Same-store expenses increased 32% (24% on a constant currency basis).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Segment contribution increased 68% (60% on a constant currency basis) to $8.0 million, this increase was primarily due to the reversal of a contingent consideration liability in connection with a previously completed acquisition, which was recorded to "Other," and the changes in revenue and store expenses described above.. </w:t>
      </w:r>
    </w:p>
    <w:p>
      <w:pPr>
        <w:pStyle w:val="TextBody"/>
        <w:spacing w:lineRule="auto" w:line="268" w:before="180" w:after="283"/>
        <w:rPr>
          <w:rFonts w:ascii="Arial Narrow;sans-serif" w:hAnsi="Arial Narrow;sans-serif"/>
          <w:b w:val="false"/>
          <w:color w:val="000000"/>
          <w:sz w:val="20"/>
        </w:rPr>
      </w:pPr>
      <w:r>
        <w:rPr>
          <w:rFonts w:ascii="Arial Narrow;sans-serif" w:hAnsi="Arial Narrow;sans-serif"/>
          <w:b w:val="false"/>
          <w:color w:val="000000"/>
          <w:sz w:val="20"/>
        </w:rPr>
        <w:t>Segment store count increased by 11 de novo stores during the quarter.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Other Investments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financial data for our Other Investments segment after translation to U.S. dollars from its functional currency of primarily Australian dollars:</w:t>
      </w:r>
    </w:p>
    <w:tbl>
      <w:tblPr>
        <w:tblW w:w="6172" w:type="dxa"/>
        <w:jc w:val="left"/>
        <w:tblInd w:w="0" w:type="dxa"/>
        <w:tblCellMar>
          <w:top w:w="28" w:type="dxa"/>
          <w:left w:w="28" w:type="dxa"/>
          <w:bottom w:w="28" w:type="dxa"/>
          <w:right w:w="28" w:type="dxa"/>
        </w:tblCellMar>
      </w:tblPr>
      <w:tblGrid>
        <w:gridCol w:w="1057"/>
        <w:gridCol w:w="932"/>
        <w:gridCol w:w="935"/>
        <w:gridCol w:w="197"/>
        <w:gridCol w:w="671"/>
        <w:gridCol w:w="118"/>
        <w:gridCol w:w="118"/>
        <w:gridCol w:w="118"/>
        <w:gridCol w:w="118"/>
        <w:gridCol w:w="197"/>
        <w:gridCol w:w="590"/>
        <w:gridCol w:w="118"/>
        <w:gridCol w:w="109"/>
        <w:gridCol w:w="109"/>
        <w:gridCol w:w="109"/>
        <w:gridCol w:w="198"/>
        <w:gridCol w:w="198"/>
        <w:gridCol w:w="280"/>
      </w:tblGrid>
      <w:tr>
        <w:trPr/>
        <w:tc>
          <w:tcPr>
            <w:tcW w:w="1057"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4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9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loan fees, interest and other</w:t>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(66)%</w:t>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68"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(66)%</w:t>
            </w:r>
          </w:p>
        </w:tc>
      </w:tr>
      <w:tr>
        <w:trPr/>
        <w:tc>
          <w:tcPr>
            <w:tcW w:w="2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9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32,501 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2,159%</w:t>
            </w:r>
          </w:p>
        </w:tc>
      </w:tr>
      <w:tr>
        <w:trPr/>
        <w:tc>
          <w:tcPr>
            <w:tcW w:w="292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loss</w:t>
            </w:r>
          </w:p>
        </w:tc>
        <w:tc>
          <w:tcPr>
            <w:tcW w:w="868"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(32,491)</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(1,410)</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2,204%</w:t>
            </w:r>
          </w:p>
        </w:tc>
      </w:tr>
      <w:tr>
        <w:trPr/>
        <w:tc>
          <w:tcPr>
            <w:tcW w:w="2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expense</w:t>
            </w:r>
          </w:p>
        </w:tc>
        <w:tc>
          <w:tcPr>
            <w:tcW w:w="8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(25)%</w:t>
            </w:r>
          </w:p>
        </w:tc>
      </w:tr>
      <w:tr>
        <w:trPr/>
        <w:tc>
          <w:tcPr>
            <w:tcW w:w="2924"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loss</w:t>
            </w:r>
          </w:p>
        </w:tc>
        <w:tc>
          <w:tcPr>
            <w:tcW w:w="19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(32,497)</w:t>
            </w:r>
          </w:p>
        </w:tc>
        <w:tc>
          <w:tcPr>
            <w:tcW w:w="11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90"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(1,418)</w:t>
            </w:r>
          </w:p>
        </w:tc>
        <w:tc>
          <w:tcPr>
            <w:tcW w:w="11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2,192%</w:t>
            </w:r>
          </w:p>
        </w:tc>
      </w:tr>
    </w:tbl>
    <w:p>
      <w:pPr>
        <w:pStyle w:val="TextBody"/>
        <w:spacing w:lineRule="auto" w:line="288" w:before="140" w:after="283"/>
        <w:rPr/>
      </w:pPr>
      <w:r>
        <w:rPr>
          <w:rFonts w:ascii="Arial Narrow;sans-serif" w:hAnsi="Arial Narrow;sans-serif"/>
          <w:b w:val="false"/>
          <w:color w:val="000000"/>
          <w:sz w:val="20"/>
        </w:rPr>
        <w:t>Segment loss was $32.5 million, a decrease of $31.1 million due to the net loss on our share of Cash Converters related to their non-cash goodwill impairment charge taken d</w:t>
      </w:r>
      <w:r>
        <w:rPr>
          <w:rFonts w:ascii="Arial Narrow;sans-serif" w:hAnsi="Arial Narrow;sans-serif"/>
          <w:b w:val="false"/>
          <w:color w:val="212529"/>
          <w:sz w:val="20"/>
        </w:rPr>
        <w:t xml:space="preserve">uring the quarter ended March 31, 2023. Additionally, </w:t>
      </w:r>
      <w:r>
        <w:rPr>
          <w:rFonts w:ascii="Arial Narrow;sans-serif" w:hAnsi="Arial Narrow;sans-serif"/>
          <w:b w:val="false"/>
          <w:color w:val="000000"/>
          <w:sz w:val="20"/>
        </w:rPr>
        <w:t xml:space="preserve">See "Part II, Item 1A — Risk Factors" of this Report. A decline in future operating results of Cash Converters, if any, resulting from the change of law could adversely affect our investment. </w:t>
      </w:r>
    </w:p>
    <w:p>
      <w:pPr>
        <w:pStyle w:val="TextBody"/>
        <w:spacing w:before="1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Other Items</w:t>
      </w:r>
    </w:p>
    <w:p>
      <w:pPr>
        <w:pStyle w:val="TextBody"/>
        <w:spacing w:lineRule="auto" w:line="288" w:before="180" w:after="180"/>
        <w:rPr>
          <w:rFonts w:ascii="Arial Narrow;sans-serif" w:hAnsi="Arial Narrow;sans-serif"/>
          <w:b w:val="false"/>
          <w:color w:val="000000"/>
          <w:sz w:val="20"/>
        </w:rPr>
      </w:pPr>
      <w:r>
        <w:rPr>
          <w:rFonts w:ascii="Arial Narrow;sans-serif" w:hAnsi="Arial Narrow;sans-serif"/>
          <w:b w:val="false"/>
          <w:color w:val="000000"/>
          <w:sz w:val="20"/>
        </w:rPr>
        <w:t>The following table reconciles our consolidated segment contribution discussed above to net income attributable to EZCORP, Inc., including items that affect our consolidated financial results but are not allocated among segments:</w:t>
      </w:r>
    </w:p>
    <w:tbl>
      <w:tblPr>
        <w:tblW w:w="7340" w:type="dxa"/>
        <w:jc w:val="left"/>
        <w:tblInd w:w="0" w:type="dxa"/>
        <w:tblCellMar>
          <w:top w:w="28" w:type="dxa"/>
          <w:left w:w="28" w:type="dxa"/>
          <w:bottom w:w="28" w:type="dxa"/>
          <w:right w:w="28" w:type="dxa"/>
        </w:tblCellMar>
      </w:tblPr>
      <w:tblGrid>
        <w:gridCol w:w="1188"/>
        <w:gridCol w:w="1047"/>
        <w:gridCol w:w="1049"/>
        <w:gridCol w:w="198"/>
        <w:gridCol w:w="627"/>
        <w:gridCol w:w="119"/>
        <w:gridCol w:w="119"/>
        <w:gridCol w:w="119"/>
        <w:gridCol w:w="119"/>
        <w:gridCol w:w="198"/>
        <w:gridCol w:w="627"/>
        <w:gridCol w:w="119"/>
        <w:gridCol w:w="109"/>
        <w:gridCol w:w="109"/>
        <w:gridCol w:w="109"/>
        <w:gridCol w:w="434"/>
        <w:gridCol w:w="434"/>
        <w:gridCol w:w="616"/>
      </w:tblGrid>
      <w:tr>
        <w:trPr/>
        <w:tc>
          <w:tcPr>
            <w:tcW w:w="118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4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w:t>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13,251 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37,152 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(64)%</w:t>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expenses (income):</w:t>
            </w:r>
          </w:p>
        </w:tc>
        <w:tc>
          <w:tcPr>
            <w:tcW w:w="9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15,609 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12,227 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28%</w:t>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 and other</w:t>
            </w:r>
          </w:p>
        </w:tc>
        <w:tc>
          <w:tcPr>
            <w:tcW w:w="8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34%</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(1,599)</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w:t>
            </w:r>
          </w:p>
        </w:tc>
        <w:tc>
          <w:tcPr>
            <w:tcW w:w="8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income before income taxes</w:t>
            </w:r>
          </w:p>
        </w:tc>
        <w:tc>
          <w:tcPr>
            <w:tcW w:w="825"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(7,340)</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20,123 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(136)%</w:t>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(benefit) expense</w:t>
            </w:r>
          </w:p>
        </w:tc>
        <w:tc>
          <w:tcPr>
            <w:tcW w:w="8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w:t>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3284"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income</w:t>
            </w:r>
          </w:p>
        </w:tc>
        <w:tc>
          <w:tcPr>
            <w:tcW w:w="19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(6,790)</w:t>
            </w:r>
          </w:p>
        </w:tc>
        <w:tc>
          <w:tcPr>
            <w:tcW w:w="11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top w:val="single" w:sz="4"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9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14,887 </w:t>
            </w:r>
          </w:p>
        </w:tc>
        <w:tc>
          <w:tcPr>
            <w:tcW w:w="11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(146)%</w:t>
            </w:r>
          </w:p>
        </w:tc>
      </w:tr>
    </w:tbl>
    <w:tbl>
      <w:tblPr>
        <w:tblW w:w="5307" w:type="dxa"/>
        <w:jc w:val="left"/>
        <w:tblInd w:w="0" w:type="dxa"/>
        <w:tblCellMar>
          <w:top w:w="28" w:type="dxa"/>
          <w:left w:w="28" w:type="dxa"/>
          <w:bottom w:w="28" w:type="dxa"/>
          <w:right w:w="28" w:type="dxa"/>
        </w:tblCellMar>
      </w:tblPr>
      <w:tblGrid>
        <w:gridCol w:w="124"/>
        <w:gridCol w:w="109"/>
        <w:gridCol w:w="109"/>
        <w:gridCol w:w="1454"/>
        <w:gridCol w:w="1454"/>
        <w:gridCol w:w="205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205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965"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96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Segment contribution decreased $23.9 million or 64% over the prior year quarter primarily due to the decrease in Other Investments segment due to the net loss on our share of Cash Converters, offset by improved operating results of the U.S. Pawn and Latin America Pawn segments above. </w:t>
      </w:r>
    </w:p>
    <w:p>
      <w:pPr>
        <w:pStyle w:val="TextBody"/>
        <w:spacing w:lineRule="auto" w:line="268" w:before="180" w:after="283"/>
        <w:rPr>
          <w:rFonts w:ascii="Arial Narrow;sans-serif" w:hAnsi="Arial Narrow;sans-serif"/>
          <w:b w:val="false"/>
          <w:color w:val="000000"/>
          <w:sz w:val="20"/>
        </w:rPr>
      </w:pPr>
      <w:r>
        <w:rPr>
          <w:rFonts w:ascii="Arial Narrow;sans-serif" w:hAnsi="Arial Narrow;sans-serif"/>
          <w:b w:val="false"/>
          <w:color w:val="000000"/>
          <w:sz w:val="20"/>
        </w:rPr>
        <w:t>General and administrative expense increased $3.4 million or 28%, primarily due to the impact related to the reversal of incentive compensation for the departed CEO in the prior period and to a lesser extent, an overall increase in incentive-based compensation.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Interest income increased $1.6 million, due primarily to our treasury management with increased market interest rates, and, to a lesser extent, loans to certain strategic investees.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Income tax expense decreased $5.8 million primarily due to a decrease in income before income taxes of $27.5 million this quarter compared to the prior year associated with the net loss on our share of Cash Converters, offset by the improved operating results within the U.S. Pawn segment and the Latin American Pawn segment.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Annual Report on Form 10-K for the year ended September 30, 2022 Note 11: Income Taxes of Notes to Consolidated Financial Statements included in “Part II, Item 8 — Financial Statements and Supplemental Data” for quantification of these items.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i/>
          <w:color w:val="000000"/>
          <w:sz w:val="20"/>
        </w:rPr>
      </w:pPr>
      <w:r>
        <w:rPr>
          <w:rFonts w:ascii="Arial Narrow;sans-serif" w:hAnsi="Arial Narrow;sans-serif"/>
          <w:b/>
          <w:i/>
          <w:color w:val="000000"/>
          <w:sz w:val="20"/>
        </w:rPr>
        <w:t>Six Months Ended March 31, 2023 vs. Six Months Ended March 31, 2022</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The tables below and discussion that follows should be read in conjunction with the accompanying condensed consolidated financial statements and related notes.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4"/>
        </w:rPr>
      </w:pPr>
      <w:r>
        <w:rPr>
          <w:rFonts w:ascii="Arial Narrow;sans-serif" w:hAnsi="Arial Narrow;sans-serif"/>
          <w:b/>
          <w:color w:val="000000"/>
          <w:sz w:val="24"/>
        </w:rPr>
        <w:t>U.S. Pawn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the U.S. Pawn segment:</w:t>
      </w:r>
    </w:p>
    <w:tbl>
      <w:tblPr>
        <w:tblW w:w="7124" w:type="dxa"/>
        <w:jc w:val="left"/>
        <w:tblInd w:w="0" w:type="dxa"/>
        <w:tblCellMar>
          <w:top w:w="28" w:type="dxa"/>
          <w:left w:w="28" w:type="dxa"/>
          <w:bottom w:w="28" w:type="dxa"/>
          <w:right w:w="28" w:type="dxa"/>
        </w:tblCellMar>
      </w:tblPr>
      <w:tblGrid>
        <w:gridCol w:w="1318"/>
        <w:gridCol w:w="1162"/>
        <w:gridCol w:w="1164"/>
        <w:gridCol w:w="181"/>
        <w:gridCol w:w="646"/>
        <w:gridCol w:w="241"/>
        <w:gridCol w:w="109"/>
        <w:gridCol w:w="109"/>
        <w:gridCol w:w="109"/>
        <w:gridCol w:w="181"/>
        <w:gridCol w:w="646"/>
        <w:gridCol w:w="241"/>
        <w:gridCol w:w="109"/>
        <w:gridCol w:w="109"/>
        <w:gridCol w:w="109"/>
        <w:gridCol w:w="202"/>
        <w:gridCol w:w="202"/>
        <w:gridCol w:w="286"/>
      </w:tblGrid>
      <w:tr>
        <w:trPr/>
        <w:tc>
          <w:tcPr>
            <w:tcW w:w="1318"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63"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139,255 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115,329 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w:t>
            </w:r>
          </w:p>
        </w:tc>
      </w:tr>
      <w:tr>
        <w:trPr/>
        <w:tc>
          <w:tcPr>
            <w:tcW w:w="36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227,054 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202,142 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86,155 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85,697 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w:t>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(400)bps</w:t>
            </w:r>
          </w:p>
        </w:tc>
      </w:tr>
      <w:tr>
        <w:trPr/>
        <w:tc>
          <w:tcPr>
            <w:tcW w:w="36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16,990 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8,460 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w:t>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(700)bps</w:t>
            </w:r>
          </w:p>
        </w:tc>
      </w:tr>
      <w:tr>
        <w:trPr/>
        <w:tc>
          <w:tcPr>
            <w:tcW w:w="36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24%</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227,691 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202,759 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145,250 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129,181 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0"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5,315 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77,042 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68,283 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3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 expense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64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77,043 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68,283 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3644"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1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(a)</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 Narrow;sans-serif" w:hAnsi="Arial Narrow;sans-serif"/>
                <w:b w:val="false"/>
                <w:color w:val="000000"/>
                <w:sz w:val="18"/>
              </w:rPr>
              <w:t>bps</w:t>
            </w:r>
          </w:p>
        </w:tc>
      </w:tr>
    </w:tbl>
    <w:tbl>
      <w:tblPr>
        <w:tblW w:w="7137" w:type="dxa"/>
        <w:jc w:val="left"/>
        <w:tblInd w:w="0" w:type="dxa"/>
        <w:tblCellMar>
          <w:top w:w="28" w:type="dxa"/>
          <w:left w:w="28" w:type="dxa"/>
          <w:bottom w:w="28" w:type="dxa"/>
          <w:right w:w="28" w:type="dxa"/>
        </w:tblCellMar>
      </w:tblPr>
      <w:tblGrid>
        <w:gridCol w:w="124"/>
        <w:gridCol w:w="109"/>
        <w:gridCol w:w="109"/>
        <w:gridCol w:w="1990"/>
        <w:gridCol w:w="1990"/>
        <w:gridCol w:w="28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0" w:type="dxa"/>
            <w:tcBorders/>
            <w:shd w:fill="auto" w:val="clear"/>
            <w:vAlign w:val="center"/>
          </w:tcPr>
          <w:p>
            <w:pPr>
              <w:pStyle w:val="TableContents"/>
              <w:spacing w:before="0" w:after="283"/>
              <w:rPr>
                <w:sz w:val="4"/>
                <w:szCs w:val="4"/>
              </w:rPr>
            </w:pPr>
            <w:r>
              <w:rPr>
                <w:sz w:val="4"/>
                <w:szCs w:val="4"/>
              </w:rPr>
            </w:r>
          </w:p>
        </w:tc>
        <w:tc>
          <w:tcPr>
            <w:tcW w:w="1990" w:type="dxa"/>
            <w:tcBorders/>
            <w:shd w:fill="auto" w:val="clear"/>
            <w:vAlign w:val="center"/>
          </w:tcPr>
          <w:p>
            <w:pPr>
              <w:pStyle w:val="TableContents"/>
              <w:spacing w:before="0" w:after="283"/>
              <w:rPr>
                <w:sz w:val="4"/>
                <w:szCs w:val="4"/>
              </w:rPr>
            </w:pPr>
            <w:r>
              <w:rPr>
                <w:sz w:val="4"/>
                <w:szCs w:val="4"/>
              </w:rPr>
            </w:r>
          </w:p>
        </w:tc>
        <w:tc>
          <w:tcPr>
            <w:tcW w:w="28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bl>
    <w:p>
      <w:pPr>
        <w:pStyle w:val="TextBody"/>
        <w:spacing w:lineRule="auto" w:line="288" w:before="80" w:after="283"/>
        <w:rPr>
          <w:rFonts w:ascii="Arial Narrow;sans-serif" w:hAnsi="Arial Narrow;sans-serif"/>
          <w:b w:val="false"/>
          <w:color w:val="000000"/>
          <w:sz w:val="20"/>
        </w:rPr>
      </w:pPr>
      <w:r>
        <w:rPr>
          <w:rFonts w:ascii="Arial Narrow;sans-serif" w:hAnsi="Arial Narrow;sans-serif"/>
          <w:b w:val="false"/>
          <w:color w:val="000000"/>
          <w:sz w:val="20"/>
        </w:rPr>
        <w:t>Pawn service charges increased 21% as a result of higher average PLO for the year.</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Merchandise sales increased 12% compared to the prior year. Merchandise sales increase was driven primarily by our continued focus on customer engagement and pricing merchandise to maintain strong inventory turnover. Offsetting the sales increase, merchandise sales gross margin decreased 400 bps reflecting a return toward more normalized margins.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Store expenses increased 12%, primarily due to increased labor in-line with store activity, higher store count and expenses associated with our loyalty program.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Segment contribution increased $8.8 million, primarily due to the changes described above.</w:t>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color w:val="000000"/>
          <w:sz w:val="24"/>
        </w:rPr>
      </w:pPr>
      <w:r>
        <w:rPr>
          <w:rFonts w:ascii="Arial Narrow;sans-serif" w:hAnsi="Arial Narrow;sans-serif"/>
          <w:b/>
          <w:color w:val="000000"/>
          <w:sz w:val="24"/>
        </w:rPr>
        <w:t>Latin America Pawn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our Latin America Pawn segment, including constant currency results, after translation to U.S. dollars from functional currencies. See “Results of Operations — Non-GAAP Constant Currency and Same Store Financial Information” above.</w:t>
      </w:r>
    </w:p>
    <w:tbl>
      <w:tblPr>
        <w:tblW w:w="10205" w:type="dxa"/>
        <w:jc w:val="left"/>
        <w:tblInd w:w="0" w:type="dxa"/>
        <w:tblCellMar>
          <w:top w:w="28" w:type="dxa"/>
          <w:left w:w="28" w:type="dxa"/>
          <w:bottom w:w="28" w:type="dxa"/>
          <w:right w:w="28" w:type="dxa"/>
        </w:tblCellMar>
      </w:tblPr>
      <w:tblGrid>
        <w:gridCol w:w="1016"/>
        <w:gridCol w:w="850"/>
        <w:gridCol w:w="851"/>
        <w:gridCol w:w="181"/>
        <w:gridCol w:w="571"/>
        <w:gridCol w:w="241"/>
        <w:gridCol w:w="109"/>
        <w:gridCol w:w="109"/>
        <w:gridCol w:w="109"/>
        <w:gridCol w:w="181"/>
        <w:gridCol w:w="571"/>
        <w:gridCol w:w="241"/>
        <w:gridCol w:w="109"/>
        <w:gridCol w:w="109"/>
        <w:gridCol w:w="109"/>
        <w:gridCol w:w="328"/>
        <w:gridCol w:w="328"/>
        <w:gridCol w:w="329"/>
        <w:gridCol w:w="109"/>
        <w:gridCol w:w="109"/>
        <w:gridCol w:w="109"/>
        <w:gridCol w:w="281"/>
        <w:gridCol w:w="888"/>
        <w:gridCol w:w="375"/>
        <w:gridCol w:w="109"/>
        <w:gridCol w:w="109"/>
        <w:gridCol w:w="109"/>
        <w:gridCol w:w="485"/>
        <w:gridCol w:w="485"/>
        <w:gridCol w:w="695"/>
      </w:tblGrid>
      <w:tr>
        <w:trPr/>
        <w:tc>
          <w:tcPr>
            <w:tcW w:w="1016"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r>
      <w:tr>
        <w:trPr/>
        <w:tc>
          <w:tcPr>
            <w:tcW w:w="27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488" w:type="dxa"/>
            <w:gridSpan w:val="27"/>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w:t>
            </w:r>
          </w:p>
        </w:tc>
      </w:tr>
      <w:tr>
        <w:trPr/>
        <w:tc>
          <w:tcPr>
            <w:tcW w:w="27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2023 (GAAP)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2022 (GAAP)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(GAAP)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2023 (Constant Currency)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(Constant Currency)</w:t>
            </w:r>
          </w:p>
        </w:tc>
      </w:tr>
      <w:tr>
        <w:trPr/>
        <w:tc>
          <w:tcPr>
            <w:tcW w:w="2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46,368 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37,379 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24%</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44,153 </w:t>
            </w:r>
          </w:p>
        </w:tc>
        <w:tc>
          <w:tcPr>
            <w:tcW w:w="37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r>
      <w:tr>
        <w:trPr/>
        <w:tc>
          <w:tcPr>
            <w:tcW w:w="27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89,240 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69,134 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84,289 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w:t>
            </w:r>
          </w:p>
        </w:tc>
      </w:tr>
      <w:tr>
        <w:trPr/>
        <w:tc>
          <w:tcPr>
            <w:tcW w:w="2717"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27,923 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20,222 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38%</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26,300 </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30%</w:t>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200bps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200bps</w:t>
            </w:r>
          </w:p>
        </w:tc>
      </w:tr>
      <w:tr>
        <w:trPr/>
        <w:tc>
          <w:tcPr>
            <w:tcW w:w="27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4,174 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3,518 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r>
      <w:tr>
        <w:trPr/>
        <w:tc>
          <w:tcPr>
            <w:tcW w:w="2717"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(193)%</w:t>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(1,900)bps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(1,900)bps</w:t>
            </w:r>
          </w:p>
        </w:tc>
      </w:tr>
      <w:tr>
        <w:trPr/>
        <w:tc>
          <w:tcPr>
            <w:tcW w:w="27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717"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73,956 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58,208 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27%</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70,142 </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w:t>
            </w:r>
          </w:p>
        </w:tc>
      </w:tr>
      <w:tr>
        <w:trPr/>
        <w:tc>
          <w:tcPr>
            <w:tcW w:w="2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56,822 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43,333 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53,836 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24%</w:t>
            </w:r>
          </w:p>
        </w:tc>
      </w:tr>
      <w:tr>
        <w:trPr/>
        <w:tc>
          <w:tcPr>
            <w:tcW w:w="2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4,285 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r>
      <w:tr>
        <w:trPr/>
        <w:tc>
          <w:tcPr>
            <w:tcW w:w="271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5" w:type="dxa"/>
            <w:gridSpan w:val="3"/>
            <w:tcBorders/>
            <w:shd w:fill="auto" w:val="clear"/>
            <w:vAlign w:val="center"/>
          </w:tcPr>
          <w:p>
            <w:pPr>
              <w:pStyle w:val="TableContents"/>
              <w:spacing w:before="0" w:after="283"/>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(2,465)</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(2,336)</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717"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Segment operating contribution </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15,052 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11,004 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37%</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14,357 </w:t>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30%</w:t>
            </w:r>
          </w:p>
        </w:tc>
      </w:tr>
      <w:tr>
        <w:trPr/>
        <w:tc>
          <w:tcPr>
            <w:tcW w:w="2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 (a)</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(473)</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(723)</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200%</w:t>
            </w:r>
          </w:p>
        </w:tc>
      </w:tr>
      <w:tr>
        <w:trPr/>
        <w:tc>
          <w:tcPr>
            <w:tcW w:w="2717"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15,525 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11,245 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38%</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15,080 </w:t>
            </w:r>
          </w:p>
        </w:tc>
        <w:tc>
          <w:tcPr>
            <w:tcW w:w="375"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34%</w:t>
            </w:r>
          </w:p>
        </w:tc>
      </w:tr>
      <w:tr>
        <w:trPr/>
        <w:tc>
          <w:tcPr>
            <w:tcW w:w="271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(a)</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r>
      <w:tr>
        <w:trPr/>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r>
    </w:tbl>
    <w:tbl>
      <w:tblPr>
        <w:tblW w:w="7137" w:type="dxa"/>
        <w:jc w:val="left"/>
        <w:tblInd w:w="0" w:type="dxa"/>
        <w:tblCellMar>
          <w:top w:w="28" w:type="dxa"/>
          <w:left w:w="28" w:type="dxa"/>
          <w:bottom w:w="28" w:type="dxa"/>
          <w:right w:w="28" w:type="dxa"/>
        </w:tblCellMar>
      </w:tblPr>
      <w:tblGrid>
        <w:gridCol w:w="124"/>
        <w:gridCol w:w="109"/>
        <w:gridCol w:w="109"/>
        <w:gridCol w:w="1990"/>
        <w:gridCol w:w="1990"/>
        <w:gridCol w:w="28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0" w:type="dxa"/>
            <w:tcBorders/>
            <w:shd w:fill="auto" w:val="clear"/>
            <w:vAlign w:val="center"/>
          </w:tcPr>
          <w:p>
            <w:pPr>
              <w:pStyle w:val="TableContents"/>
              <w:spacing w:before="0" w:after="283"/>
              <w:rPr>
                <w:sz w:val="4"/>
                <w:szCs w:val="4"/>
              </w:rPr>
            </w:pPr>
            <w:r>
              <w:rPr>
                <w:sz w:val="4"/>
                <w:szCs w:val="4"/>
              </w:rPr>
            </w:r>
          </w:p>
        </w:tc>
        <w:tc>
          <w:tcPr>
            <w:tcW w:w="1990" w:type="dxa"/>
            <w:tcBorders/>
            <w:shd w:fill="auto" w:val="clear"/>
            <w:vAlign w:val="center"/>
          </w:tcPr>
          <w:p>
            <w:pPr>
              <w:pStyle w:val="TableContents"/>
              <w:spacing w:before="0" w:after="283"/>
              <w:rPr>
                <w:sz w:val="4"/>
                <w:szCs w:val="4"/>
              </w:rPr>
            </w:pPr>
            <w:r>
              <w:rPr>
                <w:sz w:val="4"/>
                <w:szCs w:val="4"/>
              </w:rPr>
            </w:r>
          </w:p>
        </w:tc>
        <w:tc>
          <w:tcPr>
            <w:tcW w:w="28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6795"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bl>
    <w:tbl>
      <w:tblPr>
        <w:tblW w:w="5080" w:type="dxa"/>
        <w:jc w:val="left"/>
        <w:tblInd w:w="0" w:type="dxa"/>
        <w:tblCellMar>
          <w:top w:w="28" w:type="dxa"/>
          <w:left w:w="28" w:type="dxa"/>
          <w:bottom w:w="28" w:type="dxa"/>
          <w:right w:w="28" w:type="dxa"/>
        </w:tblCellMar>
      </w:tblPr>
      <w:tblGrid>
        <w:gridCol w:w="790"/>
        <w:gridCol w:w="698"/>
        <w:gridCol w:w="701"/>
        <w:gridCol w:w="344"/>
        <w:gridCol w:w="344"/>
        <w:gridCol w:w="346"/>
        <w:gridCol w:w="109"/>
        <w:gridCol w:w="109"/>
        <w:gridCol w:w="109"/>
        <w:gridCol w:w="447"/>
        <w:gridCol w:w="447"/>
        <w:gridCol w:w="636"/>
      </w:tblGrid>
      <w:tr>
        <w:trPr/>
        <w:tc>
          <w:tcPr>
            <w:tcW w:w="790"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 </w:t>
            </w:r>
            <w:r>
              <w:rPr>
                <w:rFonts w:ascii="Arial Narrow;sans-serif" w:hAnsi="Arial Narrow;sans-serif"/>
                <w:b/>
                <w:color w:val="000000"/>
                <w:sz w:val="18"/>
              </w:rPr>
              <w:t>2023 Change</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(GAAP)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 </w:t>
            </w:r>
            <w:r>
              <w:rPr>
                <w:rFonts w:ascii="Arial Narrow;sans-serif" w:hAnsi="Arial Narrow;sans-serif"/>
                <w:b/>
                <w:color w:val="000000"/>
                <w:sz w:val="18"/>
              </w:rPr>
              <w:t>2023 Change</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(Constant Currency)</w:t>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Same Store data: </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PLO </w:t>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w:t>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PSC </w:t>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16%</w:t>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w:t>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17%</w:t>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Gross Profit </w:t>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47%</w:t>
            </w:r>
          </w:p>
        </w:tc>
      </w:tr>
      <w:tr>
        <w:trPr/>
        <w:tc>
          <w:tcPr>
            <w:tcW w:w="2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14%</w:t>
            </w:r>
          </w:p>
        </w:tc>
      </w:tr>
      <w:tr>
        <w:trPr/>
        <w:tc>
          <w:tcPr>
            <w:tcW w:w="2189"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During the six months ended March 31, 2023, our Latin America pawn segment opened thirteen de novo stores.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PSC increased 24% to $46.4 million (18% to $44.2 million on a constant currency basis) as a result of higher average PLO for the year.</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Merchandise sales increased 29% (22% on a constant currency basis) and 24% on a same store basis (17% on a constant currency basis). Merchandise sales increase was driven primarily by our continued focus on customer engagement, pricing merchandise to maintain strong inventory turnover and increase in stores. Merchandise sales gross margin increased 200 bps from 29% to 31% and on a constant currency basis, reflecting a return to more normalized margins.</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Store expenses increased by 31% (24% on a constant currency basis) primarily due to higher store count and increased labor in-line with store activity. On a same-store basis, store expenses increased 20% (14% on a constant currency basis) due to rising labor costs resulting from growing transaction volume.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Segment contribution increased $4.3 million, or 38%, to $15.5 million. This increase was primarily due to the reversal of a contingent consideration liability in connection with a previously completed acquisition, which was recorded to "Other," and the changes in revenue and store expenses described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0000"/>
          <w:sz w:val="24"/>
        </w:rPr>
      </w:pPr>
      <w:r>
        <w:rPr>
          <w:rFonts w:ascii="Arial Narrow;sans-serif" w:hAnsi="Arial Narrow;sans-serif"/>
          <w:b/>
          <w:color w:val="000000"/>
          <w:sz w:val="24"/>
        </w:rPr>
        <w:t>Other Investments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financial data for our Other Investments segment after translation to U.S. dollars from its functional currency of primarily Australian dollars:</w:t>
      </w:r>
    </w:p>
    <w:tbl>
      <w:tblPr>
        <w:tblW w:w="6096" w:type="dxa"/>
        <w:jc w:val="left"/>
        <w:tblInd w:w="0" w:type="dxa"/>
        <w:tblCellMar>
          <w:top w:w="28" w:type="dxa"/>
          <w:left w:w="28" w:type="dxa"/>
          <w:bottom w:w="28" w:type="dxa"/>
          <w:right w:w="28" w:type="dxa"/>
        </w:tblCellMar>
      </w:tblPr>
      <w:tblGrid>
        <w:gridCol w:w="1057"/>
        <w:gridCol w:w="932"/>
        <w:gridCol w:w="935"/>
        <w:gridCol w:w="194"/>
        <w:gridCol w:w="660"/>
        <w:gridCol w:w="116"/>
        <w:gridCol w:w="116"/>
        <w:gridCol w:w="116"/>
        <w:gridCol w:w="116"/>
        <w:gridCol w:w="194"/>
        <w:gridCol w:w="451"/>
        <w:gridCol w:w="116"/>
        <w:gridCol w:w="109"/>
        <w:gridCol w:w="109"/>
        <w:gridCol w:w="109"/>
        <w:gridCol w:w="224"/>
        <w:gridCol w:w="224"/>
        <w:gridCol w:w="318"/>
      </w:tblGrid>
      <w:tr>
        <w:trPr/>
        <w:tc>
          <w:tcPr>
            <w:tcW w:w="1057"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Change</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loan fees, interest and other</w:t>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(56)%</w:t>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97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54"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(56)%</w:t>
            </w:r>
          </w:p>
        </w:tc>
      </w:tr>
      <w:tr>
        <w:trPr/>
        <w:tc>
          <w:tcPr>
            <w:tcW w:w="2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97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97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97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30,917 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92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loss</w:t>
            </w:r>
          </w:p>
        </w:tc>
        <w:tc>
          <w:tcPr>
            <w:tcW w:w="854"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(30,885)</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loss (income)</w:t>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(350)%</w:t>
            </w:r>
          </w:p>
        </w:tc>
      </w:tr>
      <w:tr>
        <w:trPr/>
        <w:tc>
          <w:tcPr>
            <w:tcW w:w="2924"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loss</w:t>
            </w:r>
          </w:p>
        </w:tc>
        <w:tc>
          <w:tcPr>
            <w:tcW w:w="19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0"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(30,895)</w:t>
            </w:r>
          </w:p>
        </w:tc>
        <w:tc>
          <w:tcPr>
            <w:tcW w:w="11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5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w:t>
            </w:r>
          </w:p>
        </w:tc>
        <w:tc>
          <w:tcPr>
            <w:tcW w:w="11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r>
    </w:p>
    <w:tbl>
      <w:tblPr>
        <w:tblW w:w="5307" w:type="dxa"/>
        <w:jc w:val="left"/>
        <w:tblInd w:w="0" w:type="dxa"/>
        <w:tblCellMar>
          <w:top w:w="28" w:type="dxa"/>
          <w:left w:w="28" w:type="dxa"/>
          <w:bottom w:w="28" w:type="dxa"/>
          <w:right w:w="28" w:type="dxa"/>
        </w:tblCellMar>
      </w:tblPr>
      <w:tblGrid>
        <w:gridCol w:w="124"/>
        <w:gridCol w:w="109"/>
        <w:gridCol w:w="109"/>
        <w:gridCol w:w="1454"/>
        <w:gridCol w:w="1454"/>
        <w:gridCol w:w="205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205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965"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96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283"/>
        <w:rPr>
          <w:rFonts w:ascii="Arial Narrow;sans-serif" w:hAnsi="Arial Narrow;sans-serif"/>
          <w:b w:val="false"/>
          <w:color w:val="000000"/>
          <w:sz w:val="20"/>
        </w:rPr>
      </w:pPr>
      <w:r>
        <w:rPr>
          <w:rFonts w:ascii="Arial Narrow;sans-serif" w:hAnsi="Arial Narrow;sans-serif"/>
          <w:b w:val="false"/>
          <w:color w:val="000000"/>
          <w:sz w:val="20"/>
        </w:rPr>
      </w:r>
    </w:p>
    <w:p>
      <w:pPr>
        <w:pStyle w:val="TextBody"/>
        <w:spacing w:lineRule="auto" w:line="288" w:before="80" w:after="283"/>
        <w:rPr>
          <w:rFonts w:ascii="Arial Narrow;sans-serif" w:hAnsi="Arial Narrow;sans-serif"/>
          <w:b w:val="false"/>
          <w:color w:val="000000"/>
          <w:sz w:val="20"/>
        </w:rPr>
      </w:pPr>
      <w:r>
        <w:rPr>
          <w:rFonts w:ascii="Arial Narrow;sans-serif" w:hAnsi="Arial Narrow;sans-serif"/>
          <w:b w:val="false"/>
          <w:color w:val="000000"/>
          <w:sz w:val="20"/>
        </w:rPr>
        <w:t xml:space="preserve">Segment loss was $30.9 million, a decrease of $30.7 million from the prior-year six months ended March 31, 2022, primarily due to the net loss on our share of Cash Converters related to their non-cash goodwill impairment charge.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color w:val="000000"/>
          <w:sz w:val="24"/>
        </w:rPr>
      </w:pPr>
      <w:r>
        <w:rPr>
          <w:rFonts w:ascii="Arial Narrow;sans-serif" w:hAnsi="Arial Narrow;sans-serif"/>
          <w:b/>
          <w:color w:val="000000"/>
          <w:sz w:val="24"/>
        </w:rPr>
        <w:t>Other Items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following table reconciles our consolidated segment contribution discussed above to net income attributable to EZCORP, Inc., including items that affect our consolidated financial results but are not allocated among segments:</w:t>
      </w:r>
    </w:p>
    <w:tbl>
      <w:tblPr>
        <w:tblW w:w="7491" w:type="dxa"/>
        <w:jc w:val="left"/>
        <w:tblInd w:w="0" w:type="dxa"/>
        <w:tblCellMar>
          <w:top w:w="28" w:type="dxa"/>
          <w:left w:w="28" w:type="dxa"/>
          <w:bottom w:w="28" w:type="dxa"/>
          <w:right w:w="28" w:type="dxa"/>
        </w:tblCellMar>
      </w:tblPr>
      <w:tblGrid>
        <w:gridCol w:w="1302"/>
        <w:gridCol w:w="1148"/>
        <w:gridCol w:w="1150"/>
        <w:gridCol w:w="184"/>
        <w:gridCol w:w="581"/>
        <w:gridCol w:w="110"/>
        <w:gridCol w:w="110"/>
        <w:gridCol w:w="110"/>
        <w:gridCol w:w="110"/>
        <w:gridCol w:w="184"/>
        <w:gridCol w:w="581"/>
        <w:gridCol w:w="110"/>
        <w:gridCol w:w="109"/>
        <w:gridCol w:w="109"/>
        <w:gridCol w:w="109"/>
        <w:gridCol w:w="434"/>
        <w:gridCol w:w="434"/>
        <w:gridCol w:w="616"/>
      </w:tblGrid>
      <w:tr>
        <w:trPr/>
        <w:tc>
          <w:tcPr>
            <w:tcW w:w="1302"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80"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61,673 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79,303 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expenses (income):</w:t>
            </w:r>
          </w:p>
        </w:tc>
        <w:tc>
          <w:tcPr>
            <w:tcW w:w="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auto" w:val="clear"/>
            <w:vAlign w:val="center"/>
          </w:tcPr>
          <w:p>
            <w:pPr>
              <w:pStyle w:val="TableContents"/>
              <w:spacing w:before="0" w:after="283"/>
              <w:rPr>
                <w:sz w:val="4"/>
                <w:szCs w:val="4"/>
              </w:rPr>
            </w:pPr>
            <w:r>
              <w:rPr>
                <w:sz w:val="4"/>
                <w:szCs w:val="4"/>
              </w:rPr>
            </w:r>
          </w:p>
        </w:tc>
        <w:tc>
          <w:tcPr>
            <w:tcW w:w="87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31,088 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27,772 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6,089 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w:t>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93%</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(2,094)</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600" w:type="dxa"/>
            <w:gridSpan w:val="3"/>
            <w:tcBorders/>
            <w:shd w:fill="auto" w:val="clear"/>
            <w:vAlign w:val="center"/>
          </w:tcPr>
          <w:p>
            <w:pPr>
              <w:pStyle w:val="TableContents"/>
              <w:spacing w:before="0" w:after="283"/>
              <w:rPr>
                <w:sz w:val="4"/>
                <w:szCs w:val="4"/>
              </w:rPr>
            </w:pPr>
            <w:r>
              <w:rPr>
                <w:sz w:val="4"/>
                <w:szCs w:val="4"/>
              </w:rPr>
            </w:r>
          </w:p>
        </w:tc>
        <w:tc>
          <w:tcPr>
            <w:tcW w:w="87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(442)%</w:t>
            </w:r>
          </w:p>
        </w:tc>
      </w:tr>
      <w:tr>
        <w:trPr/>
        <w:tc>
          <w:tcPr>
            <w:tcW w:w="3600"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from continuing operations before income taxes</w:t>
            </w:r>
          </w:p>
        </w:tc>
        <w:tc>
          <w:tcPr>
            <w:tcW w:w="765"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17,198 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41,470 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(59)%</w:t>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7,210 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10,862 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(34)%</w:t>
            </w:r>
          </w:p>
        </w:tc>
      </w:tr>
      <w:tr>
        <w:trPr/>
        <w:tc>
          <w:tcPr>
            <w:tcW w:w="3600" w:type="dxa"/>
            <w:gridSpan w:val="3"/>
            <w:tcBorders/>
            <w:shd w:fill="auto" w:val="clear"/>
            <w:vAlign w:val="center"/>
          </w:tcPr>
          <w:p>
            <w:pPr>
              <w:pStyle w:val="TableContents"/>
              <w:spacing w:before="0" w:after="283"/>
              <w:rPr>
                <w:sz w:val="4"/>
                <w:szCs w:val="4"/>
              </w:rPr>
            </w:pPr>
            <w:r>
              <w:rPr>
                <w:sz w:val="4"/>
                <w:szCs w:val="4"/>
              </w:rPr>
            </w:r>
          </w:p>
        </w:tc>
        <w:tc>
          <w:tcPr>
            <w:tcW w:w="87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vAlign w:val="center"/>
          </w:tcPr>
          <w:p>
            <w:pPr>
              <w:pStyle w:val="TableContents"/>
              <w:spacing w:before="0" w:after="283"/>
              <w:rPr>
                <w:sz w:val="4"/>
                <w:szCs w:val="4"/>
              </w:rPr>
            </w:pPr>
            <w:r>
              <w:rPr>
                <w:sz w:val="4"/>
                <w:szCs w:val="4"/>
              </w:rPr>
            </w:r>
          </w:p>
        </w:tc>
        <w:tc>
          <w:tcPr>
            <w:tcW w:w="87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vAlign w:val="center"/>
          </w:tcPr>
          <w:p>
            <w:pPr>
              <w:pStyle w:val="TableContents"/>
              <w:spacing w:before="0" w:after="283"/>
              <w:rPr>
                <w:sz w:val="4"/>
                <w:szCs w:val="4"/>
              </w:rPr>
            </w:pPr>
            <w:r>
              <w:rPr>
                <w:sz w:val="4"/>
                <w:szCs w:val="4"/>
              </w:rPr>
            </w:r>
          </w:p>
        </w:tc>
        <w:tc>
          <w:tcPr>
            <w:tcW w:w="87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vAlign w:val="center"/>
          </w:tcPr>
          <w:p>
            <w:pPr>
              <w:pStyle w:val="TableContents"/>
              <w:spacing w:before="0" w:after="283"/>
              <w:rPr>
                <w:sz w:val="4"/>
                <w:szCs w:val="4"/>
              </w:rPr>
            </w:pPr>
            <w:r>
              <w:rPr>
                <w:sz w:val="4"/>
                <w:szCs w:val="4"/>
              </w:rPr>
            </w:r>
          </w:p>
        </w:tc>
        <w:tc>
          <w:tcPr>
            <w:tcW w:w="87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3600"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w:t>
            </w:r>
          </w:p>
        </w:tc>
        <w:tc>
          <w:tcPr>
            <w:tcW w:w="18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9,988 </w:t>
            </w:r>
          </w:p>
        </w:tc>
        <w:tc>
          <w:tcPr>
            <w:tcW w:w="110"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4"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8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30,608 </w:t>
            </w:r>
          </w:p>
        </w:tc>
        <w:tc>
          <w:tcPr>
            <w:tcW w:w="110"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(67)%</w:t>
            </w:r>
          </w:p>
        </w:tc>
      </w:tr>
    </w:tbl>
    <w:tbl>
      <w:tblPr>
        <w:tblW w:w="5307" w:type="dxa"/>
        <w:jc w:val="left"/>
        <w:tblInd w:w="0" w:type="dxa"/>
        <w:tblCellMar>
          <w:top w:w="28" w:type="dxa"/>
          <w:left w:w="28" w:type="dxa"/>
          <w:bottom w:w="28" w:type="dxa"/>
          <w:right w:w="28" w:type="dxa"/>
        </w:tblCellMar>
      </w:tblPr>
      <w:tblGrid>
        <w:gridCol w:w="124"/>
        <w:gridCol w:w="109"/>
        <w:gridCol w:w="109"/>
        <w:gridCol w:w="1454"/>
        <w:gridCol w:w="1454"/>
        <w:gridCol w:w="205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205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965"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96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rPr/>
      </w:pPr>
      <w:r>
        <w:rPr>
          <w:rFonts w:ascii="Times New Roman;sans-serif" w:hAnsi="Times New Roman;sans-serif"/>
          <w:b w:val="false"/>
          <w:color w:val="000000"/>
          <w:sz w:val="20"/>
        </w:rPr>
        <w:br/>
        <w:br/>
      </w:r>
      <w:r>
        <w:rPr>
          <w:rFonts w:ascii="Arial Narrow;sans-serif" w:hAnsi="Arial Narrow;sans-serif"/>
          <w:b w:val="false"/>
          <w:color w:val="000000"/>
          <w:sz w:val="20"/>
        </w:rPr>
        <w:t>Segment contribution decreased $17.6 million or 22% over the prior year six months ended March 31, 2022, primarily due to the equity pickup of Cash Converters' net results partially offset by the improved operating results of the segments above.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General and administrative expenses increased $3.3 million or 12%, primarily due to the impact related to the reversal of incentive compensation for the departed CEO in the prior period and to a lesser extent, an overall increase in incentive-based compensation.</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Interest expense increased $4.6 million, primarily driven by the net loss recorded on the partial extinguishments of the 2024 convertible notes and 2025 convertible notes, and higher average total debt outstanding at overall higher average effective interest rates due to the issuance of the 2029 convertible notes during December 2022. See Note 7: Debt to the consolidated financials for further discussion.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Income tax expense decreased $3.7 million, primarily due to a decrease in income before income taxes of $24.3 million for the six months ended March 31, 2022 compared to the same prior year six month period.</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Annual Report on Form 10-K for the year ended September 30, 2022 Note 11: Income Taxes of Notes to Consolidated Financial Statements included in “Part II, Item 8 — Financial Statements and Supplemental Data” for quantification of these items.</w:t>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Liquidity and Capital Resources</w:t>
      </w:r>
    </w:p>
    <w:p>
      <w:pPr>
        <w:pStyle w:val="TextBody"/>
        <w:spacing w:lineRule="auto" w:line="288" w:before="180" w:after="283"/>
        <w:rPr>
          <w:rFonts w:ascii="Arial Narrow;sans-serif" w:hAnsi="Arial Narrow;sans-serif"/>
          <w:b/>
          <w:color w:val="000000"/>
          <w:sz w:val="24"/>
        </w:rPr>
      </w:pPr>
      <w:r>
        <w:rPr>
          <w:rFonts w:ascii="Arial Narrow;sans-serif" w:hAnsi="Arial Narrow;sans-serif"/>
          <w:b/>
          <w:color w:val="000000"/>
          <w:sz w:val="24"/>
        </w:rPr>
        <w:t>Cash and Cash Equivalents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Our cash and equivalents balance was $243.1 million at March 31, 2023 compared to $206.0 million at September 30, 2022. At March 31, 2023, our cash and equivalents were held in cash depository accounts with major banks or invested in high quality, short-term liquid investments.</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color w:val="000000"/>
          <w:sz w:val="24"/>
        </w:rPr>
      </w:pPr>
      <w:r>
        <w:rPr>
          <w:rFonts w:ascii="Arial Narrow;sans-serif" w:hAnsi="Arial Narrow;sans-serif"/>
          <w:b/>
          <w:color w:val="000000"/>
          <w:sz w:val="24"/>
        </w:rPr>
        <w:t>Cash Flows</w:t>
      </w:r>
    </w:p>
    <w:p>
      <w:pPr>
        <w:pStyle w:val="TextBody"/>
        <w:spacing w:lineRule="auto" w:line="288" w:before="180" w:after="180"/>
        <w:rPr>
          <w:rFonts w:ascii="Arial Narrow;sans-serif" w:hAnsi="Arial Narrow;sans-serif"/>
          <w:b w:val="false"/>
          <w:color w:val="000000"/>
          <w:sz w:val="20"/>
        </w:rPr>
      </w:pPr>
      <w:r>
        <w:rPr>
          <w:rFonts w:ascii="Arial Narrow;sans-serif" w:hAnsi="Arial Narrow;sans-serif"/>
          <w:b w:val="false"/>
          <w:color w:val="000000"/>
          <w:sz w:val="20"/>
        </w:rPr>
        <w:t>The table and discussion below presents a summary of the selected sources and uses of our cash:</w:t>
      </w:r>
    </w:p>
    <w:tbl>
      <w:tblPr>
        <w:tblW w:w="8391" w:type="dxa"/>
        <w:jc w:val="left"/>
        <w:tblInd w:w="0" w:type="dxa"/>
        <w:tblCellMar>
          <w:top w:w="28" w:type="dxa"/>
          <w:left w:w="28" w:type="dxa"/>
          <w:bottom w:w="28" w:type="dxa"/>
          <w:right w:w="28" w:type="dxa"/>
        </w:tblCellMar>
      </w:tblPr>
      <w:tblGrid>
        <w:gridCol w:w="1844"/>
        <w:gridCol w:w="1625"/>
        <w:gridCol w:w="1630"/>
        <w:gridCol w:w="181"/>
        <w:gridCol w:w="571"/>
        <w:gridCol w:w="109"/>
        <w:gridCol w:w="109"/>
        <w:gridCol w:w="109"/>
        <w:gridCol w:w="109"/>
        <w:gridCol w:w="181"/>
        <w:gridCol w:w="571"/>
        <w:gridCol w:w="109"/>
        <w:gridCol w:w="109"/>
        <w:gridCol w:w="109"/>
        <w:gridCol w:w="109"/>
        <w:gridCol w:w="268"/>
        <w:gridCol w:w="268"/>
        <w:gridCol w:w="380"/>
      </w:tblGrid>
      <w:tr>
        <w:trPr/>
        <w:tc>
          <w:tcPr>
            <w:tcW w:w="1844" w:type="dxa"/>
            <w:tcBorders/>
            <w:shd w:fill="auto" w:val="clear"/>
            <w:vAlign w:val="center"/>
          </w:tcPr>
          <w:p>
            <w:pPr>
              <w:pStyle w:val="TableContents"/>
              <w:spacing w:before="0" w:after="283"/>
              <w:rPr>
                <w:sz w:val="4"/>
                <w:szCs w:val="4"/>
              </w:rPr>
            </w:pPr>
            <w:r>
              <w:rPr>
                <w:sz w:val="4"/>
                <w:szCs w:val="4"/>
              </w:rPr>
            </w:r>
          </w:p>
        </w:tc>
        <w:tc>
          <w:tcPr>
            <w:tcW w:w="1625" w:type="dxa"/>
            <w:tcBorders/>
            <w:shd w:fill="auto" w:val="clear"/>
            <w:vAlign w:val="center"/>
          </w:tcPr>
          <w:p>
            <w:pPr>
              <w:pStyle w:val="TableContents"/>
              <w:spacing w:before="0" w:after="283"/>
              <w:rPr>
                <w:sz w:val="4"/>
                <w:szCs w:val="4"/>
              </w:rPr>
            </w:pPr>
            <w:r>
              <w:rPr>
                <w:sz w:val="4"/>
                <w:szCs w:val="4"/>
              </w:rPr>
            </w:r>
          </w:p>
        </w:tc>
        <w:tc>
          <w:tcPr>
            <w:tcW w:w="163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4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Six Months Ended</w:t>
            </w:r>
          </w:p>
          <w:p>
            <w:pPr>
              <w:pStyle w:val="TableContents"/>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w:t>
              <w:br/>
              <w:t>Change</w:t>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5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46,827 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53%</w:t>
            </w:r>
          </w:p>
        </w:tc>
      </w:tr>
      <w:tr>
        <w:trPr/>
        <w:tc>
          <w:tcPr>
            <w:tcW w:w="5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27%</w:t>
            </w:r>
          </w:p>
        </w:tc>
      </w:tr>
      <w:tr>
        <w:trPr/>
        <w:tc>
          <w:tcPr>
            <w:tcW w:w="5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cash provided by (used in) financing activities </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5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cash equivalents and restricted cash</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(51)%</w:t>
            </w:r>
          </w:p>
        </w:tc>
      </w:tr>
      <w:tr>
        <w:trPr/>
        <w:tc>
          <w:tcPr>
            <w:tcW w:w="5099"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in cash, cash equivalents and restricted cash</w:t>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37,210 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r>
    </w:p>
    <w:tbl>
      <w:tblPr>
        <w:tblW w:w="5307" w:type="dxa"/>
        <w:jc w:val="left"/>
        <w:tblInd w:w="0" w:type="dxa"/>
        <w:tblCellMar>
          <w:top w:w="28" w:type="dxa"/>
          <w:left w:w="28" w:type="dxa"/>
          <w:bottom w:w="28" w:type="dxa"/>
          <w:right w:w="28" w:type="dxa"/>
        </w:tblCellMar>
      </w:tblPr>
      <w:tblGrid>
        <w:gridCol w:w="124"/>
        <w:gridCol w:w="109"/>
        <w:gridCol w:w="109"/>
        <w:gridCol w:w="1454"/>
        <w:gridCol w:w="1454"/>
        <w:gridCol w:w="205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205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bl>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increase in cash flows provided by operating activities year-over-year was primarily due to an increase in net income (when considering adjustments for non-cash items affecting net income) as well as changes in working capital primarily related to the timing of payments of accounts payable.</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The $8.8 million increase in cash flows used in investing activities year-over-year was primarily due to $24.5 million higher outgoing cash flows used to fund acquisitions and strategic investments and an increase of $18.5 million in net pawn lending, partially offset by an $42.2 million increase in the sale of forfeited collateral. Of the $24.5 million increase year-over-year used to fund other investments, the largest amount is $15.0 million related to a note receivable from Founders, as discussed in Note 5: Strategic Investments in Part I, Item 1 - Notes to Interim Condensed Consolidated Financial Statements.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$30.8 million increase in cash flows provided by financing activities was primarily related to the December 2022 financing of the 2029 Convertible Notes, in which we issued $230.0 million (less issuance costs) principal amount of 3.750% Convertible Senior Notes Due 2029 offset by the extinguishment of approximately $109.4 million aggregate principal amount of our 2024 Convertible Notes for approximately $117.5 million plus accrued interest and approximately $69.1 million aggregate principal amount of our 2025 Convertible Notes for approximately $62.9 million plus accrued interest. In addition, we used approximately $5.0 million of the net proceeds from the 2029 Convertible Notes offering to repurchase 578,703 shares of our Class A common stock from purchasers of the notes in privately negotiated transactions.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The net effect of these changes was a $37.2 million increase in cash on hand during the current year to date period, resulting in a $251.6 million ending cash and restricted cash balance. </w:t>
      </w:r>
    </w:p>
    <w:p>
      <w:pPr>
        <w:pStyle w:val="TextBody"/>
        <w:spacing w:lineRule="auto" w:line="288" w:before="180" w:after="283"/>
        <w:rPr>
          <w:rFonts w:ascii="Arial Narrow;sans-serif" w:hAnsi="Arial Narrow;sans-serif"/>
          <w:b/>
          <w:color w:val="000000"/>
          <w:sz w:val="24"/>
        </w:rPr>
      </w:pPr>
      <w:r>
        <w:rPr>
          <w:rFonts w:ascii="Arial Narrow;sans-serif" w:hAnsi="Arial Narrow;sans-serif"/>
          <w:b/>
          <w:color w:val="000000"/>
          <w:sz w:val="24"/>
        </w:rPr>
        <w:t>Sources and Uses of Cash</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In December 2022, we issued $230.0 million aggregate principal amount of 2029 Convertible Notes. In conjunction with the issuance of the 2029 Convertible Notes, we extinguished approximately $109.4 million aggregate principal amount of our 2024 Convertible Notes for approximately $117.5 million plus accrued interest and approximately $69.1 million aggregate principal amount of our 2025 Convertible Notes for approximately $62.9 million plus accrued interest. In addition, we used approximately $5.0 million of the net proceeds from the 2029 Convertible Notes offering to repurchase 578,703 shares of our Class A common stock from purchasers of the notes in privately negotiated transactions. See Note 7 of Notes to Interim Condensed Consolidated Financial Statements included in "Part I, Item 1 — Financial Statements". The shares repurchased in conjunction with the transactions discussed above were authorized separately from, and not considered part of, the publicly announced share repurchase program referred to below.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On May 3, 2022, our Board authorized the repurchase of up to $50 million of our Class A Common Stock over three years. As of March 31, 2023, we have repurchased 929,336 shares of our Class A Common Stock under the program for $8.0 million. Execution of the program will be responsive to fluctuating market conditions and valuations, liquidity needs and the expected return on investment compared to other opportunities.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Under the stock repurchase program, we may purchase Class A Non-Voting common stock from time to time at management’s discretion in accordance with applicable securities laws, including through open market transactions, block or privately negotiated transactions, or any combination thereof. In addition, we may purchase shares pursuant to a trading plan meeting the requirements of Rule 10b5-1 under the Securities Exchange Act of 1934.</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See Note 8 of Notes to Interim Condensed Consolidated Financial Statements included in "Part I, Item 1 — Financial Statements."</w:t>
      </w:r>
    </w:p>
    <w:p>
      <w:pPr>
        <w:pStyle w:val="TextBody"/>
        <w:spacing w:lineRule="auto" w:line="288" w:before="180" w:after="283"/>
        <w:rPr/>
      </w:pPr>
      <w:r>
        <w:rPr>
          <w:rFonts w:ascii="Arial Narrow;sans-serif" w:hAnsi="Arial Narrow;sans-serif"/>
          <w:b w:val="false"/>
          <w:color w:val="000000"/>
          <w:sz w:val="20"/>
        </w:rPr>
        <w:t xml:space="preserve">We anticipate that cash flows from operations and cash on hand will be adequate to fund ongoing operations, debt service requirements, tax payments, any future stock repurchases, strategic investments, our contractual </w:t>
      </w:r>
      <w:r>
        <w:rPr>
          <w:rFonts w:ascii="Arial Narrow;sans-serif" w:hAnsi="Arial Narrow;sans-serif"/>
          <w:b w:val="false"/>
          <w:color w:val="000000"/>
          <w:sz w:val="20"/>
          <w:highlight w:val="white"/>
        </w:rPr>
        <w:t xml:space="preserve">obligations, planned de novo store growth, capital expenditures and working capital requirements through fiscal 2023. We continue to explore acquisition opportunities, both large and small, and may choose to pursue additional debt, equity or equity-linked financings in the future should the need arise. </w:t>
      </w:r>
      <w:r>
        <w:rPr>
          <w:rFonts w:ascii="Arial Narrow;sans-serif" w:hAnsi="Arial Narrow;sans-serif"/>
          <w:b w:val="false"/>
          <w:color w:val="212529"/>
          <w:sz w:val="20"/>
          <w:highlight w:val="white"/>
        </w:rPr>
        <w:t>Depending on the level of acquisition activity and other factors, our ability to repay our longer-term debt obligations, including the convertible debt maturing in 2024, 2025 and 2029, may require us to refinance these obligations through the issuance of new debt securities, equity securities, convertible securities or through new credit facilities.</w:t>
      </w:r>
    </w:p>
    <w:p>
      <w:pPr>
        <w:pStyle w:val="TextBody"/>
        <w:spacing w:lineRule="auto" w:line="288" w:before="180" w:after="283"/>
        <w:rPr>
          <w:rFonts w:ascii="Arial Narrow;sans-serif" w:hAnsi="Arial Narrow;sans-serif"/>
          <w:b/>
          <w:color w:val="000000"/>
          <w:sz w:val="24"/>
        </w:rPr>
      </w:pPr>
      <w:r>
        <w:rPr>
          <w:rFonts w:ascii="Arial Narrow;sans-serif" w:hAnsi="Arial Narrow;sans-serif"/>
          <w:b/>
          <w:color w:val="000000"/>
          <w:sz w:val="24"/>
        </w:rPr>
        <w:t>Contractual Obligations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In "Part II, Item 7 — Management's Discussion and Analysis of Financial Condition and Results of Operations" of our Annual Report on Form 10-K for the year ended September 30, 2022, we reported that we had $608.0 million in total contractual obligations as of September 30, 2022. There have been no material changes to this total obligation since September 30, 2022, other than the convertible debt refinancing and lease liabilities changes as further discussed in Note 7: Debt and Note 4: Leases, respectively, of Notes to Interim Condensed Consolidated Financial Statements included in "Part I, Item 1 — Financial Statements."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are responsible for the maintenance, property taxes and insurance at most of our locations. In the fiscal year ended September 30, 2022, these collectively amounted to $15.2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Recently Adopted Accounting Policies and Recently Issued Accounting Pronouncements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We reviewed all recently issued accounting pronouncements and concluded that they were either not applicable or not expected to have a material impact on our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Cautionary Statement Regarding Risks and Uncertainties that May Affect Future Results</w:t>
      </w:r>
    </w:p>
    <w:p>
      <w:pPr>
        <w:pStyle w:val="TextBody"/>
        <w:spacing w:lineRule="auto" w:line="288" w:before="180" w:after="283"/>
        <w:rPr/>
      </w:pPr>
      <w:r>
        <w:rPr>
          <w:rFonts w:ascii="Arial Narrow;sans-serif" w:hAnsi="Arial Narrow;sans-serif"/>
          <w:b w:val="false"/>
          <w:color w:val="000000"/>
          <w:sz w:val="20"/>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w:t>
      </w:r>
      <w:hyperlink r:id="rId6">
        <w:r>
          <w:rPr>
            <w:rStyle w:val="InternetLink"/>
            <w:rFonts w:ascii="Arial Narrow;sans-serif" w:hAnsi="Arial Narrow;sans-serif"/>
            <w:b w:val="false"/>
            <w:strike w:val="false"/>
            <w:dstrike w:val="false"/>
            <w:color w:val="000000"/>
            <w:sz w:val="20"/>
            <w:u w:val="none"/>
            <w:effect w:val="none"/>
          </w:rPr>
          <w:t xml:space="preserve">"Part I, Item 1A — Risk Factors" of our Annual Report on Form 10-K for the year ended September 30, </w:t>
        </w:r>
      </w:hyperlink>
      <w:r>
        <w:rPr>
          <w:rFonts w:ascii="Arial Narrow;sans-serif" w:hAnsi="Arial Narrow;sans-serif"/>
          <w:b w:val="false"/>
          <w:color w:val="000000"/>
          <w:sz w:val="20"/>
        </w:rPr>
        <w:t>2022 and "Part II, Item 1A — Risk Factors" of this Report.</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ITEM 3. QUANTITATIVE AND QUALITATIVE DISCLOSURES ABOUT MARKET RISK</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2022. There have been no material changes in our reported market risks or risk management policies since the filing of our Annual Report on Form 10-K for the year ended September 30,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ITEM 4. CONTROLS AND PROCEDURES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Under the supervision and with the participation of our Chief Executive Officer and Chief Financial Officer, our management evaluated the effectiveness of the design and operation of our disclosure controls and procedures as of March 31, 2023. Our principal executive officer and principal financial officer have concluded that as of March 31, 2023, our disclosure controls and procedures were effective to provide reasonable assurance that information required to be disclosed in our reports under the Exchange Act is recorded, processed, summarized, and reported within the time periods specified in the SEC rules and forms and that such information is accumulated and communicated to management as appropriate to allow timely decisions regarding required disclosure. </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There were no changes in our internal control over financial reporting during the quarter ended March 31, 2023 that have materially affected, or are reasonably likely to materially affect, our internal control over financial reporting.</w:t>
      </w:r>
    </w:p>
    <w:p>
      <w:pPr>
        <w:pStyle w:val="TextBody"/>
        <w:spacing w:lineRule="auto" w:line="288" w:before="180" w:after="283"/>
        <w:rPr>
          <w:rFonts w:ascii="Arial Narrow;sans-serif" w:hAnsi="Arial Narrow;sans-serif"/>
          <w:b/>
          <w:color w:val="000000"/>
          <w:sz w:val="20"/>
        </w:rPr>
      </w:pPr>
      <w:r>
        <w:rPr>
          <w:rFonts w:ascii="Arial Narrow;sans-serif" w:hAnsi="Arial Narrow;sans-serif"/>
          <w:b/>
          <w:color w:val="000000"/>
          <w:sz w:val="20"/>
        </w:rPr>
        <w:t>Inherent Limitations on Internal Controls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Our management, including our Chief Executive Officer and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center"/>
        <w:rPr>
          <w:rFonts w:ascii="Arial Narrow;sans-serif" w:hAnsi="Arial Narrow;sans-serif"/>
          <w:b/>
          <w:color w:val="00497F"/>
          <w:sz w:val="28"/>
        </w:rPr>
      </w:pPr>
      <w:r>
        <w:rPr>
          <w:rFonts w:ascii="Arial Narrow;sans-serif" w:hAnsi="Arial Narrow;sans-serif"/>
          <w:b/>
          <w:color w:val="00497F"/>
          <w:sz w:val="28"/>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ITEM 1. LEGAL PROCEEDINGS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See Note 9: Contingencies of Notes to Interim Condensed Consolidated Financial Statements included in "Part I, Item 1 —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ITEM 1A. RISK FACTORS</w:t>
      </w:r>
    </w:p>
    <w:p>
      <w:pPr>
        <w:pStyle w:val="TextBody"/>
        <w:spacing w:lineRule="auto" w:line="288" w:before="180" w:after="283"/>
        <w:rPr/>
      </w:pPr>
      <w:r>
        <w:rPr>
          <w:rFonts w:ascii="Arial Narrow;sans-serif" w:hAnsi="Arial Narrow;sans-serif"/>
          <w:b w:val="false"/>
          <w:color w:val="000000"/>
          <w:sz w:val="20"/>
        </w:rPr>
        <w:t xml:space="preserve">Important risk factors that could affect our operations and financial performance, or that could cause results or events to differ from current expectations, are described in </w:t>
      </w:r>
      <w:hyperlink r:id="rId7">
        <w:r>
          <w:rPr>
            <w:rStyle w:val="InternetLink"/>
            <w:rFonts w:ascii="Arial Narrow;sans-serif" w:hAnsi="Arial Narrow;sans-serif"/>
            <w:b w:val="false"/>
            <w:strike w:val="false"/>
            <w:dstrike w:val="false"/>
            <w:color w:val="000000"/>
            <w:sz w:val="20"/>
            <w:u w:val="none"/>
            <w:effect w:val="none"/>
          </w:rPr>
          <w:t xml:space="preserve">"Part I, Item 1A — Risk Factors" of our Annual Report on Form 10-K for the year ended September 30, </w:t>
        </w:r>
      </w:hyperlink>
      <w:r>
        <w:rPr>
          <w:rFonts w:ascii="Arial Narrow;sans-serif" w:hAnsi="Arial Narrow;sans-serif"/>
          <w:b w:val="false"/>
          <w:color w:val="000000"/>
          <w:sz w:val="20"/>
        </w:rPr>
        <w:t>2022, as supplemented by the information set forth below.</w:t>
      </w:r>
    </w:p>
    <w:p>
      <w:pPr>
        <w:pStyle w:val="TextBody"/>
        <w:spacing w:lineRule="auto" w:line="288" w:before="180" w:after="283"/>
        <w:rPr>
          <w:rFonts w:ascii="Arial Narrow;sans-serif" w:hAnsi="Arial Narrow;sans-serif"/>
          <w:b/>
          <w:i/>
          <w:color w:val="000000"/>
          <w:sz w:val="20"/>
        </w:rPr>
      </w:pPr>
      <w:r>
        <w:rPr>
          <w:rFonts w:ascii="Arial Narrow;sans-serif" w:hAnsi="Arial Narrow;sans-serif"/>
          <w:b/>
          <w:i/>
          <w:color w:val="000000"/>
          <w:sz w:val="20"/>
        </w:rPr>
        <w:t>A recent law change in Australia could adversely impact Cash Converters’ business</w:t>
      </w:r>
    </w:p>
    <w:p>
      <w:pPr>
        <w:pStyle w:val="TextBody"/>
        <w:spacing w:lineRule="auto" w:line="268" w:before="0" w:after="0"/>
        <w:rPr>
          <w:rFonts w:ascii="Arial Narrow;sans-serif" w:hAnsi="Arial Narrow;sans-serif"/>
          <w:b w:val="false"/>
          <w:color w:val="000000"/>
          <w:sz w:val="20"/>
        </w:rPr>
      </w:pPr>
      <w:r>
        <w:rPr>
          <w:rFonts w:ascii="Arial Narrow;sans-serif" w:hAnsi="Arial Narrow;sans-serif"/>
          <w:b w:val="false"/>
          <w:color w:val="000000"/>
          <w:sz w:val="20"/>
        </w:rPr>
        <w:t xml:space="preserve">In December 2022, the Australian Parliament passed the Financial Sector Reform Bill 2022, which establishes lending limits on small amount credit contracts. The bill becomes effective in June 2023, and could adversely impact the financial position or results of operations of Cash Converters, in which the Company has an equity investment. Cash Converters recognized a one-time, non-cash impairment expense of AUD$110.5 million against goodwill in their financial statements for the period ended December 31, 2022 and, based upon our 43.7% ownership of Cash Converters, after translation to USD, we recorded a $32.5 million equity method loss during the quarter. A decline in the operating results of Cash Converters, if any, resulting from the change of law could adversely affect our investment.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3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rPr>
          <w:rFonts w:ascii="Arial Narrow;sans-serif" w:hAnsi="Arial Narrow;sans-serif"/>
          <w:b/>
          <w:color w:val="00497F"/>
          <w:sz w:val="28"/>
        </w:rPr>
      </w:pPr>
      <w:r>
        <w:rPr>
          <w:rFonts w:ascii="Arial Narrow;sans-serif" w:hAnsi="Arial Narrow;sans-serif"/>
          <w:b/>
          <w:color w:val="00497F"/>
          <w:sz w:val="28"/>
        </w:rPr>
        <w:t>ITEM 2. Unregistered Sale of Equity Security and Use of Proceeds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 xml:space="preserve">The table below provides certain information about our repurchase of shares of Class A Non-voting Common Stock during the quarter ended March 31, 2023. </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571"/>
        <w:gridCol w:w="444"/>
        <w:gridCol w:w="446"/>
        <w:gridCol w:w="109"/>
        <w:gridCol w:w="109"/>
        <w:gridCol w:w="109"/>
        <w:gridCol w:w="573"/>
        <w:gridCol w:w="444"/>
        <w:gridCol w:w="446"/>
        <w:gridCol w:w="109"/>
        <w:gridCol w:w="109"/>
        <w:gridCol w:w="109"/>
        <w:gridCol w:w="109"/>
        <w:gridCol w:w="109"/>
        <w:gridCol w:w="289"/>
        <w:gridCol w:w="689"/>
        <w:gridCol w:w="161"/>
        <w:gridCol w:w="109"/>
        <w:gridCol w:w="109"/>
        <w:gridCol w:w="109"/>
        <w:gridCol w:w="800"/>
        <w:gridCol w:w="700"/>
        <w:gridCol w:w="703"/>
        <w:gridCol w:w="109"/>
        <w:gridCol w:w="109"/>
        <w:gridCol w:w="109"/>
        <w:gridCol w:w="471"/>
        <w:gridCol w:w="1559"/>
        <w:gridCol w:w="383"/>
      </w:tblGrid>
      <w:tr>
        <w:trPr/>
        <w:tc>
          <w:tcPr>
            <w:tcW w:w="571"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55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r>
      <w:tr>
        <w:trPr/>
        <w:tc>
          <w:tcPr>
            <w:tcW w:w="14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7" w:type="dxa"/>
            <w:gridSpan w:val="17"/>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 Repurchases</w:t>
            </w:r>
          </w:p>
        </w:tc>
        <w:tc>
          <w:tcPr>
            <w:tcW w:w="2740" w:type="dxa"/>
            <w:gridSpan w:val="6"/>
            <w:tcBorders/>
            <w:shd w:fill="auto" w:val="clear"/>
          </w:tcPr>
          <w:p>
            <w:pPr>
              <w:pStyle w:val="TableContents"/>
              <w:spacing w:before="0" w:after="283"/>
              <w:rPr>
                <w:sz w:val="4"/>
                <w:szCs w:val="4"/>
              </w:rPr>
            </w:pPr>
            <w:r>
              <w:rPr>
                <w:sz w:val="4"/>
                <w:szCs w:val="4"/>
              </w:rPr>
            </w:r>
          </w:p>
        </w:tc>
      </w:tr>
      <w:tr>
        <w:trPr/>
        <w:tc>
          <w:tcPr>
            <w:tcW w:w="14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 Narrow;sans-serif" w:hAnsi="Arial Narrow;sans-serif"/>
                <w:b/>
                <w:color w:val="000000"/>
                <w:sz w:val="18"/>
              </w:rPr>
              <w:t xml:space="preserve">Total Number of Shares Purchased </w:t>
            </w:r>
            <w:r>
              <w:rPr>
                <w:rFonts w:ascii="Arial Narrow;sans-serif" w:hAnsi="Arial Narrow;sans-serif"/>
                <w:b/>
                <w:color w:val="000000"/>
                <w:sz w:val="12"/>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Average Price Paid Per Share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Number of Shares Purchased as Part of Publicly Announced Programs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Arial Narrow;sans-serif" w:hAnsi="Arial Narrow;sans-serif"/>
                <w:b/>
                <w:color w:val="000000"/>
                <w:sz w:val="18"/>
              </w:rPr>
              <w:t xml:space="preserve">Approximate Dollar Value of Shares That May Yet Be Purchased Under the Programs </w:t>
            </w:r>
            <w:r>
              <w:rPr>
                <w:rFonts w:ascii="Arial Narrow;sans-serif" w:hAnsi="Arial Narrow;sans-serif"/>
                <w:b/>
                <w:color w:val="000000"/>
                <w:sz w:val="12"/>
              </w:rPr>
              <w:t>(1)</w:t>
            </w:r>
          </w:p>
        </w:tc>
      </w:tr>
      <w:tr>
        <w:trPr/>
        <w:tc>
          <w:tcPr>
            <w:tcW w:w="14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7" w:type="dxa"/>
            <w:gridSpan w:val="1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4"/>
              </w:rPr>
            </w:pPr>
            <w:r>
              <w:rPr>
                <w:rFonts w:ascii="Arial Narrow;sans-serif" w:hAnsi="Arial Narrow;sans-serif"/>
                <w:b w:val="false"/>
                <w:color w:val="000000"/>
                <w:sz w:val="14"/>
              </w:rPr>
              <w:t>(in thousands, except number of shares and average price information)</w:t>
            </w:r>
          </w:p>
        </w:tc>
        <w:tc>
          <w:tcPr>
            <w:tcW w:w="2740" w:type="dxa"/>
            <w:gridSpan w:val="6"/>
            <w:tcBorders/>
            <w:shd w:fill="auto" w:val="clear"/>
          </w:tcPr>
          <w:p>
            <w:pPr>
              <w:pStyle w:val="TableContents"/>
              <w:spacing w:before="0" w:after="283"/>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January 1, 2023 through 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218,905 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218,905 </w:t>
            </w:r>
          </w:p>
        </w:tc>
        <w:tc>
          <w:tcPr>
            <w:tcW w:w="7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44,001 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February 1, 2023 through 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83,228 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83,228 </w:t>
            </w:r>
          </w:p>
        </w:tc>
        <w:tc>
          <w:tcPr>
            <w:tcW w:w="7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43,250 </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 2023 through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146,198 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146,198 </w:t>
            </w:r>
          </w:p>
        </w:tc>
        <w:tc>
          <w:tcPr>
            <w:tcW w:w="7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42,001 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Quarter ended March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448,331 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0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448,331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42,001 </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33"/>
        <w:gridCol w:w="118"/>
        <w:gridCol w:w="109"/>
        <w:gridCol w:w="2880"/>
        <w:gridCol w:w="2880"/>
        <w:gridCol w:w="4085"/>
      </w:tblGrid>
      <w:tr>
        <w:trPr/>
        <w:tc>
          <w:tcPr>
            <w:tcW w:w="13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4085" w:type="dxa"/>
            <w:tcBorders/>
            <w:shd w:fill="auto" w:val="clear"/>
            <w:vAlign w:val="center"/>
          </w:tcPr>
          <w:p>
            <w:pPr>
              <w:pStyle w:val="TableContents"/>
              <w:spacing w:before="0" w:after="283"/>
              <w:rPr>
                <w:sz w:val="4"/>
                <w:szCs w:val="4"/>
              </w:rPr>
            </w:pPr>
            <w:r>
              <w:rPr>
                <w:sz w:val="4"/>
                <w:szCs w:val="4"/>
              </w:rPr>
            </w:r>
          </w:p>
        </w:tc>
      </w:tr>
      <w:tr>
        <w:trPr/>
        <w:tc>
          <w:tcPr>
            <w:tcW w:w="2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On May 3, 2022, the Board of Directors approved a share repurchase program, under which we are authorized to repurchase up to $50 million of our Class A Non-Voting common shares over a three-year period. All repurchases under this program were in open market transactions at prevailing market prices and were executed pursuant to a trading plan under Rule 10b5-1 under the Securities Exchange Act of 1934. Execution of the program will be responsive to fluctuating market conditions and valuations, liquidity needs and the expected return on investment compared to other opportunities.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0" w:after="0"/>
        <w:rPr>
          <w:rFonts w:ascii="Arial Narrow;sans-serif" w:hAnsi="Arial Narrow;sans-serif"/>
          <w:b/>
          <w:color w:val="00497F"/>
          <w:sz w:val="28"/>
        </w:rPr>
      </w:pPr>
      <w:r>
        <w:rPr>
          <w:rFonts w:ascii="Arial Narrow;sans-serif" w:hAnsi="Arial Narrow;sans-serif"/>
          <w:b/>
          <w:color w:val="00497F"/>
          <w:sz w:val="28"/>
        </w:rPr>
        <w:t>ITEM 6. EXHIBITS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The following exhibits are filed with, or incorporated by reference into, this report.</w:t>
      </w:r>
    </w:p>
    <w:tbl>
      <w:tblPr>
        <w:tblW w:w="10205" w:type="dxa"/>
        <w:jc w:val="left"/>
        <w:tblInd w:w="0" w:type="dxa"/>
        <w:tblCellMar>
          <w:top w:w="28" w:type="dxa"/>
          <w:left w:w="28" w:type="dxa"/>
          <w:bottom w:w="28" w:type="dxa"/>
          <w:right w:w="28" w:type="dxa"/>
        </w:tblCellMar>
      </w:tblPr>
      <w:tblGrid>
        <w:gridCol w:w="238"/>
        <w:gridCol w:w="209"/>
        <w:gridCol w:w="210"/>
        <w:gridCol w:w="1906"/>
        <w:gridCol w:w="1890"/>
        <w:gridCol w:w="1897"/>
        <w:gridCol w:w="109"/>
        <w:gridCol w:w="109"/>
        <w:gridCol w:w="109"/>
        <w:gridCol w:w="160"/>
        <w:gridCol w:w="160"/>
        <w:gridCol w:w="161"/>
        <w:gridCol w:w="176"/>
        <w:gridCol w:w="158"/>
        <w:gridCol w:w="158"/>
        <w:gridCol w:w="200"/>
        <w:gridCol w:w="200"/>
        <w:gridCol w:w="201"/>
        <w:gridCol w:w="223"/>
        <w:gridCol w:w="223"/>
        <w:gridCol w:w="225"/>
        <w:gridCol w:w="109"/>
        <w:gridCol w:w="109"/>
        <w:gridCol w:w="109"/>
        <w:gridCol w:w="277"/>
        <w:gridCol w:w="277"/>
        <w:gridCol w:w="402"/>
      </w:tblGrid>
      <w:tr>
        <w:trPr/>
        <w:tc>
          <w:tcPr>
            <w:tcW w:w="23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06" w:type="dxa"/>
            <w:tcBorders/>
            <w:shd w:fill="auto" w:val="clear"/>
            <w:vAlign w:val="center"/>
          </w:tcPr>
          <w:p>
            <w:pPr>
              <w:pStyle w:val="TableContents"/>
              <w:spacing w:before="0" w:after="283"/>
              <w:rPr>
                <w:sz w:val="4"/>
                <w:szCs w:val="4"/>
              </w:rPr>
            </w:pPr>
            <w:r>
              <w:rPr>
                <w:sz w:val="4"/>
                <w:szCs w:val="4"/>
              </w:rPr>
            </w:r>
          </w:p>
        </w:tc>
        <w:tc>
          <w:tcPr>
            <w:tcW w:w="1890" w:type="dxa"/>
            <w:tcBorders/>
            <w:shd w:fill="auto" w:val="clear"/>
            <w:vAlign w:val="center"/>
          </w:tcPr>
          <w:p>
            <w:pPr>
              <w:pStyle w:val="TableContents"/>
              <w:spacing w:before="0" w:after="283"/>
              <w:rPr>
                <w:sz w:val="4"/>
                <w:szCs w:val="4"/>
              </w:rPr>
            </w:pPr>
            <w:r>
              <w:rPr>
                <w:sz w:val="4"/>
                <w:szCs w:val="4"/>
              </w:rPr>
            </w:r>
          </w:p>
        </w:tc>
        <w:tc>
          <w:tcPr>
            <w:tcW w:w="18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r>
      <w:tr>
        <w:trPr/>
        <w:tc>
          <w:tcPr>
            <w:tcW w:w="6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Filed Herewith</w:t>
            </w:r>
          </w:p>
        </w:tc>
      </w:tr>
      <w:tr>
        <w:trPr/>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w:t>
            </w:r>
          </w:p>
        </w:tc>
        <w:tc>
          <w:tcPr>
            <w:tcW w:w="56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Description of 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Form</w:t>
            </w:r>
          </w:p>
        </w:tc>
        <w:tc>
          <w:tcPr>
            <w:tcW w:w="4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File No.</w:t>
            </w:r>
          </w:p>
        </w:tc>
        <w:tc>
          <w:tcPr>
            <w:tcW w:w="6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w:t>
            </w:r>
          </w:p>
        </w:tc>
        <w:tc>
          <w:tcPr>
            <w:tcW w:w="6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6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31.1</w:t>
            </w:r>
          </w:p>
        </w:tc>
        <w:tc>
          <w:tcPr>
            <w:tcW w:w="569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a2023-q210xqex311.htm">
              <w:r>
                <w:rPr>
                  <w:rStyle w:val="InternetLink"/>
                  <w:rFonts w:ascii="Arial Narrow;sans-serif" w:hAnsi="Arial Narrow;sans-serif"/>
                  <w:b w:val="false"/>
                  <w:color w:val="0000FF"/>
                  <w:sz w:val="18"/>
                  <w:u w:val="single"/>
                </w:rPr>
                <w:t>Certification of Principal Executive Officer, pursuant to Rule 13a-14(a) under the Securities Exchange Act of 1934</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31.2</w:t>
            </w:r>
          </w:p>
        </w:tc>
        <w:tc>
          <w:tcPr>
            <w:tcW w:w="56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a2023-q210xqex312.htm">
              <w:r>
                <w:rPr>
                  <w:rStyle w:val="InternetLink"/>
                  <w:rFonts w:ascii="Arial Narrow;sans-serif" w:hAnsi="Arial Narrow;sans-serif"/>
                  <w:b w:val="false"/>
                  <w:color w:val="0000FF"/>
                  <w:sz w:val="18"/>
                  <w:u w:val="single"/>
                </w:rPr>
                <w:t>Certification of Principal Financial Officer, pursuant to Rule 13a-14(a) under the Securities Exchange Act of 1934</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32.1†</w:t>
            </w:r>
          </w:p>
        </w:tc>
        <w:tc>
          <w:tcPr>
            <w:tcW w:w="569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a2023-q210xqex321.htm">
              <w:r>
                <w:rPr>
                  <w:rStyle w:val="InternetLink"/>
                  <w:rFonts w:ascii="Arial Narrow;sans-serif" w:hAnsi="Arial Narrow;sans-serif"/>
                  <w:b w:val="false"/>
                  <w:color w:val="0000FF"/>
                  <w:sz w:val="18"/>
                  <w:u w:val="single"/>
                </w:rPr>
                <w:t>Certifications of Principal Executive Officer and Principal Financial Officer, pursuant to 18 U.S.C. Section 1350</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101.INS</w:t>
            </w:r>
          </w:p>
        </w:tc>
        <w:tc>
          <w:tcPr>
            <w:tcW w:w="5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Instance Document (the instance document does not appear in the interactive data files because the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101.SCH</w:t>
            </w:r>
          </w:p>
        </w:tc>
        <w:tc>
          <w:tcPr>
            <w:tcW w:w="5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101.CAL</w:t>
            </w:r>
          </w:p>
        </w:tc>
        <w:tc>
          <w:tcPr>
            <w:tcW w:w="5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101.DEF</w:t>
            </w:r>
          </w:p>
        </w:tc>
        <w:tc>
          <w:tcPr>
            <w:tcW w:w="5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101.LAB</w:t>
            </w:r>
          </w:p>
        </w:tc>
        <w:tc>
          <w:tcPr>
            <w:tcW w:w="5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Labels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101.PRE</w:t>
            </w:r>
          </w:p>
        </w:tc>
        <w:tc>
          <w:tcPr>
            <w:tcW w:w="5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104</w:t>
            </w:r>
          </w:p>
        </w:tc>
        <w:tc>
          <w:tcPr>
            <w:tcW w:w="5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Cover Page Interactive Data File in Inline XBRL format (contained in Exhibit 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39</w:t>
                      </w:r>
                    </w:p>
                  </w:txbxContent>
                </v:textbox>
              </v:rect>
            </w:pict>
          </mc:Fallback>
        </mc:AlternateContent>
      </w:r>
    </w:p>
    <w:p>
      <w:pPr>
        <w:pStyle w:val="TextBody"/>
        <w:spacing w:lineRule="auto" w:line="288" w:before="0" w:after="0"/>
        <w:rPr/>
      </w:pPr>
      <w:hyperlink w:anchor="ia430671202d7408692bf917ba22be14d_7">
        <w:r>
          <w:rPr>
            <w:rStyle w:val="InternetLink"/>
            <w:rFonts w:ascii="Arial Narrow;sans-serif" w:hAnsi="Arial Narrow;sans-serif"/>
            <w:b w:val="false"/>
            <w:color w:val="0000FF"/>
            <w:sz w:val="16"/>
            <w:u w:val="single"/>
          </w:rPr>
          <w:t>Table of Contents</w:t>
        </w:r>
      </w:hyperlink>
    </w:p>
    <w:p>
      <w:pPr>
        <w:pStyle w:val="TextBody"/>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SIGNATURES</w:t>
      </w:r>
    </w:p>
    <w:p>
      <w:pPr>
        <w:pStyle w:val="TextBody"/>
        <w:spacing w:lineRule="auto" w:line="288" w:before="180" w:after="283"/>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tbl>
      <w:tblPr>
        <w:tblW w:w="3596" w:type="dxa"/>
        <w:jc w:val="left"/>
        <w:tblInd w:w="0" w:type="dxa"/>
        <w:tblCellMar>
          <w:top w:w="28" w:type="dxa"/>
          <w:left w:w="28" w:type="dxa"/>
          <w:bottom w:w="28" w:type="dxa"/>
          <w:right w:w="28" w:type="dxa"/>
        </w:tblCellMar>
      </w:tblPr>
      <w:tblGrid>
        <w:gridCol w:w="184"/>
        <w:gridCol w:w="162"/>
        <w:gridCol w:w="164"/>
        <w:gridCol w:w="329"/>
        <w:gridCol w:w="329"/>
        <w:gridCol w:w="331"/>
        <w:gridCol w:w="109"/>
        <w:gridCol w:w="109"/>
        <w:gridCol w:w="109"/>
        <w:gridCol w:w="518"/>
        <w:gridCol w:w="518"/>
        <w:gridCol w:w="734"/>
      </w:tblGrid>
      <w:tr>
        <w:trPr/>
        <w:tc>
          <w:tcPr>
            <w:tcW w:w="18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r>
      <w:tr>
        <w:trPr/>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EZCORP, INC.</w:t>
            </w:r>
          </w:p>
        </w:tc>
      </w:tr>
      <w:tr>
        <w:trPr/>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Date:</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/s/Timothy K. Jugmans</w:t>
            </w:r>
          </w:p>
        </w:tc>
      </w:tr>
      <w:tr>
        <w:trPr/>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br/>
              <w:t xml:space="preserve">Chief Financial Officer </w:t>
            </w:r>
          </w:p>
        </w:tc>
      </w:tr>
      <w:tr>
        <w:trPr/>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240" w:after="283"/>
        <w:jc w:val="right"/>
        <w:rPr/>
      </w:pPr>
      <w:r>
        <w:rPr/>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Certification of Lachlan P. Given, Chief Executive Officer,</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 Securities Exchange Act of 1934,</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before="60" w:after="283"/>
        <w:jc w:val="center"/>
        <w:rPr/>
      </w:pPr>
      <w:r>
        <w:rPr/>
      </w:r>
    </w:p>
    <w:p>
      <w:pPr>
        <w:pStyle w:val="TextBody"/>
        <w:spacing w:before="60" w:after="283"/>
        <w:jc w:val="center"/>
        <w:rPr/>
      </w:pPr>
      <w:r>
        <w:rPr/>
      </w:r>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I, Lachlan P. Given, certify that:</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EZCORP, Inc.;</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3, 2023 </w:t>
      </w:r>
    </w:p>
    <w:p>
      <w:pPr>
        <w:pStyle w:val="TextBody"/>
        <w:spacing w:before="120" w:after="283"/>
        <w:rPr/>
      </w:pPr>
      <w:r>
        <w:rPr/>
      </w:r>
    </w:p>
    <w:tbl>
      <w:tblPr>
        <w:tblW w:w="2405" w:type="dxa"/>
        <w:jc w:val="left"/>
        <w:tblInd w:w="0" w:type="dxa"/>
        <w:tblCellMar>
          <w:top w:w="28" w:type="dxa"/>
          <w:left w:w="28" w:type="dxa"/>
          <w:bottom w:w="28" w:type="dxa"/>
          <w:right w:w="28" w:type="dxa"/>
        </w:tblCellMar>
      </w:tblPr>
      <w:tblGrid>
        <w:gridCol w:w="124"/>
        <w:gridCol w:w="109"/>
        <w:gridCol w:w="109"/>
        <w:gridCol w:w="219"/>
        <w:gridCol w:w="219"/>
        <w:gridCol w:w="219"/>
        <w:gridCol w:w="219"/>
        <w:gridCol w:w="219"/>
        <w:gridCol w:w="219"/>
        <w:gridCol w:w="219"/>
        <w:gridCol w:w="219"/>
        <w:gridCol w:w="31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Lachlan P. Given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Lachlan P. Given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before="100" w:after="283"/>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240" w:after="283"/>
        <w:jc w:val="right"/>
        <w:rPr/>
      </w:pPr>
      <w:r>
        <w:rPr/>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Certification of Timothy K. Jugmans, Chief Financial Officer,</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 Securities Exchange Act of 1934,</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before="60" w:after="283"/>
        <w:rPr/>
      </w:pPr>
      <w:r>
        <w:rPr/>
      </w:r>
    </w:p>
    <w:p>
      <w:pPr>
        <w:pStyle w:val="TextBody"/>
        <w:spacing w:before="60" w:after="283"/>
        <w:rPr/>
      </w:pPr>
      <w:r>
        <w:rPr/>
      </w:r>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I, Timothy K. Jugmans, certify that:</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EZCORP, Inc.;</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120" w:after="283"/>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3, 2023 </w:t>
      </w:r>
    </w:p>
    <w:p>
      <w:pPr>
        <w:pStyle w:val="TextBody"/>
        <w:spacing w:before="120" w:after="283"/>
        <w:rPr/>
      </w:pPr>
      <w:r>
        <w:rPr/>
      </w:r>
    </w:p>
    <w:tbl>
      <w:tblPr>
        <w:tblW w:w="2412" w:type="dxa"/>
        <w:jc w:val="left"/>
        <w:tblInd w:w="0" w:type="dxa"/>
        <w:tblCellMar>
          <w:top w:w="28" w:type="dxa"/>
          <w:left w:w="28" w:type="dxa"/>
          <w:bottom w:w="28" w:type="dxa"/>
          <w:right w:w="28" w:type="dxa"/>
        </w:tblCellMar>
      </w:tblPr>
      <w:tblGrid>
        <w:gridCol w:w="124"/>
        <w:gridCol w:w="109"/>
        <w:gridCol w:w="109"/>
        <w:gridCol w:w="220"/>
        <w:gridCol w:w="220"/>
        <w:gridCol w:w="220"/>
        <w:gridCol w:w="220"/>
        <w:gridCol w:w="220"/>
        <w:gridCol w:w="220"/>
        <w:gridCol w:w="220"/>
        <w:gridCol w:w="220"/>
        <w:gridCol w:w="31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K. Jugmans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K. Jugmans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240" w:after="283"/>
        <w:jc w:val="right"/>
        <w:rPr/>
      </w:pPr>
      <w:r>
        <w:rPr/>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Lachlan P. Given, Chief Executive Officer, and Timothy K. Jugmans, Chief Financial Officer,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 Section 906 of the Sarbanes-Oxley Act of 2002</w:t>
      </w:r>
    </w:p>
    <w:p>
      <w:pPr>
        <w:pStyle w:val="TextBody"/>
        <w:spacing w:before="120" w:after="283"/>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undersigned officers of EZCORP, Inc. hereby certify that (a) EZCORP’s Quarterly Report on Form 10-Q for the quarter ended March 31, 2023,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pStyle w:val="TextBody"/>
        <w:spacing w:before="120" w:after="283"/>
        <w:rPr/>
      </w:pPr>
      <w:r>
        <w:rPr/>
      </w:r>
    </w:p>
    <w:p>
      <w:pPr>
        <w:pStyle w:val="TextBody"/>
        <w:spacing w:before="120" w:after="283"/>
        <w:rPr/>
      </w:pPr>
      <w:r>
        <w:rPr/>
      </w:r>
    </w:p>
    <w:tbl>
      <w:tblPr>
        <w:tblW w:w="3743" w:type="dxa"/>
        <w:jc w:val="left"/>
        <w:tblInd w:w="0" w:type="dxa"/>
        <w:tblCellMar>
          <w:top w:w="28" w:type="dxa"/>
          <w:left w:w="28" w:type="dxa"/>
          <w:bottom w:w="28" w:type="dxa"/>
          <w:right w:w="28" w:type="dxa"/>
        </w:tblCellMar>
      </w:tblPr>
      <w:tblGrid>
        <w:gridCol w:w="607"/>
        <w:gridCol w:w="535"/>
        <w:gridCol w:w="538"/>
        <w:gridCol w:w="219"/>
        <w:gridCol w:w="219"/>
        <w:gridCol w:w="219"/>
        <w:gridCol w:w="219"/>
        <w:gridCol w:w="219"/>
        <w:gridCol w:w="219"/>
        <w:gridCol w:w="219"/>
        <w:gridCol w:w="219"/>
        <w:gridCol w:w="311"/>
      </w:tblGrid>
      <w:tr>
        <w:trPr/>
        <w:tc>
          <w:tcPr>
            <w:tcW w:w="607"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3, 2023 </w:t>
            </w:r>
          </w:p>
        </w:tc>
        <w:tc>
          <w:tcPr>
            <w:tcW w:w="206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Lachlan P. Given</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Lachlan P. Given</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before="100" w:after="283"/>
        <w:rPr/>
      </w:pPr>
      <w:r>
        <w:rPr/>
      </w:r>
    </w:p>
    <w:tbl>
      <w:tblPr>
        <w:tblW w:w="3809" w:type="dxa"/>
        <w:jc w:val="left"/>
        <w:tblInd w:w="0" w:type="dxa"/>
        <w:tblCellMar>
          <w:top w:w="28" w:type="dxa"/>
          <w:left w:w="28" w:type="dxa"/>
          <w:bottom w:w="28" w:type="dxa"/>
          <w:right w:w="28" w:type="dxa"/>
        </w:tblCellMar>
      </w:tblPr>
      <w:tblGrid>
        <w:gridCol w:w="630"/>
        <w:gridCol w:w="553"/>
        <w:gridCol w:w="556"/>
        <w:gridCol w:w="220"/>
        <w:gridCol w:w="220"/>
        <w:gridCol w:w="220"/>
        <w:gridCol w:w="220"/>
        <w:gridCol w:w="220"/>
        <w:gridCol w:w="220"/>
        <w:gridCol w:w="220"/>
        <w:gridCol w:w="220"/>
        <w:gridCol w:w="310"/>
      </w:tblGrid>
      <w:tr>
        <w:trPr/>
        <w:tc>
          <w:tcPr>
            <w:tcW w:w="630"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Date: May 3, 2023 </w:t>
            </w:r>
          </w:p>
        </w:tc>
        <w:tc>
          <w:tcPr>
            <w:tcW w:w="207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K. Jugmans</w:t>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K. Jugmans</w:t>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Narrow">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876523/000087652321000068/ezpw-20210930.htm" TargetMode="External"/><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hyperlink" Target="http://www.sec.gov/ix?doc=/Archives/edgar/data/876523/000087652321000068/ezpw-20210930.htm" TargetMode="External"/><Relationship Id="rId7" Type="http://schemas.openxmlformats.org/officeDocument/2006/relationships/hyperlink" Target="http://www.sec.gov/ix?doc=/Archives/edgar/data/876523/000087652321000068/ezpw-20210930.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18248</Words>
  <CharactersWithSpaces>116894</CharactersWithSpaces>
  <Paragraphs>3840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