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93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939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Munro Shanna</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1901 CAPITAL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EZCORP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EZPW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3"/>
        <w:spacing w:after="0"/>
        <w:rPr>
          <w:sz w:val="20"/>
          <w:szCs w:val="20"/>
          <w:color w:val="auto"/>
        </w:rPr>
      </w:pPr>
      <w:r>
        <w:rPr>
          <w:rFonts w:ascii="Arial" w:cs="Arial" w:eastAsia="Arial" w:hAnsi="Arial"/>
          <w:sz w:val="17"/>
          <w:szCs w:val="17"/>
          <w:color w:val="0000FF"/>
        </w:rPr>
        <w:t>President, CCV Canada</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AUSTIN</w:t>
            </w:r>
          </w:p>
        </w:tc>
        <w:tc>
          <w:tcPr>
            <w:tcW w:w="1140" w:type="dxa"/>
            <w:vAlign w:val="bottom"/>
          </w:tcPr>
          <w:p>
            <w:pPr>
              <w:ind w:left="3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78746</w:t>
            </w:r>
          </w:p>
        </w:tc>
      </w:tr>
      <w:tr>
        <w:trPr>
          <w:trHeight w:val="156"/>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0000FF"/>
                <w:w w:val="99"/>
              </w:rPr>
              <w:t>Non-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20,700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40" w:type="dxa"/>
            <w:vAlign w:val="bottom"/>
          </w:tcPr>
          <w:p>
            <w:pPr>
              <w:jc w:val="right"/>
              <w:ind w:right="198"/>
              <w:spacing w:after="0" w:line="148" w:lineRule="exact"/>
              <w:rPr>
                <w:sz w:val="20"/>
                <w:szCs w:val="20"/>
                <w:color w:val="auto"/>
              </w:rPr>
            </w:pPr>
            <w:r>
              <w:rPr>
                <w:rFonts w:ascii="Arial" w:cs="Arial" w:eastAsia="Arial" w:hAnsi="Arial"/>
                <w:sz w:val="13"/>
                <w:szCs w:val="13"/>
                <w:color w:val="0000FF"/>
              </w:rPr>
              <w:t>02/18/2014</w:t>
            </w:r>
          </w:p>
        </w:tc>
        <w:tc>
          <w:tcPr>
            <w:tcW w:w="1120" w:type="dxa"/>
            <w:vAlign w:val="bottom"/>
          </w:tcPr>
          <w:p>
            <w:pPr>
              <w:spacing w:after="0"/>
              <w:rPr>
                <w:sz w:val="12"/>
                <w:szCs w:val="12"/>
                <w:color w:val="auto"/>
              </w:rPr>
            </w:pPr>
          </w:p>
        </w:tc>
        <w:tc>
          <w:tcPr>
            <w:tcW w:w="8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8" w:lineRule="exact"/>
              <w:rPr>
                <w:sz w:val="20"/>
                <w:szCs w:val="20"/>
                <w:color w:val="auto"/>
              </w:rPr>
            </w:pPr>
            <w:r>
              <w:rPr>
                <w:rFonts w:ascii="Arial" w:cs="Arial" w:eastAsia="Arial" w:hAnsi="Arial"/>
                <w:sz w:val="13"/>
                <w:szCs w:val="13"/>
                <w:color w:val="0000FF"/>
              </w:rPr>
              <w:t>20,700</w:t>
            </w: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0000FF"/>
                <w:w w:val="97"/>
              </w:rPr>
              <w:t>Voting</w:t>
            </w:r>
          </w:p>
        </w:tc>
        <w:tc>
          <w:tcPr>
            <w:tcW w:w="560" w:type="dxa"/>
            <w:vAlign w:val="bottom"/>
            <w:vMerge w:val="continue"/>
          </w:tcPr>
          <w:p>
            <w:pPr>
              <w:spacing w:after="0"/>
              <w:rPr>
                <w:sz w:val="12"/>
                <w:szCs w:val="12"/>
                <w:color w:val="auto"/>
              </w:rPr>
            </w:pPr>
          </w:p>
        </w:tc>
        <w:tc>
          <w:tcPr>
            <w:tcW w:w="720" w:type="dxa"/>
            <w:vAlign w:val="bottom"/>
          </w:tcPr>
          <w:p>
            <w:pPr>
              <w:ind w:lef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300"/>
              <w:spacing w:after="0" w:line="148" w:lineRule="exact"/>
              <w:rPr>
                <w:sz w:val="20"/>
                <w:szCs w:val="20"/>
                <w:color w:val="auto"/>
              </w:rPr>
            </w:pPr>
            <w:r>
              <w:rPr>
                <w:rFonts w:ascii="Arial" w:cs="Arial" w:eastAsia="Arial" w:hAnsi="Arial"/>
                <w:sz w:val="13"/>
                <w:szCs w:val="13"/>
                <w:color w:val="0000FF"/>
              </w:rPr>
              <w:t>20,700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or the equivalent value in cash. The Compensation Committee of the Board of Directors, in its sole and absolute discretion, will determine whether to settle vested units in stock or in cash.</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One-third of the units will vest on each October 1 of 2014, 2015, and 2016, subject to the attainment of specified performance goals.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Laura Jones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02/20/2014</w:t>
            </w:r>
          </w:p>
        </w:tc>
        <w:tc>
          <w:tcPr>
            <w:tcW w:w="0" w:type="dxa"/>
            <w:vAlign w:val="bottom"/>
          </w:tcPr>
          <w:p>
            <w:pPr>
              <w:spacing w:after="0"/>
              <w:rPr>
                <w:sz w:val="1"/>
                <w:szCs w:val="1"/>
                <w:color w:val="auto"/>
              </w:rPr>
            </w:pPr>
          </w:p>
        </w:tc>
      </w:tr>
      <w:tr>
        <w:trPr>
          <w:trHeight w:val="92"/>
        </w:trPr>
        <w:tc>
          <w:tcPr>
            <w:tcW w:w="19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8895"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2020-01-26T03:47:29Z</dcterms:created>
  <dcterms:modified xsi:type="dcterms:W3CDTF">2020-01-26T03:47:29Z</dcterms:modified>
</cp:coreProperties>
</file>