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87" w:lineRule="exact"/>
        <w:rPr>
          <w:sz w:val="24"/>
          <w:szCs w:val="24"/>
          <w:color w:val="auto"/>
        </w:rPr>
      </w:pPr>
    </w:p>
    <w:p>
      <w:pPr>
        <w:ind w:left="4468"/>
        <w:spacing w:after="0"/>
        <w:rPr>
          <w:sz w:val="20"/>
          <w:szCs w:val="20"/>
          <w:color w:val="auto"/>
        </w:rPr>
      </w:pPr>
      <w:r>
        <w:rPr>
          <w:rFonts w:ascii="Courier New" w:cs="Courier New" w:eastAsia="Courier New" w:hAnsi="Courier New"/>
          <w:sz w:val="12"/>
          <w:szCs w:val="12"/>
          <w:b w:val="1"/>
          <w:bCs w:val="1"/>
          <w:color w:val="auto"/>
        </w:rPr>
        <w:t>SECURITIES AND EXCHANGE COMMISSION</w:t>
      </w:r>
    </w:p>
    <w:p>
      <w:pPr>
        <w:spacing w:after="0" w:line="368" w:lineRule="exact"/>
        <w:rPr>
          <w:sz w:val="24"/>
          <w:szCs w:val="24"/>
          <w:color w:val="auto"/>
        </w:rPr>
      </w:pPr>
    </w:p>
    <w:p>
      <w:pPr>
        <w:ind w:left="4908"/>
        <w:spacing w:after="0"/>
        <w:tabs>
          <w:tab w:leader="none" w:pos="6028" w:val="left"/>
        </w:tabs>
        <w:rPr>
          <w:sz w:val="20"/>
          <w:szCs w:val="20"/>
          <w:color w:val="auto"/>
        </w:rPr>
      </w:pPr>
      <w:r>
        <w:rPr>
          <w:rFonts w:ascii="Courier New" w:cs="Courier New" w:eastAsia="Courier New" w:hAnsi="Courier New"/>
          <w:sz w:val="12"/>
          <w:szCs w:val="12"/>
          <w:b w:val="1"/>
          <w:bCs w:val="1"/>
          <w:color w:val="auto"/>
        </w:rPr>
        <w:t>WASHINGTON, DC</w:t>
      </w:r>
      <w:r>
        <w:rPr>
          <w:sz w:val="20"/>
          <w:szCs w:val="20"/>
          <w:color w:val="auto"/>
        </w:rPr>
        <w:tab/>
      </w:r>
      <w:r>
        <w:rPr>
          <w:rFonts w:ascii="Courier New" w:cs="Courier New" w:eastAsia="Courier New" w:hAnsi="Courier New"/>
          <w:sz w:val="11"/>
          <w:szCs w:val="11"/>
          <w:b w:val="1"/>
          <w:bCs w:val="1"/>
          <w:color w:val="auto"/>
        </w:rPr>
        <w:t>20549</w:t>
      </w:r>
    </w:p>
    <w:p>
      <w:pPr>
        <w:spacing w:after="0" w:line="200" w:lineRule="exact"/>
        <w:rPr>
          <w:sz w:val="24"/>
          <w:szCs w:val="24"/>
          <w:color w:val="auto"/>
        </w:rPr>
      </w:pPr>
    </w:p>
    <w:p>
      <w:pPr>
        <w:spacing w:after="0" w:line="303" w:lineRule="exact"/>
        <w:rPr>
          <w:sz w:val="24"/>
          <w:szCs w:val="24"/>
          <w:color w:val="auto"/>
        </w:rPr>
      </w:pPr>
    </w:p>
    <w:p>
      <w:pPr>
        <w:ind w:left="5268"/>
        <w:spacing w:after="0"/>
        <w:rPr>
          <w:sz w:val="20"/>
          <w:szCs w:val="20"/>
          <w:color w:val="auto"/>
        </w:rPr>
      </w:pPr>
      <w:r>
        <w:rPr>
          <w:rFonts w:ascii="Courier New" w:cs="Courier New" w:eastAsia="Courier New" w:hAnsi="Courier New"/>
          <w:sz w:val="12"/>
          <w:szCs w:val="12"/>
          <w:b w:val="1"/>
          <w:bCs w:val="1"/>
          <w:color w:val="auto"/>
        </w:rPr>
        <w:t>FORM 10-Q/A</w:t>
      </w:r>
    </w:p>
    <w:p>
      <w:pPr>
        <w:spacing w:after="0" w:line="200" w:lineRule="exact"/>
        <w:rPr>
          <w:sz w:val="24"/>
          <w:szCs w:val="24"/>
          <w:color w:val="auto"/>
        </w:rPr>
      </w:pPr>
    </w:p>
    <w:p>
      <w:pPr>
        <w:spacing w:after="0" w:line="303" w:lineRule="exact"/>
        <w:rPr>
          <w:sz w:val="24"/>
          <w:szCs w:val="24"/>
          <w:color w:val="auto"/>
        </w:rPr>
      </w:pPr>
    </w:p>
    <w:p>
      <w:pPr>
        <w:ind w:left="5268"/>
        <w:spacing w:after="0"/>
        <w:rPr>
          <w:sz w:val="20"/>
          <w:szCs w:val="20"/>
          <w:color w:val="auto"/>
        </w:rPr>
      </w:pPr>
      <w:r>
        <w:rPr>
          <w:rFonts w:ascii="Courier New" w:cs="Courier New" w:eastAsia="Courier New" w:hAnsi="Courier New"/>
          <w:sz w:val="12"/>
          <w:szCs w:val="12"/>
          <w:b w:val="1"/>
          <w:bCs w:val="1"/>
          <w:color w:val="auto"/>
        </w:rPr>
        <w:t>AMENDMENT 1</w:t>
      </w:r>
    </w:p>
    <w:p>
      <w:pPr>
        <w:spacing w:after="0" w:line="200" w:lineRule="exact"/>
        <w:rPr>
          <w:sz w:val="24"/>
          <w:szCs w:val="24"/>
          <w:color w:val="auto"/>
        </w:rPr>
      </w:pPr>
    </w:p>
    <w:p>
      <w:pPr>
        <w:spacing w:after="0" w:line="30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b w:val="1"/>
          <w:bCs w:val="1"/>
          <w:color w:val="auto"/>
        </w:rPr>
        <w:t>(Mark One)</w:t>
      </w:r>
    </w:p>
    <w:p>
      <w:pPr>
        <w:spacing w:after="0" w:line="200" w:lineRule="exact"/>
        <w:rPr>
          <w:sz w:val="24"/>
          <w:szCs w:val="24"/>
          <w:color w:val="auto"/>
        </w:rPr>
      </w:pPr>
    </w:p>
    <w:p>
      <w:pPr>
        <w:spacing w:after="0" w:line="303" w:lineRule="exact"/>
        <w:rPr>
          <w:sz w:val="24"/>
          <w:szCs w:val="24"/>
          <w:color w:val="auto"/>
        </w:rPr>
      </w:pPr>
    </w:p>
    <w:p>
      <w:pPr>
        <w:ind w:left="288" w:hanging="288"/>
        <w:spacing w:after="0"/>
        <w:tabs>
          <w:tab w:leader="none" w:pos="288" w:val="left"/>
        </w:tabs>
        <w:numPr>
          <w:ilvl w:val="0"/>
          <w:numId w:val="1"/>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QUARTERLY REPORT PURSUANT TO SECTION 13 OR 15(d) OF THE SECURITIES</w:t>
      </w:r>
    </w:p>
    <w:p>
      <w:pPr>
        <w:spacing w:after="0" w:line="200" w:lineRule="exact"/>
        <w:rPr>
          <w:rFonts w:ascii="Courier New" w:cs="Courier New" w:eastAsia="Courier New" w:hAnsi="Courier New"/>
          <w:sz w:val="12"/>
          <w:szCs w:val="12"/>
          <w:b w:val="1"/>
          <w:bCs w:val="1"/>
          <w:color w:val="auto"/>
        </w:rPr>
      </w:pPr>
    </w:p>
    <w:p>
      <w:pPr>
        <w:spacing w:after="0" w:line="303" w:lineRule="exact"/>
        <w:rPr>
          <w:rFonts w:ascii="Courier New" w:cs="Courier New" w:eastAsia="Courier New" w:hAnsi="Courier New"/>
          <w:sz w:val="12"/>
          <w:szCs w:val="12"/>
          <w:b w:val="1"/>
          <w:bCs w:val="1"/>
          <w:color w:val="auto"/>
        </w:rPr>
      </w:pPr>
    </w:p>
    <w:p>
      <w:pPr>
        <w:ind w:left="348"/>
        <w:spacing w:after="0"/>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8"/>
        <w:spacing w:after="0"/>
        <w:rPr>
          <w:sz w:val="20"/>
          <w:szCs w:val="20"/>
          <w:color w:val="auto"/>
        </w:rPr>
      </w:pPr>
      <w:r>
        <w:rPr>
          <w:rFonts w:ascii="Courier New" w:cs="Courier New" w:eastAsia="Courier New" w:hAnsi="Courier New"/>
          <w:sz w:val="12"/>
          <w:szCs w:val="12"/>
          <w:b w:val="1"/>
          <w:bCs w:val="1"/>
          <w:color w:val="auto"/>
        </w:rPr>
        <w:t xml:space="preserve">For the quarterly period ended </w:t>
      </w:r>
      <w:r>
        <w:rPr>
          <w:rFonts w:ascii="Courier New" w:cs="Courier New" w:eastAsia="Courier New" w:hAnsi="Courier New"/>
          <w:sz w:val="12"/>
          <w:szCs w:val="12"/>
          <w:b w:val="1"/>
          <w:bCs w:val="1"/>
          <w:u w:val="single" w:color="auto"/>
          <w:color w:val="auto"/>
        </w:rPr>
        <w:t>December 31, 1999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5588"/>
        <w:spacing w:after="0"/>
        <w:rPr>
          <w:sz w:val="20"/>
          <w:szCs w:val="20"/>
          <w:color w:val="auto"/>
        </w:rPr>
      </w:pPr>
      <w:r>
        <w:rPr>
          <w:rFonts w:ascii="Courier New" w:cs="Courier New" w:eastAsia="Courier New" w:hAnsi="Courier New"/>
          <w:sz w:val="12"/>
          <w:szCs w:val="12"/>
          <w:b w:val="1"/>
          <w:bCs w:val="1"/>
          <w:color w:val="auto"/>
        </w:rPr>
        <w:t>OR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1588" w:hanging="148"/>
        <w:spacing w:after="0"/>
        <w:tabs>
          <w:tab w:leader="none" w:pos="1588" w:val="left"/>
        </w:tabs>
        <w:numPr>
          <w:ilvl w:val="0"/>
          <w:numId w:val="2"/>
        </w:numPr>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]TRANSITION REPORT PURSUANT TO SECTION 13 OR 15(d) OF THE SECURITIES</w:t>
      </w:r>
    </w:p>
    <w:p>
      <w:pPr>
        <w:spacing w:after="0" w:line="368" w:lineRule="exact"/>
        <w:rPr>
          <w:rFonts w:ascii="Courier New" w:cs="Courier New" w:eastAsia="Courier New" w:hAnsi="Courier New"/>
          <w:sz w:val="12"/>
          <w:szCs w:val="12"/>
          <w:b w:val="1"/>
          <w:bCs w:val="1"/>
          <w:color w:val="auto"/>
        </w:rPr>
      </w:pPr>
    </w:p>
    <w:p>
      <w:pPr>
        <w:ind w:left="1648"/>
        <w:spacing w:after="0"/>
        <w:rPr>
          <w:rFonts w:ascii="Courier New" w:cs="Courier New" w:eastAsia="Courier New" w:hAnsi="Courier New"/>
          <w:sz w:val="12"/>
          <w:szCs w:val="12"/>
          <w:b w:val="1"/>
          <w:bCs w:val="1"/>
          <w:color w:val="auto"/>
        </w:rPr>
      </w:pPr>
      <w:r>
        <w:rPr>
          <w:rFonts w:ascii="Courier New" w:cs="Courier New" w:eastAsia="Courier New" w:hAnsi="Courier New"/>
          <w:sz w:val="12"/>
          <w:szCs w:val="12"/>
          <w:b w:val="1"/>
          <w:bCs w:val="1"/>
          <w:color w:val="auto"/>
        </w:rPr>
        <w:t>EXCHANGE ACT OF 1934 [NO FEE REQUIRED]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8"/>
        <w:spacing w:after="0"/>
        <w:rPr>
          <w:sz w:val="20"/>
          <w:szCs w:val="20"/>
          <w:color w:val="auto"/>
        </w:rPr>
      </w:pPr>
      <w:r>
        <w:rPr>
          <w:rFonts w:ascii="Courier New" w:cs="Courier New" w:eastAsia="Courier New" w:hAnsi="Courier New"/>
          <w:sz w:val="12"/>
          <w:szCs w:val="12"/>
          <w:b w:val="1"/>
          <w:bCs w:val="1"/>
          <w:color w:val="auto"/>
        </w:rPr>
        <w:t>For the transition period from ______________ to 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4248"/>
        <w:spacing w:after="0"/>
        <w:rPr>
          <w:sz w:val="20"/>
          <w:szCs w:val="20"/>
          <w:color w:val="auto"/>
        </w:rPr>
      </w:pPr>
      <w:r>
        <w:rPr>
          <w:rFonts w:ascii="Courier New" w:cs="Courier New" w:eastAsia="Courier New" w:hAnsi="Courier New"/>
          <w:sz w:val="12"/>
          <w:szCs w:val="12"/>
          <w:b w:val="1"/>
          <w:bCs w:val="1"/>
          <w:color w:val="auto"/>
        </w:rPr>
        <w:t>Commission File Number _______________</w:t>
      </w:r>
    </w:p>
    <w:p>
      <w:pPr>
        <w:spacing w:after="0" w:line="368" w:lineRule="exact"/>
        <w:rPr>
          <w:sz w:val="24"/>
          <w:szCs w:val="24"/>
          <w:color w:val="auto"/>
        </w:rPr>
      </w:pPr>
    </w:p>
    <w:p>
      <w:pPr>
        <w:ind w:left="4568"/>
        <w:spacing w:after="0"/>
        <w:rPr>
          <w:sz w:val="20"/>
          <w:szCs w:val="20"/>
          <w:color w:val="auto"/>
        </w:rPr>
      </w:pPr>
      <w:r>
        <w:rPr>
          <w:rFonts w:ascii="Courier New" w:cs="Courier New" w:eastAsia="Courier New" w:hAnsi="Courier New"/>
          <w:sz w:val="12"/>
          <w:szCs w:val="12"/>
          <w:b w:val="1"/>
          <w:bCs w:val="1"/>
          <w:color w:val="auto"/>
        </w:rPr>
        <w:t>_______________________________</w:t>
      </w:r>
    </w:p>
    <w:p>
      <w:pPr>
        <w:spacing w:after="0" w:line="200" w:lineRule="exact"/>
        <w:rPr>
          <w:sz w:val="24"/>
          <w:szCs w:val="24"/>
          <w:color w:val="auto"/>
        </w:rPr>
      </w:pPr>
    </w:p>
    <w:p>
      <w:pPr>
        <w:spacing w:after="0" w:line="303" w:lineRule="exact"/>
        <w:rPr>
          <w:sz w:val="24"/>
          <w:szCs w:val="24"/>
          <w:color w:val="auto"/>
        </w:rPr>
      </w:pPr>
    </w:p>
    <w:p>
      <w:pPr>
        <w:ind w:left="5228"/>
        <w:spacing w:after="0"/>
        <w:rPr>
          <w:sz w:val="20"/>
          <w:szCs w:val="20"/>
          <w:color w:val="auto"/>
        </w:rPr>
      </w:pPr>
      <w:r>
        <w:rPr>
          <w:rFonts w:ascii="Courier New" w:cs="Courier New" w:eastAsia="Courier New" w:hAnsi="Courier New"/>
          <w:sz w:val="12"/>
          <w:szCs w:val="12"/>
          <w:b w:val="1"/>
          <w:bCs w:val="1"/>
          <w:color w:val="auto"/>
        </w:rPr>
        <w:t>EZCORP, INC.</w:t>
      </w:r>
    </w:p>
    <w:p>
      <w:pPr>
        <w:spacing w:after="0" w:line="200" w:lineRule="exact"/>
        <w:rPr>
          <w:sz w:val="24"/>
          <w:szCs w:val="24"/>
          <w:color w:val="auto"/>
        </w:rPr>
      </w:pPr>
    </w:p>
    <w:p>
      <w:pPr>
        <w:spacing w:after="0" w:line="303" w:lineRule="exact"/>
        <w:rPr>
          <w:sz w:val="24"/>
          <w:szCs w:val="24"/>
          <w:color w:val="auto"/>
        </w:rPr>
      </w:pPr>
    </w:p>
    <w:p>
      <w:pPr>
        <w:jc w:val="right"/>
        <w:ind w:right="2619"/>
        <w:spacing w:after="0"/>
        <w:rPr>
          <w:sz w:val="20"/>
          <w:szCs w:val="20"/>
          <w:color w:val="auto"/>
        </w:rPr>
      </w:pPr>
      <w:r>
        <w:rPr>
          <w:rFonts w:ascii="Courier New" w:cs="Courier New" w:eastAsia="Courier New" w:hAnsi="Courier New"/>
          <w:sz w:val="12"/>
          <w:szCs w:val="12"/>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4948"/>
        <w:spacing w:after="0"/>
        <w:rPr>
          <w:sz w:val="20"/>
          <w:szCs w:val="20"/>
          <w:color w:val="auto"/>
        </w:rPr>
      </w:pPr>
      <w:r>
        <w:rPr>
          <w:rFonts w:ascii="Courier New" w:cs="Courier New" w:eastAsia="Courier New" w:hAnsi="Courier New"/>
          <w:sz w:val="12"/>
          <w:szCs w:val="12"/>
          <w:b w:val="1"/>
          <w:bCs w:val="1"/>
          <w:color w:val="auto"/>
        </w:rPr>
        <w:t>1901 Capital Parkway</w:t>
      </w:r>
    </w:p>
    <w:p>
      <w:pPr>
        <w:sectPr>
          <w:pgSz w:w="11900" w:h="16838" w:orient="portrait"/>
          <w:cols w:equalWidth="0" w:num="1">
            <w:col w:w="10167"/>
          </w:cols>
          <w:pgMar w:left="292" w:top="1440" w:right="1440" w:bottom="0" w:gutter="0" w:footer="0" w:header="0"/>
        </w:sectPr>
      </w:pPr>
    </w:p>
    <w:bookmarkStart w:id="1" w:name="page2"/>
    <w:bookmarkEnd w:id="1"/>
    <w:p>
      <w:pPr>
        <w:spacing w:after="0" w:line="78" w:lineRule="exact"/>
        <w:rPr>
          <w:sz w:val="20"/>
          <w:szCs w:val="20"/>
          <w:color w:val="auto"/>
        </w:rPr>
      </w:pPr>
    </w:p>
    <w:p>
      <w:pPr>
        <w:jc w:val="center"/>
        <w:ind w:right="80"/>
        <w:spacing w:after="0"/>
        <w:tabs>
          <w:tab w:leader="none" w:pos="120" w:val="left"/>
        </w:tabs>
        <w:rPr>
          <w:sz w:val="20"/>
          <w:szCs w:val="20"/>
          <w:color w:val="auto"/>
        </w:rPr>
      </w:pPr>
      <w:r>
        <w:rPr>
          <w:rFonts w:ascii="Courier New" w:cs="Courier New" w:eastAsia="Courier New" w:hAnsi="Courier New"/>
          <w:sz w:val="12"/>
          <w:szCs w:val="12"/>
          <w:b w:val="1"/>
          <w:bCs w:val="1"/>
          <w:u w:val="single" w:color="auto"/>
          <w:color w:val="auto"/>
        </w:rPr>
        <w:t>Austin, Texas</w:t>
      </w:r>
      <w:r>
        <w:rPr>
          <w:sz w:val="20"/>
          <w:szCs w:val="20"/>
          <w:color w:val="auto"/>
        </w:rPr>
        <w:tab/>
      </w:r>
      <w:r>
        <w:rPr>
          <w:rFonts w:ascii="Courier New" w:cs="Courier New" w:eastAsia="Courier New" w:hAnsi="Courier New"/>
          <w:sz w:val="11"/>
          <w:szCs w:val="11"/>
          <w:b w:val="1"/>
          <w:bCs w:val="1"/>
          <w:u w:val="single" w:color="auto"/>
          <w:color w:val="auto"/>
        </w:rPr>
        <w:t>78746</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b w:val="1"/>
          <w:bCs w:val="1"/>
          <w:color w:val="auto"/>
        </w:rPr>
        <w:t>(Address of principal executive offices)</w:t>
      </w:r>
    </w:p>
    <w:p>
      <w:pPr>
        <w:spacing w:after="0" w:line="36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b w:val="1"/>
          <w:bCs w:val="1"/>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389890</wp:posOffset>
            </wp:positionV>
            <wp:extent cx="444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4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b w:val="1"/>
          <w:bCs w:val="1"/>
          <w:u w:val="single" w:color="auto"/>
          <w:color w:val="auto"/>
        </w:rPr>
        <w:t>(512) 314-3400</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b w:val="1"/>
          <w:bCs w:val="1"/>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389890</wp:posOffset>
            </wp:positionV>
            <wp:extent cx="444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4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b w:val="1"/>
          <w:bCs w:val="1"/>
          <w:u w:val="single" w:color="auto"/>
          <w:color w:val="auto"/>
        </w:rPr>
        <w:t>NA</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b w:val="1"/>
          <w:bCs w:val="1"/>
          <w:color w:val="auto"/>
        </w:rPr>
        <w:t>(Former name, former address and former fiscal year,</w:t>
      </w:r>
    </w:p>
    <w:p>
      <w:pPr>
        <w:spacing w:after="0" w:line="36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b w:val="1"/>
          <w:bCs w:val="1"/>
          <w:color w:val="auto"/>
        </w:rPr>
        <w:t>if changed since last report)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spacing w:after="0" w:line="273" w:lineRule="auto"/>
        <w:rPr>
          <w:sz w:val="20"/>
          <w:szCs w:val="20"/>
          <w:color w:val="auto"/>
        </w:rPr>
      </w:pPr>
      <w:r>
        <w:rPr>
          <w:rFonts w:ascii="Courier New" w:cs="Courier New" w:eastAsia="Courier New" w:hAnsi="Courier New"/>
          <w:sz w:val="11"/>
          <w:szCs w:val="11"/>
          <w:color w:val="auto"/>
        </w:rPr>
        <w:t xml:space="preserve">Indicate by check mark whether the registrant (1) has filed all reports required to be filed by Section 13 or 15(d) of the Securities Exchange Act of 1934 during shorter period that the registrant was required to file such reports), and (2) has been subject to such filing requirements for the past 90 days. Yes </w:t>
      </w:r>
      <w:r>
        <w:rPr>
          <w:rFonts w:ascii="Courier New" w:cs="Courier New" w:eastAsia="Courier New" w:hAnsi="Courier New"/>
          <w:sz w:val="11"/>
          <w:szCs w:val="11"/>
          <w:u w:val="single" w:color="auto"/>
          <w:color w:val="auto"/>
        </w:rPr>
        <w:t>X</w:t>
      </w:r>
      <w:r>
        <w:rPr>
          <w:rFonts w:ascii="Courier New" w:cs="Courier New" w:eastAsia="Courier New" w:hAnsi="Courier New"/>
          <w:sz w:val="11"/>
          <w:szCs w:val="11"/>
          <w:color w:val="auto"/>
        </w:rPr>
        <w:t xml:space="preserve"> No__</w:t>
      </w:r>
    </w:p>
    <w:p>
      <w:pPr>
        <w:spacing w:after="0" w:line="99"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color w:val="auto"/>
        </w:rPr>
        <w:t>APPLICABLE ONLY TO CORPORATE ISSUERS:</w:t>
      </w:r>
    </w:p>
    <w:p>
      <w:pPr>
        <w:spacing w:after="0" w:line="121" w:lineRule="exact"/>
        <w:rPr>
          <w:sz w:val="20"/>
          <w:szCs w:val="20"/>
          <w:color w:val="auto"/>
        </w:rPr>
      </w:pPr>
    </w:p>
    <w:p>
      <w:pPr>
        <w:ind w:right="60"/>
        <w:spacing w:after="0" w:line="235" w:lineRule="auto"/>
        <w:rPr>
          <w:sz w:val="20"/>
          <w:szCs w:val="20"/>
          <w:color w:val="auto"/>
        </w:rPr>
      </w:pPr>
      <w:r>
        <w:rPr>
          <w:rFonts w:ascii="Courier New" w:cs="Courier New" w:eastAsia="Courier New" w:hAnsi="Courier New"/>
          <w:sz w:val="12"/>
          <w:szCs w:val="12"/>
          <w:color w:val="auto"/>
        </w:rPr>
        <w:t>The only class of voting securities of the registrant issued and outstanding is the Class B Voting Common Stock, par value $.01 per share, 100% of which is owned affiliate of the registrant. There is no trading market for the Class B Voting Common Stock.</w:t>
      </w:r>
    </w:p>
    <w:p>
      <w:pPr>
        <w:spacing w:after="0" w:line="121" w:lineRule="exact"/>
        <w:rPr>
          <w:sz w:val="20"/>
          <w:szCs w:val="20"/>
          <w:color w:val="auto"/>
        </w:rPr>
      </w:pPr>
    </w:p>
    <w:p>
      <w:pPr>
        <w:spacing w:after="0" w:line="235" w:lineRule="auto"/>
        <w:rPr>
          <w:sz w:val="20"/>
          <w:szCs w:val="20"/>
          <w:color w:val="auto"/>
        </w:rPr>
      </w:pPr>
      <w:r>
        <w:rPr>
          <w:rFonts w:ascii="Courier New" w:cs="Courier New" w:eastAsia="Courier New" w:hAnsi="Courier New"/>
          <w:sz w:val="12"/>
          <w:szCs w:val="12"/>
          <w:color w:val="auto"/>
        </w:rPr>
        <w:t>As of December 31, 1999, 10,822,010 shares of the registrants Class A Non-voting Common Stock, par value $.01 per share and 1,190,057 shares of the registrants Cl par value $.01 per share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b w:val="1"/>
          <w:bCs w:val="1"/>
          <w:color w:val="auto"/>
        </w:rPr>
        <w:t>EZCORP, INC.</w:t>
      </w:r>
    </w:p>
    <w:p>
      <w:pPr>
        <w:spacing w:after="0" w:line="36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b w:val="1"/>
          <w:bCs w:val="1"/>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540" w:type="dxa"/>
        <w:tblCellMar>
          <w:top w:w="0" w:type="dxa"/>
          <w:left w:w="0" w:type="dxa"/>
          <w:bottom w:w="0" w:type="dxa"/>
          <w:right w:w="0" w:type="dxa"/>
        </w:tblCellMar>
      </w:tblPr>
      <w:tr>
        <w:trPr>
          <w:trHeight w:val="136"/>
        </w:trPr>
        <w:tc>
          <w:tcPr>
            <w:tcW w:w="660" w:type="dxa"/>
            <w:vAlign w:val="bottom"/>
          </w:tcPr>
          <w:p>
            <w:pPr>
              <w:spacing w:after="0"/>
              <w:rPr>
                <w:sz w:val="11"/>
                <w:szCs w:val="11"/>
                <w:color w:val="auto"/>
              </w:rPr>
            </w:pPr>
          </w:p>
        </w:tc>
        <w:tc>
          <w:tcPr>
            <w:tcW w:w="980" w:type="dxa"/>
            <w:vAlign w:val="bottom"/>
            <w:tcBorders>
              <w:bottom w:val="single" w:sz="8" w:color="auto"/>
            </w:tcBorders>
          </w:tcPr>
          <w:p>
            <w:pPr>
              <w:jc w:val="right"/>
              <w:ind w:right="142"/>
              <w:spacing w:after="0"/>
              <w:rPr>
                <w:sz w:val="20"/>
                <w:szCs w:val="20"/>
                <w:color w:val="auto"/>
              </w:rPr>
            </w:pPr>
            <w:r>
              <w:rPr>
                <w:rFonts w:ascii="Courier New" w:cs="Courier New" w:eastAsia="Courier New" w:hAnsi="Courier New"/>
                <w:sz w:val="12"/>
                <w:szCs w:val="12"/>
                <w:b w:val="1"/>
                <w:bCs w:val="1"/>
                <w:color w:val="auto"/>
              </w:rPr>
              <w:t>Delaware</w:t>
            </w:r>
          </w:p>
        </w:tc>
        <w:tc>
          <w:tcPr>
            <w:tcW w:w="134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Courier New" w:cs="Courier New" w:eastAsia="Courier New" w:hAnsi="Courier New"/>
                <w:sz w:val="12"/>
                <w:szCs w:val="12"/>
                <w:b w:val="1"/>
                <w:bCs w:val="1"/>
                <w:color w:val="auto"/>
              </w:rPr>
              <w:t>74-2540145</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1640" w:type="dxa"/>
            <w:vAlign w:val="bottom"/>
            <w:gridSpan w:val="2"/>
          </w:tcPr>
          <w:p>
            <w:pPr>
              <w:jc w:val="right"/>
              <w:ind w:right="462"/>
              <w:spacing w:after="0"/>
              <w:rPr>
                <w:sz w:val="20"/>
                <w:szCs w:val="20"/>
                <w:color w:val="auto"/>
              </w:rPr>
            </w:pPr>
            <w:r>
              <w:rPr>
                <w:rFonts w:ascii="Courier New" w:cs="Courier New" w:eastAsia="Courier New" w:hAnsi="Courier New"/>
                <w:sz w:val="12"/>
                <w:szCs w:val="12"/>
                <w:b w:val="1"/>
                <w:bCs w:val="1"/>
                <w:color w:val="auto"/>
              </w:rPr>
              <w:t>(State or other</w:t>
            </w:r>
          </w:p>
        </w:tc>
        <w:tc>
          <w:tcPr>
            <w:tcW w:w="1340" w:type="dxa"/>
            <w:vAlign w:val="bottom"/>
          </w:tcPr>
          <w:p>
            <w:pPr>
              <w:spacing w:after="0"/>
              <w:rPr>
                <w:sz w:val="23"/>
                <w:szCs w:val="23"/>
                <w:color w:val="auto"/>
              </w:rPr>
            </w:pPr>
          </w:p>
        </w:tc>
        <w:tc>
          <w:tcPr>
            <w:tcW w:w="1320" w:type="dxa"/>
            <w:vAlign w:val="bottom"/>
            <w:gridSpan w:val="2"/>
          </w:tcPr>
          <w:p>
            <w:pPr>
              <w:spacing w:after="0"/>
              <w:rPr>
                <w:sz w:val="20"/>
                <w:szCs w:val="20"/>
                <w:color w:val="auto"/>
              </w:rPr>
            </w:pPr>
            <w:r>
              <w:rPr>
                <w:rFonts w:ascii="Courier New" w:cs="Courier New" w:eastAsia="Courier New" w:hAnsi="Courier New"/>
                <w:sz w:val="12"/>
                <w:szCs w:val="12"/>
                <w:b w:val="1"/>
                <w:bCs w:val="1"/>
                <w:color w:val="auto"/>
              </w:rPr>
              <w:t>(IRS Employer</w:t>
            </w:r>
          </w:p>
        </w:tc>
        <w:tc>
          <w:tcPr>
            <w:tcW w:w="0" w:type="dxa"/>
            <w:vAlign w:val="bottom"/>
          </w:tcPr>
          <w:p>
            <w:pPr>
              <w:spacing w:after="0"/>
              <w:rPr>
                <w:sz w:val="1"/>
                <w:szCs w:val="1"/>
                <w:color w:val="auto"/>
              </w:rPr>
            </w:pPr>
          </w:p>
        </w:tc>
      </w:tr>
      <w:tr>
        <w:trPr>
          <w:trHeight w:val="135"/>
        </w:trPr>
        <w:tc>
          <w:tcPr>
            <w:tcW w:w="1640" w:type="dxa"/>
            <w:vAlign w:val="bottom"/>
            <w:gridSpan w:val="2"/>
          </w:tcPr>
          <w:p>
            <w:pPr>
              <w:jc w:val="right"/>
              <w:ind w:right="462"/>
              <w:spacing w:after="0"/>
              <w:rPr>
                <w:sz w:val="20"/>
                <w:szCs w:val="20"/>
                <w:color w:val="auto"/>
              </w:rPr>
            </w:pPr>
            <w:r>
              <w:rPr>
                <w:rFonts w:ascii="Courier New" w:cs="Courier New" w:eastAsia="Courier New" w:hAnsi="Courier New"/>
                <w:sz w:val="12"/>
                <w:szCs w:val="12"/>
                <w:b w:val="1"/>
                <w:bCs w:val="1"/>
                <w:color w:val="auto"/>
              </w:rPr>
              <w:t>jurisdiction of</w:t>
            </w:r>
          </w:p>
        </w:tc>
        <w:tc>
          <w:tcPr>
            <w:tcW w:w="134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Courier New" w:cs="Courier New" w:eastAsia="Courier New" w:hAnsi="Courier New"/>
                <w:sz w:val="12"/>
                <w:szCs w:val="12"/>
                <w:b w:val="1"/>
                <w:bCs w:val="1"/>
                <w:color w:val="auto"/>
                <w:w w:val="94"/>
              </w:rPr>
              <w:t>Identification No.)</w:t>
            </w:r>
          </w:p>
        </w:tc>
        <w:tc>
          <w:tcPr>
            <w:tcW w:w="0" w:type="dxa"/>
            <w:vAlign w:val="bottom"/>
          </w:tcPr>
          <w:p>
            <w:pPr>
              <w:spacing w:after="0"/>
              <w:rPr>
                <w:sz w:val="1"/>
                <w:szCs w:val="1"/>
                <w:color w:val="auto"/>
              </w:rPr>
            </w:pPr>
          </w:p>
        </w:tc>
      </w:tr>
      <w:tr>
        <w:trPr>
          <w:trHeight w:val="117"/>
        </w:trPr>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40" w:type="dxa"/>
            <w:vAlign w:val="bottom"/>
            <w:gridSpan w:val="2"/>
          </w:tcPr>
          <w:p>
            <w:pPr>
              <w:jc w:val="right"/>
              <w:ind w:right="462"/>
              <w:spacing w:after="0"/>
              <w:rPr>
                <w:sz w:val="20"/>
                <w:szCs w:val="20"/>
                <w:color w:val="auto"/>
              </w:rPr>
            </w:pPr>
            <w:r>
              <w:rPr>
                <w:rFonts w:ascii="Courier New" w:cs="Courier New" w:eastAsia="Courier New" w:hAnsi="Courier New"/>
                <w:sz w:val="12"/>
                <w:szCs w:val="12"/>
                <w:b w:val="1"/>
                <w:bCs w:val="1"/>
                <w:color w:val="auto"/>
                <w:w w:val="95"/>
              </w:rPr>
              <w:t>incorporation or</w:t>
            </w: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gridSpan w:val="2"/>
          </w:tcPr>
          <w:p>
            <w:pPr>
              <w:jc w:val="right"/>
              <w:ind w:right="462"/>
              <w:spacing w:after="0"/>
              <w:rPr>
                <w:sz w:val="20"/>
                <w:szCs w:val="20"/>
                <w:color w:val="auto"/>
              </w:rPr>
            </w:pPr>
            <w:r>
              <w:rPr>
                <w:rFonts w:ascii="Courier New" w:cs="Courier New" w:eastAsia="Courier New" w:hAnsi="Courier New"/>
                <w:sz w:val="12"/>
                <w:szCs w:val="12"/>
                <w:b w:val="1"/>
                <w:bCs w:val="1"/>
                <w:color w:val="auto"/>
              </w:rPr>
              <w:t>organization</w:t>
            </w:r>
          </w:p>
        </w:tc>
        <w:tc>
          <w:tcPr>
            <w:tcW w:w="1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2"/>
          <w:szCs w:val="12"/>
          <w:u w:val="single" w:color="auto"/>
          <w:color w:val="auto"/>
        </w:rPr>
        <w:t>Page</w:t>
      </w:r>
    </w:p>
    <w:p>
      <w:pPr>
        <w:spacing w:after="0" w:line="386" w:lineRule="exact"/>
        <w:rPr>
          <w:sz w:val="20"/>
          <w:szCs w:val="20"/>
          <w:color w:val="auto"/>
        </w:rPr>
      </w:pPr>
    </w:p>
    <w:p>
      <w:pPr>
        <w:ind w:left="60"/>
        <w:spacing w:after="0"/>
        <w:rPr>
          <w:sz w:val="20"/>
          <w:szCs w:val="20"/>
          <w:color w:val="auto"/>
        </w:rPr>
      </w:pPr>
      <w:r>
        <w:rPr>
          <w:rFonts w:ascii="Courier New" w:cs="Courier New" w:eastAsia="Courier New" w:hAnsi="Courier New"/>
          <w:sz w:val="12"/>
          <w:szCs w:val="12"/>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136"/>
        </w:trPr>
        <w:tc>
          <w:tcPr>
            <w:tcW w:w="4620" w:type="dxa"/>
            <w:vAlign w:val="bottom"/>
          </w:tcPr>
          <w:p>
            <w:pPr>
              <w:spacing w:after="0"/>
              <w:rPr>
                <w:sz w:val="20"/>
                <w:szCs w:val="20"/>
                <w:color w:val="auto"/>
              </w:rPr>
            </w:pPr>
            <w:r>
              <w:rPr>
                <w:rFonts w:ascii="Courier New" w:cs="Courier New" w:eastAsia="Courier New" w:hAnsi="Courier New"/>
                <w:sz w:val="12"/>
                <w:szCs w:val="12"/>
                <w:i w:val="1"/>
                <w:iCs w:val="1"/>
                <w:color w:val="auto"/>
              </w:rPr>
              <w:t>Item 1. Financial Statements (Unaudited)</w:t>
            </w:r>
          </w:p>
        </w:tc>
        <w:tc>
          <w:tcPr>
            <w:tcW w:w="160" w:type="dxa"/>
            <w:vAlign w:val="bottom"/>
          </w:tcPr>
          <w:p>
            <w:pPr>
              <w:spacing w:after="0"/>
              <w:rPr>
                <w:sz w:val="11"/>
                <w:szCs w:val="11"/>
                <w:color w:val="auto"/>
              </w:rPr>
            </w:pPr>
          </w:p>
        </w:tc>
      </w:tr>
      <w:tr>
        <w:trPr>
          <w:trHeight w:val="522"/>
        </w:trPr>
        <w:tc>
          <w:tcPr>
            <w:tcW w:w="4620" w:type="dxa"/>
            <w:vAlign w:val="bottom"/>
          </w:tcPr>
          <w:p>
            <w:pPr>
              <w:ind w:left="160"/>
              <w:spacing w:after="0"/>
              <w:rPr>
                <w:sz w:val="20"/>
                <w:szCs w:val="20"/>
                <w:color w:val="auto"/>
              </w:rPr>
            </w:pPr>
            <w:r>
              <w:rPr>
                <w:rFonts w:ascii="Courier New" w:cs="Courier New" w:eastAsia="Courier New" w:hAnsi="Courier New"/>
                <w:sz w:val="12"/>
                <w:szCs w:val="12"/>
                <w:color w:val="auto"/>
                <w:w w:val="99"/>
              </w:rPr>
              <w:t>Condensed Consolidated Balance Sheets as of December 31, 1999,</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135"/>
        </w:trPr>
        <w:tc>
          <w:tcPr>
            <w:tcW w:w="4620" w:type="dxa"/>
            <w:vAlign w:val="bottom"/>
          </w:tcPr>
          <w:p>
            <w:pPr>
              <w:ind w:left="160"/>
              <w:spacing w:after="0"/>
              <w:rPr>
                <w:sz w:val="20"/>
                <w:szCs w:val="20"/>
                <w:color w:val="auto"/>
              </w:rPr>
            </w:pPr>
            <w:r>
              <w:rPr>
                <w:rFonts w:ascii="Courier New" w:cs="Courier New" w:eastAsia="Courier New" w:hAnsi="Courier New"/>
                <w:sz w:val="12"/>
                <w:szCs w:val="12"/>
                <w:color w:val="auto"/>
                <w:w w:val="99"/>
              </w:rPr>
              <w:t>December 31, 1998 and September 30, 1999 . . . . . . . . . . .</w:t>
            </w:r>
          </w:p>
        </w:tc>
        <w:tc>
          <w:tcPr>
            <w:tcW w:w="160" w:type="dxa"/>
            <w:vAlign w:val="bottom"/>
          </w:tcPr>
          <w:p>
            <w:pPr>
              <w:spacing w:after="0"/>
              <w:rPr>
                <w:sz w:val="11"/>
                <w:szCs w:val="11"/>
                <w:color w:val="auto"/>
              </w:rPr>
            </w:pPr>
          </w:p>
        </w:tc>
      </w:tr>
      <w:tr>
        <w:trPr>
          <w:trHeight w:val="135"/>
        </w:trPr>
        <w:tc>
          <w:tcPr>
            <w:tcW w:w="46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r>
      <w:tr>
        <w:trPr>
          <w:trHeight w:val="522"/>
        </w:trPr>
        <w:tc>
          <w:tcPr>
            <w:tcW w:w="4620" w:type="dxa"/>
            <w:vAlign w:val="bottom"/>
          </w:tcPr>
          <w:p>
            <w:pPr>
              <w:ind w:left="160"/>
              <w:spacing w:after="0"/>
              <w:rPr>
                <w:sz w:val="20"/>
                <w:szCs w:val="20"/>
                <w:color w:val="auto"/>
              </w:rPr>
            </w:pPr>
            <w:r>
              <w:rPr>
                <w:rFonts w:ascii="Courier New" w:cs="Courier New" w:eastAsia="Courier New" w:hAnsi="Courier New"/>
                <w:sz w:val="12"/>
                <w:szCs w:val="12"/>
                <w:color w:val="auto"/>
              </w:rPr>
              <w:t>Condensed Consolidated Statements of Operations for the Three</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r>
      <w:tr>
        <w:trPr>
          <w:trHeight w:val="135"/>
        </w:trPr>
        <w:tc>
          <w:tcPr>
            <w:tcW w:w="4620" w:type="dxa"/>
            <w:vAlign w:val="bottom"/>
          </w:tcPr>
          <w:p>
            <w:pPr>
              <w:ind w:left="160"/>
              <w:spacing w:after="0"/>
              <w:rPr>
                <w:sz w:val="20"/>
                <w:szCs w:val="20"/>
                <w:color w:val="auto"/>
              </w:rPr>
            </w:pPr>
            <w:r>
              <w:rPr>
                <w:rFonts w:ascii="Courier New" w:cs="Courier New" w:eastAsia="Courier New" w:hAnsi="Courier New"/>
                <w:sz w:val="12"/>
                <w:szCs w:val="12"/>
                <w:color w:val="auto"/>
              </w:rPr>
              <w:t>Months Ended December 31, 1999 and 1998 . . . . . . . . . . .</w:t>
            </w:r>
          </w:p>
        </w:tc>
        <w:tc>
          <w:tcPr>
            <w:tcW w:w="160" w:type="dxa"/>
            <w:vAlign w:val="bottom"/>
          </w:tcPr>
          <w:p>
            <w:pPr>
              <w:spacing w:after="0"/>
              <w:rPr>
                <w:sz w:val="11"/>
                <w:szCs w:val="11"/>
                <w:color w:val="auto"/>
              </w:rPr>
            </w:pPr>
          </w:p>
        </w:tc>
      </w:tr>
      <w:tr>
        <w:trPr>
          <w:trHeight w:val="135"/>
        </w:trPr>
        <w:tc>
          <w:tcPr>
            <w:tcW w:w="46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r>
      <w:tr>
        <w:trPr>
          <w:trHeight w:val="522"/>
        </w:trPr>
        <w:tc>
          <w:tcPr>
            <w:tcW w:w="4620" w:type="dxa"/>
            <w:vAlign w:val="bottom"/>
          </w:tcPr>
          <w:p>
            <w:pPr>
              <w:ind w:left="160"/>
              <w:spacing w:after="0"/>
              <w:rPr>
                <w:sz w:val="20"/>
                <w:szCs w:val="20"/>
                <w:color w:val="auto"/>
              </w:rPr>
            </w:pPr>
            <w:r>
              <w:rPr>
                <w:rFonts w:ascii="Courier New" w:cs="Courier New" w:eastAsia="Courier New" w:hAnsi="Courier New"/>
                <w:sz w:val="12"/>
                <w:szCs w:val="12"/>
                <w:color w:val="auto"/>
              </w:rPr>
              <w:t>Condensed Consolidated Statements of Cash Flows for the Three</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3</w:t>
            </w:r>
          </w:p>
        </w:tc>
      </w:tr>
      <w:tr>
        <w:trPr>
          <w:trHeight w:val="135"/>
        </w:trPr>
        <w:tc>
          <w:tcPr>
            <w:tcW w:w="4620" w:type="dxa"/>
            <w:vAlign w:val="bottom"/>
          </w:tcPr>
          <w:p>
            <w:pPr>
              <w:ind w:left="160"/>
              <w:spacing w:after="0"/>
              <w:rPr>
                <w:sz w:val="20"/>
                <w:szCs w:val="20"/>
                <w:color w:val="auto"/>
              </w:rPr>
            </w:pPr>
            <w:r>
              <w:rPr>
                <w:rFonts w:ascii="Courier New" w:cs="Courier New" w:eastAsia="Courier New" w:hAnsi="Courier New"/>
                <w:sz w:val="12"/>
                <w:szCs w:val="12"/>
                <w:color w:val="auto"/>
              </w:rPr>
              <w:t>Months Ended December 31, 1999 and 1998 . . . . . . . . . . .</w:t>
            </w:r>
          </w:p>
        </w:tc>
        <w:tc>
          <w:tcPr>
            <w:tcW w:w="160" w:type="dxa"/>
            <w:vAlign w:val="bottom"/>
          </w:tcPr>
          <w:p>
            <w:pPr>
              <w:spacing w:after="0"/>
              <w:rPr>
                <w:sz w:val="11"/>
                <w:szCs w:val="11"/>
                <w:color w:val="auto"/>
              </w:rPr>
            </w:pPr>
          </w:p>
        </w:tc>
      </w:tr>
      <w:tr>
        <w:trPr>
          <w:trHeight w:val="135"/>
        </w:trPr>
        <w:tc>
          <w:tcPr>
            <w:tcW w:w="46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r>
      <w:tr>
        <w:trPr>
          <w:trHeight w:val="135"/>
        </w:trPr>
        <w:tc>
          <w:tcPr>
            <w:tcW w:w="462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r>
    </w:tbl>
    <w:p>
      <w:pPr>
        <w:spacing w:after="0" w:line="386" w:lineRule="exact"/>
        <w:rPr>
          <w:sz w:val="20"/>
          <w:szCs w:val="20"/>
          <w:color w:val="auto"/>
        </w:rPr>
      </w:pPr>
    </w:p>
    <w:p>
      <w:pPr>
        <w:ind w:left="820"/>
        <w:spacing w:after="0"/>
        <w:tabs>
          <w:tab w:leader="none" w:pos="5340" w:val="left"/>
        </w:tabs>
        <w:rPr>
          <w:sz w:val="20"/>
          <w:szCs w:val="20"/>
          <w:color w:val="auto"/>
        </w:rPr>
      </w:pPr>
      <w:r>
        <w:rPr>
          <w:rFonts w:ascii="Courier New" w:cs="Courier New" w:eastAsia="Courier New" w:hAnsi="Courier New"/>
          <w:sz w:val="12"/>
          <w:szCs w:val="12"/>
          <w:color w:val="auto"/>
        </w:rPr>
        <w:t>Notes to Interim Condensed Consolidated Financial Statements .</w:t>
      </w:r>
      <w:r>
        <w:rPr>
          <w:sz w:val="20"/>
          <w:szCs w:val="20"/>
          <w:color w:val="auto"/>
        </w:rPr>
        <w:tab/>
      </w:r>
      <w:r>
        <w:rPr>
          <w:rFonts w:ascii="Courier New" w:cs="Courier New" w:eastAsia="Courier New" w:hAnsi="Courier New"/>
          <w:sz w:val="9"/>
          <w:szCs w:val="9"/>
          <w:color w:val="auto"/>
        </w:rPr>
        <w:t>4</w:t>
      </w:r>
    </w:p>
    <w:p>
      <w:pPr>
        <w:ind w:left="820"/>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820" w:type="dxa"/>
        <w:tblCellMar>
          <w:top w:w="0" w:type="dxa"/>
          <w:left w:w="0" w:type="dxa"/>
          <w:bottom w:w="0" w:type="dxa"/>
          <w:right w:w="0" w:type="dxa"/>
        </w:tblCellMar>
      </w:tblPr>
      <w:tr>
        <w:trPr>
          <w:trHeight w:val="136"/>
        </w:trPr>
        <w:tc>
          <w:tcPr>
            <w:tcW w:w="4220" w:type="dxa"/>
            <w:vAlign w:val="bottom"/>
          </w:tcPr>
          <w:p>
            <w:pPr>
              <w:spacing w:after="0"/>
              <w:rPr>
                <w:sz w:val="20"/>
                <w:szCs w:val="20"/>
                <w:color w:val="auto"/>
              </w:rPr>
            </w:pPr>
            <w:r>
              <w:rPr>
                <w:rFonts w:ascii="Courier New" w:cs="Courier New" w:eastAsia="Courier New" w:hAnsi="Courier New"/>
                <w:sz w:val="12"/>
                <w:szCs w:val="12"/>
                <w:i w:val="1"/>
                <w:iCs w:val="1"/>
                <w:color w:val="auto"/>
              </w:rPr>
              <w:t>Item 2. Managements Discussion and Analysis of Financial</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6</w:t>
            </w:r>
          </w:p>
        </w:tc>
      </w:tr>
    </w:tbl>
    <w:p>
      <w:pPr>
        <w:ind w:left="820"/>
        <w:spacing w:after="0"/>
        <w:rPr>
          <w:sz w:val="20"/>
          <w:szCs w:val="20"/>
          <w:color w:val="auto"/>
        </w:rPr>
      </w:pPr>
      <w:r>
        <w:rPr>
          <w:rFonts w:ascii="Courier New" w:cs="Courier New" w:eastAsia="Courier New" w:hAnsi="Courier New"/>
          <w:sz w:val="12"/>
          <w:szCs w:val="12"/>
          <w:i w:val="1"/>
          <w:iCs w:val="1"/>
          <w:color w:val="auto"/>
        </w:rPr>
        <w:t xml:space="preserve">Condition and Results of Operations </w:t>
      </w:r>
      <w:r>
        <w:rPr>
          <w:rFonts w:ascii="Courier New" w:cs="Courier New" w:eastAsia="Courier New" w:hAnsi="Courier New"/>
          <w:sz w:val="12"/>
          <w:szCs w:val="12"/>
          <w:color w:val="auto"/>
        </w:rPr>
        <w:t>. . . . . . . . . . . . .</w:t>
      </w:r>
    </w:p>
    <w:p>
      <w:pPr>
        <w:ind w:left="820"/>
        <w:spacing w:after="0" w:line="236" w:lineRule="auto"/>
        <w:rPr>
          <w:sz w:val="20"/>
          <w:szCs w:val="20"/>
          <w:color w:val="auto"/>
        </w:rPr>
      </w:pPr>
      <w:r>
        <w:rPr>
          <w:rFonts w:ascii="Courier New" w:cs="Courier New" w:eastAsia="Courier New" w:hAnsi="Courier New"/>
          <w:sz w:val="12"/>
          <w:szCs w:val="12"/>
          <w:color w:val="auto"/>
        </w:rPr>
        <w:t>...............................</w:t>
      </w:r>
    </w:p>
    <w:p>
      <w:pPr>
        <w:ind w:left="820"/>
        <w:spacing w:after="0"/>
        <w:rPr>
          <w:sz w:val="20"/>
          <w:szCs w:val="20"/>
          <w:color w:val="auto"/>
        </w:rPr>
      </w:pPr>
      <w:r>
        <w:rPr>
          <w:rFonts w:ascii="Courier New" w:cs="Courier New" w:eastAsia="Courier New" w:hAnsi="Courier New"/>
          <w:sz w:val="12"/>
          <w:szCs w:val="12"/>
          <w:color w:val="auto"/>
        </w:rPr>
        <w:t>....................</w:t>
      </w:r>
    </w:p>
    <w:p>
      <w:pPr>
        <w:sectPr>
          <w:pgSz w:w="11900" w:h="16916" w:orient="portrait"/>
          <w:cols w:equalWidth="0" w:num="1">
            <w:col w:w="11360"/>
          </w:cols>
          <w:pgMar w:left="300" w:top="13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tabs>
          <w:tab w:leader="none" w:pos="5280" w:val="left"/>
        </w:tabs>
        <w:rPr>
          <w:sz w:val="20"/>
          <w:szCs w:val="20"/>
          <w:color w:val="auto"/>
        </w:rPr>
      </w:pPr>
      <w:r>
        <w:rPr>
          <w:rFonts w:ascii="Courier New" w:cs="Courier New" w:eastAsia="Courier New" w:hAnsi="Courier New"/>
          <w:sz w:val="12"/>
          <w:szCs w:val="12"/>
          <w:color w:val="auto"/>
        </w:rPr>
        <w:t>PARTII.OTHERINFORMATION......................</w:t>
      </w:r>
      <w:r>
        <w:rPr>
          <w:sz w:val="20"/>
          <w:szCs w:val="20"/>
          <w:color w:val="auto"/>
        </w:rPr>
        <w:tab/>
      </w:r>
      <w:r>
        <w:rPr>
          <w:rFonts w:ascii="Courier New" w:cs="Courier New" w:eastAsia="Courier New" w:hAnsi="Courier New"/>
          <w:sz w:val="11"/>
          <w:szCs w:val="11"/>
          <w:color w:val="auto"/>
        </w:rPr>
        <w:t>11</w:t>
      </w:r>
    </w:p>
    <w:p>
      <w:pPr>
        <w:sectPr>
          <w:pgSz w:w="11900" w:h="16916" w:orient="portrait"/>
          <w:cols w:equalWidth="0" w:num="1">
            <w:col w:w="11360"/>
          </w:cols>
          <w:pgMar w:left="300" w:top="137" w:right="239" w:bottom="0" w:gutter="0" w:footer="0" w:header="0"/>
          <w:type w:val="continuous"/>
        </w:sectPr>
      </w:pPr>
    </w:p>
    <w:bookmarkStart w:id="2" w:name="page3"/>
    <w:bookmarkEnd w:id="2"/>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pacing w:after="0" w:line="375" w:lineRule="exact"/>
        <w:rPr>
          <w:sz w:val="20"/>
          <w:szCs w:val="20"/>
          <w:color w:val="auto"/>
        </w:rPr>
      </w:pPr>
    </w:p>
    <w:p>
      <w:pPr>
        <w:ind w:left="5380"/>
        <w:spacing w:after="0"/>
        <w:rPr>
          <w:sz w:val="20"/>
          <w:szCs w:val="20"/>
          <w:color w:val="auto"/>
        </w:rPr>
      </w:pPr>
      <w:r>
        <w:rPr>
          <w:rFonts w:ascii="Courier New" w:cs="Courier New" w:eastAsia="Courier New" w:hAnsi="Courier New"/>
          <w:sz w:val="12"/>
          <w:szCs w:val="12"/>
          <w:b w:val="1"/>
          <w:bCs w:val="1"/>
          <w:color w:val="auto"/>
        </w:rPr>
        <w:t>PART I</w:t>
      </w:r>
    </w:p>
    <w:p>
      <w:pPr>
        <w:spacing w:after="0" w:line="200" w:lineRule="exact"/>
        <w:rPr>
          <w:sz w:val="20"/>
          <w:szCs w:val="20"/>
          <w:color w:val="auto"/>
        </w:rPr>
      </w:pPr>
    </w:p>
    <w:p>
      <w:pPr>
        <w:spacing w:after="0" w:line="245" w:lineRule="exact"/>
        <w:rPr>
          <w:sz w:val="20"/>
          <w:szCs w:val="20"/>
          <w:color w:val="auto"/>
        </w:rPr>
      </w:pPr>
    </w:p>
    <w:p>
      <w:pPr>
        <w:ind w:right="4719"/>
        <w:spacing w:after="0"/>
        <w:rPr>
          <w:sz w:val="20"/>
          <w:szCs w:val="20"/>
          <w:color w:val="auto"/>
        </w:rPr>
      </w:pPr>
      <w:r>
        <w:rPr>
          <w:rFonts w:ascii="Courier New" w:cs="Courier New" w:eastAsia="Courier New" w:hAnsi="Courier New"/>
          <w:sz w:val="12"/>
          <w:szCs w:val="12"/>
          <w:color w:val="auto"/>
        </w:rPr>
        <w:t>SIGNATURE............................... 12 .................................... ......</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color w:val="auto"/>
        </w:rPr>
        <w:t>Item 1. Financial Statements (Unaudited)</w:t>
      </w:r>
    </w:p>
    <w:p>
      <w:pPr>
        <w:spacing w:after="0" w:line="125"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EZCORP, Inc. and Subsidiaries</w:t>
      </w:r>
    </w:p>
    <w:p>
      <w:pPr>
        <w:spacing w:after="0" w:line="125"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595630</wp:posOffset>
            </wp:positionV>
            <wp:extent cx="3771900" cy="8115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1900" cy="811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0" w:type="dxa"/>
        <w:tblCellMar>
          <w:top w:w="0" w:type="dxa"/>
          <w:left w:w="0" w:type="dxa"/>
          <w:bottom w:w="0" w:type="dxa"/>
          <w:right w:w="0" w:type="dxa"/>
        </w:tblCellMar>
      </w:tblPr>
      <w:tr>
        <w:trPr>
          <w:trHeight w:val="136"/>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5"/>
          </w:tcPr>
          <w:p>
            <w:pPr>
              <w:ind w:left="140"/>
              <w:spacing w:after="0"/>
              <w:rPr>
                <w:sz w:val="20"/>
                <w:szCs w:val="20"/>
                <w:color w:val="auto"/>
              </w:rPr>
            </w:pPr>
            <w:r>
              <w:rPr>
                <w:rFonts w:ascii="Courier New" w:cs="Courier New" w:eastAsia="Courier New" w:hAnsi="Courier New"/>
                <w:sz w:val="12"/>
                <w:szCs w:val="12"/>
                <w:color w:val="auto"/>
              </w:rPr>
              <w:t>December</w:t>
            </w:r>
          </w:p>
        </w:tc>
        <w:tc>
          <w:tcPr>
            <w:tcW w:w="20" w:type="dxa"/>
            <w:vAlign w:val="bottom"/>
          </w:tcPr>
          <w:p>
            <w:pPr>
              <w:spacing w:after="0"/>
              <w:rPr>
                <w:sz w:val="11"/>
                <w:szCs w:val="11"/>
                <w:color w:val="auto"/>
              </w:rPr>
            </w:pPr>
          </w:p>
        </w:tc>
        <w:tc>
          <w:tcPr>
            <w:tcW w:w="960" w:type="dxa"/>
            <w:vAlign w:val="bottom"/>
            <w:gridSpan w:val="6"/>
          </w:tcPr>
          <w:p>
            <w:pPr>
              <w:jc w:val="center"/>
              <w:ind w:left="2"/>
              <w:spacing w:after="0"/>
              <w:rPr>
                <w:sz w:val="20"/>
                <w:szCs w:val="20"/>
                <w:color w:val="auto"/>
              </w:rPr>
            </w:pPr>
            <w:r>
              <w:rPr>
                <w:rFonts w:ascii="Courier New" w:cs="Courier New" w:eastAsia="Courier New" w:hAnsi="Courier New"/>
                <w:sz w:val="12"/>
                <w:szCs w:val="12"/>
                <w:color w:val="auto"/>
                <w:w w:val="99"/>
              </w:rPr>
              <w:t>December 31,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8"/>
          </w:tcPr>
          <w:p>
            <w:pPr>
              <w:jc w:val="right"/>
              <w:ind w:right="120"/>
              <w:spacing w:after="0"/>
              <w:rPr>
                <w:sz w:val="20"/>
                <w:szCs w:val="20"/>
                <w:color w:val="auto"/>
              </w:rPr>
            </w:pPr>
            <w:r>
              <w:rPr>
                <w:rFonts w:ascii="Courier New" w:cs="Courier New" w:eastAsia="Courier New" w:hAnsi="Courier New"/>
                <w:sz w:val="12"/>
                <w:szCs w:val="12"/>
                <w:color w:val="auto"/>
              </w:rPr>
              <w:t>September 30,</w:t>
            </w:r>
          </w:p>
        </w:tc>
      </w:tr>
      <w:tr>
        <w:trPr>
          <w:trHeight w:val="135"/>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60" w:type="dxa"/>
            <w:vAlign w:val="bottom"/>
            <w:gridSpan w:val="3"/>
          </w:tcPr>
          <w:p>
            <w:pPr>
              <w:jc w:val="right"/>
              <w:ind w:right="220"/>
              <w:spacing w:after="0"/>
              <w:rPr>
                <w:sz w:val="20"/>
                <w:szCs w:val="20"/>
                <w:color w:val="auto"/>
              </w:rPr>
            </w:pPr>
            <w:r>
              <w:rPr>
                <w:rFonts w:ascii="Courier New" w:cs="Courier New" w:eastAsia="Courier New" w:hAnsi="Courier New"/>
                <w:sz w:val="12"/>
                <w:szCs w:val="12"/>
                <w:color w:val="auto"/>
              </w:rPr>
              <w:t>31,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60" w:type="dxa"/>
            <w:vAlign w:val="bottom"/>
            <w:gridSpan w:val="3"/>
          </w:tcPr>
          <w:p>
            <w:pPr>
              <w:jc w:val="right"/>
              <w:ind w:right="180"/>
              <w:spacing w:after="0"/>
              <w:rPr>
                <w:sz w:val="20"/>
                <w:szCs w:val="20"/>
                <w:color w:val="auto"/>
              </w:rPr>
            </w:pPr>
            <w:r>
              <w:rPr>
                <w:rFonts w:ascii="Courier New" w:cs="Courier New" w:eastAsia="Courier New" w:hAnsi="Courier New"/>
                <w:sz w:val="12"/>
                <w:szCs w:val="12"/>
                <w:color w:val="auto"/>
              </w:rPr>
              <w:t>1999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300"/>
              <w:spacing w:after="0"/>
              <w:rPr>
                <w:sz w:val="20"/>
                <w:szCs w:val="20"/>
                <w:color w:val="auto"/>
              </w:rPr>
            </w:pPr>
            <w:r>
              <w:rPr>
                <w:rFonts w:ascii="Courier New" w:cs="Courier New" w:eastAsia="Courier New" w:hAnsi="Courier New"/>
                <w:sz w:val="12"/>
                <w:szCs w:val="12"/>
                <w:color w:val="auto"/>
              </w:rPr>
              <w:t>1998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97"/>
              </w:rPr>
              <w:t>1999</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2400" w:type="dxa"/>
            <w:vAlign w:val="bottom"/>
            <w:gridSpan w:val="4"/>
          </w:tcPr>
          <w:p>
            <w:pPr>
              <w:ind w:left="80"/>
              <w:spacing w:after="0"/>
              <w:rPr>
                <w:sz w:val="20"/>
                <w:szCs w:val="20"/>
                <w:color w:val="auto"/>
              </w:rPr>
            </w:pPr>
            <w:r>
              <w:rPr>
                <w:rFonts w:ascii="Courier New" w:cs="Courier New" w:eastAsia="Courier New" w:hAnsi="Courier New"/>
                <w:sz w:val="12"/>
                <w:szCs w:val="12"/>
                <w:color w:val="auto"/>
              </w:rPr>
              <w:t>Assets:</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9"/>
          </w:tcPr>
          <w:p>
            <w:pPr>
              <w:jc w:val="right"/>
              <w:ind w:right="240"/>
              <w:spacing w:after="0"/>
              <w:rPr>
                <w:sz w:val="20"/>
                <w:szCs w:val="20"/>
                <w:color w:val="auto"/>
              </w:rPr>
            </w:pPr>
            <w:r>
              <w:rPr>
                <w:rFonts w:ascii="Courier New" w:cs="Courier New" w:eastAsia="Courier New" w:hAnsi="Courier New"/>
                <w:sz w:val="12"/>
                <w:szCs w:val="12"/>
                <w:i w:val="1"/>
                <w:iCs w:val="1"/>
                <w:color w:val="auto"/>
              </w:rPr>
              <w:t>(In thousands)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0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Current assets:</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Cash and cash</w:t>
            </w:r>
          </w:p>
        </w:tc>
        <w:tc>
          <w:tcPr>
            <w:tcW w:w="840" w:type="dxa"/>
            <w:vAlign w:val="bottom"/>
            <w:gridSpan w:val="5"/>
          </w:tcPr>
          <w:p>
            <w:pPr>
              <w:jc w:val="right"/>
              <w:ind w:right="40"/>
              <w:spacing w:after="0"/>
              <w:rPr>
                <w:sz w:val="20"/>
                <w:szCs w:val="20"/>
                <w:color w:val="auto"/>
              </w:rPr>
            </w:pPr>
            <w:r>
              <w:rPr>
                <w:rFonts w:ascii="Courier New" w:cs="Courier New" w:eastAsia="Courier New" w:hAnsi="Courier New"/>
                <w:sz w:val="12"/>
                <w:szCs w:val="12"/>
                <w:color w:val="auto"/>
              </w:rPr>
              <w:t>$ 3,263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$ 2,792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$ 2,899</w:t>
            </w:r>
          </w:p>
        </w:tc>
      </w:tr>
      <w:tr>
        <w:trPr>
          <w:trHeight w:val="135"/>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equivalents</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Pawn loans</w:t>
            </w:r>
          </w:p>
        </w:tc>
        <w:tc>
          <w:tcPr>
            <w:tcW w:w="840" w:type="dxa"/>
            <w:vAlign w:val="bottom"/>
            <w:gridSpan w:val="5"/>
          </w:tcPr>
          <w:p>
            <w:pPr>
              <w:jc w:val="right"/>
              <w:ind w:right="40"/>
              <w:spacing w:after="0"/>
              <w:rPr>
                <w:sz w:val="20"/>
                <w:szCs w:val="20"/>
                <w:color w:val="auto"/>
              </w:rPr>
            </w:pPr>
            <w:r>
              <w:rPr>
                <w:rFonts w:ascii="Courier New" w:cs="Courier New" w:eastAsia="Courier New" w:hAnsi="Courier New"/>
                <w:sz w:val="12"/>
                <w:szCs w:val="12"/>
                <w:color w:val="auto"/>
              </w:rPr>
              <w:t>46,923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48,490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53,940</w:t>
            </w: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Service charges</w:t>
            </w:r>
          </w:p>
        </w:tc>
        <w:tc>
          <w:tcPr>
            <w:tcW w:w="840" w:type="dxa"/>
            <w:vAlign w:val="bottom"/>
            <w:gridSpan w:val="5"/>
          </w:tcPr>
          <w:p>
            <w:pPr>
              <w:jc w:val="right"/>
              <w:ind w:right="40"/>
              <w:spacing w:after="0"/>
              <w:rPr>
                <w:sz w:val="20"/>
                <w:szCs w:val="20"/>
                <w:color w:val="auto"/>
              </w:rPr>
            </w:pPr>
            <w:r>
              <w:rPr>
                <w:rFonts w:ascii="Courier New" w:cs="Courier New" w:eastAsia="Courier New" w:hAnsi="Courier New"/>
                <w:sz w:val="12"/>
                <w:szCs w:val="12"/>
                <w:color w:val="auto"/>
              </w:rPr>
              <w:t>14,660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14,800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16,671</w:t>
            </w:r>
          </w:p>
        </w:tc>
      </w:tr>
      <w:tr>
        <w:trPr>
          <w:trHeight w:val="135"/>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receivable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Inventory, net</w:t>
            </w:r>
          </w:p>
        </w:tc>
        <w:tc>
          <w:tcPr>
            <w:tcW w:w="840" w:type="dxa"/>
            <w:vAlign w:val="bottom"/>
            <w:gridSpan w:val="5"/>
          </w:tcPr>
          <w:p>
            <w:pPr>
              <w:jc w:val="right"/>
              <w:ind w:right="40"/>
              <w:spacing w:after="0"/>
              <w:rPr>
                <w:sz w:val="20"/>
                <w:szCs w:val="20"/>
                <w:color w:val="auto"/>
              </w:rPr>
            </w:pPr>
            <w:r>
              <w:rPr>
                <w:rFonts w:ascii="Courier New" w:cs="Courier New" w:eastAsia="Courier New" w:hAnsi="Courier New"/>
                <w:sz w:val="12"/>
                <w:szCs w:val="12"/>
                <w:color w:val="auto"/>
              </w:rPr>
              <w:t>61,032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49,245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58,241</w:t>
            </w: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Deferred tax asset</w:t>
            </w:r>
          </w:p>
        </w:tc>
        <w:tc>
          <w:tcPr>
            <w:tcW w:w="840" w:type="dxa"/>
            <w:vAlign w:val="bottom"/>
            <w:gridSpan w:val="5"/>
          </w:tcPr>
          <w:p>
            <w:pPr>
              <w:jc w:val="right"/>
              <w:ind w:right="40"/>
              <w:spacing w:after="0"/>
              <w:rPr>
                <w:sz w:val="20"/>
                <w:szCs w:val="20"/>
                <w:color w:val="auto"/>
              </w:rPr>
            </w:pPr>
            <w:r>
              <w:rPr>
                <w:rFonts w:ascii="Courier New" w:cs="Courier New" w:eastAsia="Courier New" w:hAnsi="Courier New"/>
                <w:sz w:val="12"/>
                <w:szCs w:val="12"/>
                <w:color w:val="auto"/>
              </w:rPr>
              <w:t>1,824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1,882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1,824</w:t>
            </w: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Federal income tax</w:t>
            </w:r>
          </w:p>
        </w:tc>
        <w:tc>
          <w:tcPr>
            <w:tcW w:w="840" w:type="dxa"/>
            <w:vAlign w:val="bottom"/>
            <w:gridSpan w:val="5"/>
          </w:tcPr>
          <w:p>
            <w:pPr>
              <w:jc w:val="right"/>
              <w:ind w:right="40"/>
              <w:spacing w:after="0"/>
              <w:rPr>
                <w:sz w:val="20"/>
                <w:szCs w:val="20"/>
                <w:color w:val="auto"/>
              </w:rPr>
            </w:pPr>
            <w:r>
              <w:rPr>
                <w:rFonts w:ascii="Courier New" w:cs="Courier New" w:eastAsia="Courier New" w:hAnsi="Courier New"/>
                <w:sz w:val="12"/>
                <w:szCs w:val="12"/>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1,695</w:t>
            </w:r>
          </w:p>
        </w:tc>
      </w:tr>
      <w:tr>
        <w:trPr>
          <w:trHeight w:val="135"/>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receivable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71"/>
        </w:trPr>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Prepaid expenses and</w:t>
            </w:r>
          </w:p>
        </w:tc>
        <w:tc>
          <w:tcPr>
            <w:tcW w:w="840" w:type="dxa"/>
            <w:vAlign w:val="bottom"/>
            <w:gridSpan w:val="5"/>
          </w:tcPr>
          <w:p>
            <w:pPr>
              <w:jc w:val="right"/>
              <w:ind w:right="40"/>
              <w:spacing w:after="0"/>
              <w:rPr>
                <w:sz w:val="20"/>
                <w:szCs w:val="20"/>
                <w:color w:val="auto"/>
              </w:rPr>
            </w:pPr>
            <w:r>
              <w:rPr>
                <w:rFonts w:ascii="Courier New" w:cs="Courier New" w:eastAsia="Courier New" w:hAnsi="Courier New"/>
                <w:sz w:val="12"/>
                <w:szCs w:val="12"/>
                <w:color w:val="auto"/>
              </w:rPr>
              <w:t>3,781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3,009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3,787</w:t>
            </w:r>
          </w:p>
        </w:tc>
      </w:tr>
      <w:tr>
        <w:trPr>
          <w:trHeight w:val="140"/>
        </w:trPr>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other assets</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2"/>
                <w:szCs w:val="12"/>
                <w:color w:val="auto"/>
              </w:rPr>
              <w:t>Total current</w:t>
            </w:r>
          </w:p>
        </w:tc>
        <w:tc>
          <w:tcPr>
            <w:tcW w:w="840" w:type="dxa"/>
            <w:vAlign w:val="bottom"/>
            <w:gridSpan w:val="5"/>
          </w:tcPr>
          <w:p>
            <w:pPr>
              <w:jc w:val="right"/>
              <w:ind w:right="40"/>
              <w:spacing w:after="0"/>
              <w:rPr>
                <w:sz w:val="20"/>
                <w:szCs w:val="20"/>
                <w:color w:val="auto"/>
              </w:rPr>
            </w:pPr>
            <w:r>
              <w:rPr>
                <w:rFonts w:ascii="Courier New" w:cs="Courier New" w:eastAsia="Courier New" w:hAnsi="Courier New"/>
                <w:sz w:val="12"/>
                <w:szCs w:val="12"/>
                <w:color w:val="auto"/>
              </w:rPr>
              <w:t>131,483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120,218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139,057</w:t>
            </w:r>
          </w:p>
        </w:tc>
      </w:tr>
      <w:tr>
        <w:trPr>
          <w:trHeight w:val="135"/>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2"/>
                <w:szCs w:val="12"/>
                <w:color w:val="auto"/>
              </w:rPr>
              <w:t>assets</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68"/>
        </w:trPr>
        <w:tc>
          <w:tcPr>
            <w:tcW w:w="320" w:type="dxa"/>
            <w:vAlign w:val="bottom"/>
            <w:tcBorders>
              <w:bottom w:val="single" w:sz="8" w:color="2C2C2C"/>
            </w:tcBorders>
          </w:tcPr>
          <w:p>
            <w:pPr>
              <w:spacing w:after="0"/>
              <w:rPr>
                <w:sz w:val="23"/>
                <w:szCs w:val="23"/>
                <w:color w:val="auto"/>
              </w:rPr>
            </w:pPr>
          </w:p>
        </w:tc>
        <w:tc>
          <w:tcPr>
            <w:tcW w:w="2080" w:type="dxa"/>
            <w:vAlign w:val="bottom"/>
            <w:tcBorders>
              <w:bottom w:val="single" w:sz="8" w:color="2C2C2C"/>
            </w:tcBorders>
            <w:gridSpan w:val="3"/>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r>
      <w:tr>
        <w:trPr>
          <w:trHeight w:val="196"/>
        </w:trPr>
        <w:tc>
          <w:tcPr>
            <w:tcW w:w="320" w:type="dxa"/>
            <w:vAlign w:val="bottom"/>
          </w:tcPr>
          <w:p>
            <w:pPr>
              <w:spacing w:after="0"/>
              <w:rPr>
                <w:sz w:val="17"/>
                <w:szCs w:val="17"/>
                <w:color w:val="auto"/>
              </w:rPr>
            </w:pPr>
          </w:p>
        </w:tc>
        <w:tc>
          <w:tcPr>
            <w:tcW w:w="20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Investment in</w:t>
            </w:r>
          </w:p>
        </w:tc>
        <w:tc>
          <w:tcPr>
            <w:tcW w:w="840" w:type="dxa"/>
            <w:vAlign w:val="bottom"/>
            <w:gridSpan w:val="5"/>
          </w:tcPr>
          <w:p>
            <w:pPr>
              <w:jc w:val="right"/>
              <w:ind w:right="40"/>
              <w:spacing w:after="0"/>
              <w:rPr>
                <w:sz w:val="20"/>
                <w:szCs w:val="20"/>
                <w:color w:val="auto"/>
              </w:rPr>
            </w:pPr>
            <w:r>
              <w:rPr>
                <w:rFonts w:ascii="Courier New" w:cs="Courier New" w:eastAsia="Courier New" w:hAnsi="Courier New"/>
                <w:sz w:val="12"/>
                <w:szCs w:val="12"/>
                <w:color w:val="auto"/>
              </w:rPr>
              <w:t>13,292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13,116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13,195</w:t>
            </w:r>
          </w:p>
        </w:tc>
      </w:tr>
      <w:tr>
        <w:trPr>
          <w:trHeight w:val="135"/>
        </w:trPr>
        <w:tc>
          <w:tcPr>
            <w:tcW w:w="320" w:type="dxa"/>
            <w:vAlign w:val="bottom"/>
          </w:tcPr>
          <w:p>
            <w:pPr>
              <w:spacing w:after="0"/>
              <w:rPr>
                <w:sz w:val="11"/>
                <w:szCs w:val="11"/>
                <w:color w:val="auto"/>
              </w:rPr>
            </w:pPr>
          </w:p>
        </w:tc>
        <w:tc>
          <w:tcPr>
            <w:tcW w:w="20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unconsolidated affiliate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0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Property and equipment, net</w:t>
            </w:r>
          </w:p>
        </w:tc>
        <w:tc>
          <w:tcPr>
            <w:tcW w:w="840" w:type="dxa"/>
            <w:vAlign w:val="bottom"/>
            <w:gridSpan w:val="5"/>
          </w:tcPr>
          <w:p>
            <w:pPr>
              <w:jc w:val="right"/>
              <w:ind w:right="40"/>
              <w:spacing w:after="0"/>
              <w:rPr>
                <w:sz w:val="20"/>
                <w:szCs w:val="20"/>
                <w:color w:val="auto"/>
              </w:rPr>
            </w:pPr>
            <w:r>
              <w:rPr>
                <w:rFonts w:ascii="Courier New" w:cs="Courier New" w:eastAsia="Courier New" w:hAnsi="Courier New"/>
                <w:sz w:val="12"/>
                <w:szCs w:val="12"/>
                <w:color w:val="auto"/>
              </w:rPr>
              <w:t>62,028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49,027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60,608</w:t>
            </w:r>
          </w:p>
        </w:tc>
      </w:tr>
      <w:tr>
        <w:trPr>
          <w:trHeight w:val="72"/>
        </w:trPr>
        <w:tc>
          <w:tcPr>
            <w:tcW w:w="3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0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Other assets:</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Goodwill, net</w:t>
            </w:r>
          </w:p>
        </w:tc>
        <w:tc>
          <w:tcPr>
            <w:tcW w:w="1200" w:type="dxa"/>
            <w:vAlign w:val="bottom"/>
            <w:gridSpan w:val="10"/>
          </w:tcPr>
          <w:p>
            <w:pPr>
              <w:jc w:val="right"/>
              <w:ind w:right="80"/>
              <w:spacing w:after="0"/>
              <w:rPr>
                <w:sz w:val="20"/>
                <w:szCs w:val="20"/>
                <w:color w:val="auto"/>
              </w:rPr>
            </w:pPr>
            <w:r>
              <w:rPr>
                <w:rFonts w:ascii="Courier New" w:cs="Courier New" w:eastAsia="Courier New" w:hAnsi="Courier New"/>
                <w:sz w:val="12"/>
                <w:szCs w:val="12"/>
                <w:color w:val="auto"/>
              </w:rPr>
              <w:t>13,713</w:t>
            </w:r>
          </w:p>
        </w:tc>
        <w:tc>
          <w:tcPr>
            <w:tcW w:w="106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13,927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13,868</w:t>
            </w: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Notes receivable from</w:t>
            </w:r>
          </w:p>
        </w:tc>
        <w:tc>
          <w:tcPr>
            <w:tcW w:w="1200" w:type="dxa"/>
            <w:vAlign w:val="bottom"/>
            <w:gridSpan w:val="10"/>
          </w:tcPr>
          <w:p>
            <w:pPr>
              <w:jc w:val="right"/>
              <w:ind w:right="80"/>
              <w:spacing w:after="0"/>
              <w:rPr>
                <w:sz w:val="20"/>
                <w:szCs w:val="20"/>
                <w:color w:val="auto"/>
              </w:rPr>
            </w:pPr>
            <w:r>
              <w:rPr>
                <w:rFonts w:ascii="Courier New" w:cs="Courier New" w:eastAsia="Courier New" w:hAnsi="Courier New"/>
                <w:sz w:val="12"/>
                <w:szCs w:val="12"/>
                <w:color w:val="auto"/>
              </w:rPr>
              <w:t>3,000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4"/>
          </w:tcPr>
          <w:p>
            <w:pPr>
              <w:jc w:val="right"/>
              <w:ind w:right="60"/>
              <w:spacing w:after="0"/>
              <w:rPr>
                <w:sz w:val="20"/>
                <w:szCs w:val="20"/>
                <w:color w:val="auto"/>
              </w:rPr>
            </w:pPr>
            <w:r>
              <w:rPr>
                <w:rFonts w:ascii="Courier New" w:cs="Courier New" w:eastAsia="Courier New" w:hAnsi="Courier New"/>
                <w:sz w:val="12"/>
                <w:szCs w:val="12"/>
                <w:color w:val="auto"/>
                <w:w w:val="94"/>
              </w:rPr>
              <w:t>3,000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3,000</w:t>
            </w:r>
          </w:p>
        </w:tc>
      </w:tr>
      <w:tr>
        <w:trPr>
          <w:trHeight w:val="135"/>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related parties</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71"/>
        </w:trPr>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Other assets, net</w:t>
            </w:r>
          </w:p>
        </w:tc>
        <w:tc>
          <w:tcPr>
            <w:tcW w:w="1200" w:type="dxa"/>
            <w:vAlign w:val="bottom"/>
            <w:gridSpan w:val="10"/>
          </w:tcPr>
          <w:p>
            <w:pPr>
              <w:jc w:val="right"/>
              <w:ind w:right="80"/>
              <w:spacing w:after="0"/>
              <w:rPr>
                <w:sz w:val="20"/>
                <w:szCs w:val="20"/>
                <w:color w:val="auto"/>
              </w:rPr>
            </w:pPr>
            <w:r>
              <w:rPr>
                <w:rFonts w:ascii="Courier New" w:cs="Courier New" w:eastAsia="Courier New" w:hAnsi="Courier New"/>
                <w:sz w:val="12"/>
                <w:szCs w:val="12"/>
                <w:color w:val="auto"/>
              </w:rPr>
              <w:t>4,421</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4"/>
          </w:tcPr>
          <w:p>
            <w:pPr>
              <w:jc w:val="right"/>
              <w:ind w:right="60"/>
              <w:spacing w:after="0"/>
              <w:rPr>
                <w:sz w:val="20"/>
                <w:szCs w:val="20"/>
                <w:color w:val="auto"/>
              </w:rPr>
            </w:pPr>
            <w:r>
              <w:rPr>
                <w:rFonts w:ascii="Courier New" w:cs="Courier New" w:eastAsia="Courier New" w:hAnsi="Courier New"/>
                <w:sz w:val="12"/>
                <w:szCs w:val="12"/>
                <w:color w:val="auto"/>
                <w:w w:val="94"/>
              </w:rPr>
              <w:t>3,422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4,349</w:t>
            </w:r>
          </w:p>
        </w:tc>
      </w:tr>
      <w:tr>
        <w:trPr>
          <w:trHeight w:val="77"/>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top w:val="single" w:sz="8" w:color="auto"/>
              <w:bottom w:val="single" w:sz="8" w:color="2C2C2C"/>
            </w:tcBorders>
          </w:tcPr>
          <w:p>
            <w:pPr>
              <w:spacing w:after="0"/>
              <w:rPr>
                <w:sz w:val="6"/>
                <w:szCs w:val="6"/>
                <w:color w:val="auto"/>
              </w:rPr>
            </w:pPr>
          </w:p>
        </w:tc>
        <w:tc>
          <w:tcPr>
            <w:tcW w:w="40" w:type="dxa"/>
            <w:vAlign w:val="bottom"/>
            <w:tcBorders>
              <w:top w:val="single" w:sz="8" w:color="auto"/>
              <w:bottom w:val="single" w:sz="8" w:color="2C2C2C"/>
            </w:tcBorders>
          </w:tcPr>
          <w:p>
            <w:pPr>
              <w:spacing w:after="0"/>
              <w:rPr>
                <w:sz w:val="6"/>
                <w:szCs w:val="6"/>
                <w:color w:val="auto"/>
              </w:rPr>
            </w:pPr>
          </w:p>
        </w:tc>
        <w:tc>
          <w:tcPr>
            <w:tcW w:w="20" w:type="dxa"/>
            <w:vAlign w:val="bottom"/>
            <w:tcBorders>
              <w:top w:val="single" w:sz="8" w:color="auto"/>
              <w:bottom w:val="single" w:sz="8" w:color="2C2C2C"/>
            </w:tcBorders>
          </w:tcPr>
          <w:p>
            <w:pPr>
              <w:spacing w:after="0"/>
              <w:rPr>
                <w:sz w:val="6"/>
                <w:szCs w:val="6"/>
                <w:color w:val="auto"/>
              </w:rPr>
            </w:pPr>
          </w:p>
        </w:tc>
        <w:tc>
          <w:tcPr>
            <w:tcW w:w="20" w:type="dxa"/>
            <w:vAlign w:val="bottom"/>
            <w:tcBorders>
              <w:top w:val="single" w:sz="8" w:color="auto"/>
              <w:bottom w:val="single" w:sz="8" w:color="2C2C2C"/>
            </w:tcBorders>
          </w:tcPr>
          <w:p>
            <w:pPr>
              <w:spacing w:after="0"/>
              <w:rPr>
                <w:sz w:val="6"/>
                <w:szCs w:val="6"/>
                <w:color w:val="auto"/>
              </w:rPr>
            </w:pPr>
          </w:p>
        </w:tc>
        <w:tc>
          <w:tcPr>
            <w:tcW w:w="100" w:type="dxa"/>
            <w:vAlign w:val="bottom"/>
            <w:tcBorders>
              <w:top w:val="single" w:sz="8" w:color="auto"/>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top w:val="single" w:sz="8" w:color="auto"/>
              <w:bottom w:val="single" w:sz="8" w:color="2C2C2C"/>
            </w:tcBorders>
          </w:tcPr>
          <w:p>
            <w:pPr>
              <w:spacing w:after="0"/>
              <w:rPr>
                <w:sz w:val="6"/>
                <w:szCs w:val="6"/>
                <w:color w:val="auto"/>
              </w:rPr>
            </w:pPr>
          </w:p>
        </w:tc>
        <w:tc>
          <w:tcPr>
            <w:tcW w:w="20" w:type="dxa"/>
            <w:vAlign w:val="bottom"/>
            <w:tcBorders>
              <w:top w:val="single" w:sz="8" w:color="auto"/>
              <w:bottom w:val="single" w:sz="8" w:color="2C2C2C"/>
            </w:tcBorders>
          </w:tcPr>
          <w:p>
            <w:pPr>
              <w:spacing w:after="0"/>
              <w:rPr>
                <w:sz w:val="6"/>
                <w:szCs w:val="6"/>
                <w:color w:val="auto"/>
              </w:rPr>
            </w:pPr>
          </w:p>
        </w:tc>
        <w:tc>
          <w:tcPr>
            <w:tcW w:w="26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2"/>
                <w:szCs w:val="12"/>
                <w:color w:val="auto"/>
              </w:rPr>
              <w:t>Total assets</w:t>
            </w:r>
          </w:p>
        </w:tc>
        <w:tc>
          <w:tcPr>
            <w:tcW w:w="1200" w:type="dxa"/>
            <w:vAlign w:val="bottom"/>
            <w:gridSpan w:val="10"/>
          </w:tcPr>
          <w:p>
            <w:pPr>
              <w:jc w:val="right"/>
              <w:ind w:right="80"/>
              <w:spacing w:after="0"/>
              <w:rPr>
                <w:sz w:val="20"/>
                <w:szCs w:val="20"/>
                <w:color w:val="auto"/>
              </w:rPr>
            </w:pPr>
            <w:r>
              <w:rPr>
                <w:rFonts w:ascii="Courier New" w:cs="Courier New" w:eastAsia="Courier New" w:hAnsi="Courier New"/>
                <w:sz w:val="12"/>
                <w:szCs w:val="12"/>
                <w:color w:val="auto"/>
              </w:rPr>
              <w:t>$ 227,937</w:t>
            </w:r>
          </w:p>
        </w:tc>
        <w:tc>
          <w:tcPr>
            <w:tcW w:w="106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$ 202,710</w:t>
            </w:r>
          </w:p>
        </w:tc>
        <w:tc>
          <w:tcPr>
            <w:tcW w:w="800" w:type="dxa"/>
            <w:vAlign w:val="bottom"/>
            <w:gridSpan w:val="6"/>
          </w:tcPr>
          <w:p>
            <w:pPr>
              <w:jc w:val="right"/>
              <w:ind w:right="80"/>
              <w:spacing w:after="0"/>
              <w:rPr>
                <w:sz w:val="20"/>
                <w:szCs w:val="20"/>
                <w:color w:val="auto"/>
              </w:rPr>
            </w:pPr>
            <w:r>
              <w:rPr>
                <w:rFonts w:ascii="Courier New" w:cs="Courier New" w:eastAsia="Courier New" w:hAnsi="Courier New"/>
                <w:sz w:val="12"/>
                <w:szCs w:val="12"/>
                <w:color w:val="auto"/>
              </w:rPr>
              <w:t>$ 234,077</w:t>
            </w: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gridSpan w:val="10"/>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w w:val="93"/>
              </w:rPr>
              <w:t>========</w:t>
            </w:r>
          </w:p>
        </w:tc>
      </w:tr>
      <w:tr>
        <w:trPr>
          <w:trHeight w:val="72"/>
        </w:trPr>
        <w:tc>
          <w:tcPr>
            <w:tcW w:w="2840" w:type="dxa"/>
            <w:vAlign w:val="bottom"/>
            <w:tcBorders>
              <w:bottom w:val="single" w:sz="8" w:color="2C2C2C"/>
            </w:tcBorders>
            <w:gridSpan w:val="6"/>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6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Liabilities and Stockholders Equity: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0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Current liabilities:</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Current maturities of</w:t>
            </w:r>
          </w:p>
        </w:tc>
        <w:tc>
          <w:tcPr>
            <w:tcW w:w="760" w:type="dxa"/>
            <w:vAlign w:val="bottom"/>
            <w:gridSpan w:val="3"/>
          </w:tcPr>
          <w:p>
            <w:pPr>
              <w:jc w:val="right"/>
              <w:ind w:right="200"/>
              <w:spacing w:after="0"/>
              <w:rPr>
                <w:sz w:val="20"/>
                <w:szCs w:val="20"/>
                <w:color w:val="auto"/>
              </w:rPr>
            </w:pPr>
            <w:r>
              <w:rPr>
                <w:rFonts w:ascii="Courier New" w:cs="Courier New" w:eastAsia="Courier New" w:hAnsi="Courier New"/>
                <w:sz w:val="12"/>
                <w:szCs w:val="12"/>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11</w:t>
            </w:r>
          </w:p>
        </w:tc>
        <w:tc>
          <w:tcPr>
            <w:tcW w:w="620" w:type="dxa"/>
            <w:vAlign w:val="bottom"/>
            <w:gridSpan w:val="2"/>
          </w:tcPr>
          <w:p>
            <w:pPr>
              <w:jc w:val="right"/>
              <w:ind w:right="200"/>
              <w:spacing w:after="0"/>
              <w:rPr>
                <w:sz w:val="20"/>
                <w:szCs w:val="20"/>
                <w:color w:val="auto"/>
              </w:rPr>
            </w:pPr>
            <w:r>
              <w:rPr>
                <w:rFonts w:ascii="Courier New" w:cs="Courier New" w:eastAsia="Courier New" w:hAnsi="Courier New"/>
                <w:sz w:val="12"/>
                <w:szCs w:val="12"/>
                <w:color w:val="auto"/>
              </w:rPr>
              <w:t>$</w:t>
            </w:r>
          </w:p>
        </w:tc>
        <w:tc>
          <w:tcPr>
            <w:tcW w:w="20" w:type="dxa"/>
            <w:vAlign w:val="bottom"/>
          </w:tcPr>
          <w:p>
            <w:pPr>
              <w:spacing w:after="0"/>
              <w:rPr>
                <w:sz w:val="17"/>
                <w:szCs w:val="17"/>
                <w:color w:val="auto"/>
              </w:rPr>
            </w:pPr>
          </w:p>
        </w:tc>
        <w:tc>
          <w:tcPr>
            <w:tcW w:w="420" w:type="dxa"/>
            <w:vAlign w:val="bottom"/>
            <w:gridSpan w:val="4"/>
          </w:tcPr>
          <w:p>
            <w:pPr>
              <w:jc w:val="right"/>
              <w:ind w:right="60"/>
              <w:spacing w:after="0"/>
              <w:rPr>
                <w:sz w:val="20"/>
                <w:szCs w:val="20"/>
                <w:color w:val="auto"/>
              </w:rPr>
            </w:pPr>
            <w:r>
              <w:rPr>
                <w:rFonts w:ascii="Courier New" w:cs="Courier New" w:eastAsia="Courier New" w:hAnsi="Courier New"/>
                <w:sz w:val="12"/>
                <w:szCs w:val="12"/>
                <w:color w:val="auto"/>
              </w:rPr>
              <w:t>10</w:t>
            </w:r>
          </w:p>
        </w:tc>
        <w:tc>
          <w:tcPr>
            <w:tcW w:w="16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3"/>
              </w:rPr>
              <w:t>$</w:t>
            </w: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11</w:t>
            </w:r>
          </w:p>
        </w:tc>
      </w:tr>
      <w:tr>
        <w:trPr>
          <w:trHeight w:val="135"/>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long-term debt</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Accounts payable and</w:t>
            </w:r>
          </w:p>
        </w:tc>
        <w:tc>
          <w:tcPr>
            <w:tcW w:w="1200" w:type="dxa"/>
            <w:vAlign w:val="bottom"/>
            <w:gridSpan w:val="10"/>
          </w:tcPr>
          <w:p>
            <w:pPr>
              <w:jc w:val="right"/>
              <w:ind w:right="80"/>
              <w:spacing w:after="0"/>
              <w:rPr>
                <w:sz w:val="20"/>
                <w:szCs w:val="20"/>
                <w:color w:val="auto"/>
              </w:rPr>
            </w:pPr>
            <w:r>
              <w:rPr>
                <w:rFonts w:ascii="Courier New" w:cs="Courier New" w:eastAsia="Courier New" w:hAnsi="Courier New"/>
                <w:sz w:val="12"/>
                <w:szCs w:val="12"/>
                <w:color w:val="auto"/>
              </w:rPr>
              <w:t>12,065</w:t>
            </w:r>
          </w:p>
        </w:tc>
        <w:tc>
          <w:tcPr>
            <w:tcW w:w="106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10,572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11,049</w:t>
            </w:r>
          </w:p>
        </w:tc>
      </w:tr>
      <w:tr>
        <w:trPr>
          <w:trHeight w:val="135"/>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other accrued expenses</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Customer layaway</w:t>
            </w:r>
          </w:p>
        </w:tc>
        <w:tc>
          <w:tcPr>
            <w:tcW w:w="1200" w:type="dxa"/>
            <w:vAlign w:val="bottom"/>
            <w:gridSpan w:val="10"/>
          </w:tcPr>
          <w:p>
            <w:pPr>
              <w:jc w:val="right"/>
              <w:ind w:right="80"/>
              <w:spacing w:after="0"/>
              <w:rPr>
                <w:sz w:val="20"/>
                <w:szCs w:val="20"/>
                <w:color w:val="auto"/>
              </w:rPr>
            </w:pPr>
            <w:r>
              <w:rPr>
                <w:rFonts w:ascii="Courier New" w:cs="Courier New" w:eastAsia="Courier New" w:hAnsi="Courier New"/>
                <w:sz w:val="12"/>
                <w:szCs w:val="12"/>
                <w:color w:val="auto"/>
              </w:rPr>
              <w:t>2,492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4"/>
          </w:tcPr>
          <w:p>
            <w:pPr>
              <w:jc w:val="right"/>
              <w:ind w:right="60"/>
              <w:spacing w:after="0"/>
              <w:rPr>
                <w:sz w:val="20"/>
                <w:szCs w:val="20"/>
                <w:color w:val="auto"/>
              </w:rPr>
            </w:pPr>
            <w:r>
              <w:rPr>
                <w:rFonts w:ascii="Courier New" w:cs="Courier New" w:eastAsia="Courier New" w:hAnsi="Courier New"/>
                <w:sz w:val="12"/>
                <w:szCs w:val="12"/>
                <w:color w:val="auto"/>
                <w:w w:val="94"/>
              </w:rPr>
              <w:t>2,404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2,422</w:t>
            </w:r>
          </w:p>
        </w:tc>
      </w:tr>
      <w:tr>
        <w:trPr>
          <w:trHeight w:val="135"/>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deposits</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71"/>
        </w:trPr>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Income taxes payable</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54</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4"/>
          </w:tcPr>
          <w:p>
            <w:pPr>
              <w:jc w:val="right"/>
              <w:ind w:right="60"/>
              <w:spacing w:after="0"/>
              <w:rPr>
                <w:sz w:val="20"/>
                <w:szCs w:val="20"/>
                <w:color w:val="auto"/>
              </w:rPr>
            </w:pPr>
            <w:r>
              <w:rPr>
                <w:rFonts w:ascii="Courier New" w:cs="Courier New" w:eastAsia="Courier New" w:hAnsi="Courier New"/>
                <w:sz w:val="12"/>
                <w:szCs w:val="12"/>
                <w:color w:val="auto"/>
              </w:rPr>
              <w:t>591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w:t>
            </w:r>
          </w:p>
        </w:tc>
      </w:tr>
      <w:tr>
        <w:trPr>
          <w:trHeight w:val="77"/>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top w:val="single" w:sz="8" w:color="auto"/>
              <w:bottom w:val="single" w:sz="8" w:color="2C2C2C"/>
            </w:tcBorders>
          </w:tcPr>
          <w:p>
            <w:pPr>
              <w:spacing w:after="0"/>
              <w:rPr>
                <w:sz w:val="6"/>
                <w:szCs w:val="6"/>
                <w:color w:val="auto"/>
              </w:rPr>
            </w:pPr>
          </w:p>
        </w:tc>
        <w:tc>
          <w:tcPr>
            <w:tcW w:w="26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80" w:type="dxa"/>
            <w:vAlign w:val="bottom"/>
            <w:tcBorders>
              <w:top w:val="single" w:sz="8" w:color="auto"/>
              <w:bottom w:val="single" w:sz="8" w:color="2C2C2C"/>
            </w:tcBorders>
          </w:tcPr>
          <w:p>
            <w:pPr>
              <w:spacing w:after="0"/>
              <w:rPr>
                <w:sz w:val="6"/>
                <w:szCs w:val="6"/>
                <w:color w:val="auto"/>
              </w:rPr>
            </w:pPr>
          </w:p>
        </w:tc>
        <w:tc>
          <w:tcPr>
            <w:tcW w:w="34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2"/>
                <w:szCs w:val="12"/>
                <w:color w:val="auto"/>
              </w:rPr>
              <w:t>Total current</w:t>
            </w:r>
          </w:p>
        </w:tc>
        <w:tc>
          <w:tcPr>
            <w:tcW w:w="1200" w:type="dxa"/>
            <w:vAlign w:val="bottom"/>
            <w:gridSpan w:val="10"/>
          </w:tcPr>
          <w:p>
            <w:pPr>
              <w:jc w:val="right"/>
              <w:ind w:right="80"/>
              <w:spacing w:after="0"/>
              <w:rPr>
                <w:sz w:val="20"/>
                <w:szCs w:val="20"/>
                <w:color w:val="auto"/>
              </w:rPr>
            </w:pPr>
            <w:r>
              <w:rPr>
                <w:rFonts w:ascii="Courier New" w:cs="Courier New" w:eastAsia="Courier New" w:hAnsi="Courier New"/>
                <w:sz w:val="12"/>
                <w:szCs w:val="12"/>
                <w:color w:val="auto"/>
              </w:rPr>
              <w:t>14,622</w:t>
            </w:r>
          </w:p>
        </w:tc>
        <w:tc>
          <w:tcPr>
            <w:tcW w:w="106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13,577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13,482</w:t>
            </w:r>
          </w:p>
        </w:tc>
      </w:tr>
      <w:tr>
        <w:trPr>
          <w:trHeight w:val="135"/>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2"/>
                <w:szCs w:val="12"/>
                <w:color w:val="auto"/>
              </w:rPr>
              <w:t>liabilities</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68"/>
        </w:trPr>
        <w:tc>
          <w:tcPr>
            <w:tcW w:w="320" w:type="dxa"/>
            <w:vAlign w:val="bottom"/>
            <w:tcBorders>
              <w:bottom w:val="single" w:sz="8" w:color="2C2C2C"/>
            </w:tcBorders>
          </w:tcPr>
          <w:p>
            <w:pPr>
              <w:spacing w:after="0"/>
              <w:rPr>
                <w:sz w:val="23"/>
                <w:szCs w:val="23"/>
                <w:color w:val="auto"/>
              </w:rPr>
            </w:pPr>
          </w:p>
        </w:tc>
        <w:tc>
          <w:tcPr>
            <w:tcW w:w="2080" w:type="dxa"/>
            <w:vAlign w:val="bottom"/>
            <w:tcBorders>
              <w:bottom w:val="single" w:sz="8" w:color="2C2C2C"/>
            </w:tcBorders>
            <w:gridSpan w:val="3"/>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gridSpan w:val="3"/>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gridSpan w:val="2"/>
          </w:tcPr>
          <w:p>
            <w:pPr>
              <w:spacing w:after="0"/>
              <w:rPr>
                <w:sz w:val="23"/>
                <w:szCs w:val="23"/>
                <w:color w:val="auto"/>
              </w:rPr>
            </w:pPr>
          </w:p>
        </w:tc>
        <w:tc>
          <w:tcPr>
            <w:tcW w:w="280" w:type="dxa"/>
            <w:vAlign w:val="bottom"/>
            <w:tcBorders>
              <w:bottom w:val="single" w:sz="8" w:color="2C2C2C"/>
            </w:tcBorders>
            <w:gridSpan w:val="2"/>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r>
      <w:tr>
        <w:trPr>
          <w:trHeight w:val="196"/>
        </w:trPr>
        <w:tc>
          <w:tcPr>
            <w:tcW w:w="320" w:type="dxa"/>
            <w:vAlign w:val="bottom"/>
          </w:tcPr>
          <w:p>
            <w:pPr>
              <w:spacing w:after="0"/>
              <w:rPr>
                <w:sz w:val="17"/>
                <w:szCs w:val="17"/>
                <w:color w:val="auto"/>
              </w:rPr>
            </w:pPr>
          </w:p>
        </w:tc>
        <w:tc>
          <w:tcPr>
            <w:tcW w:w="20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Long-term debt, less</w:t>
            </w:r>
          </w:p>
        </w:tc>
        <w:tc>
          <w:tcPr>
            <w:tcW w:w="1200" w:type="dxa"/>
            <w:vAlign w:val="bottom"/>
            <w:gridSpan w:val="10"/>
          </w:tcPr>
          <w:p>
            <w:pPr>
              <w:jc w:val="right"/>
              <w:ind w:right="80"/>
              <w:spacing w:after="0"/>
              <w:rPr>
                <w:sz w:val="20"/>
                <w:szCs w:val="20"/>
                <w:color w:val="auto"/>
              </w:rPr>
            </w:pPr>
            <w:r>
              <w:rPr>
                <w:rFonts w:ascii="Courier New" w:cs="Courier New" w:eastAsia="Courier New" w:hAnsi="Courier New"/>
                <w:sz w:val="12"/>
                <w:szCs w:val="12"/>
                <w:color w:val="auto"/>
              </w:rPr>
              <w:t>75,109</w:t>
            </w:r>
          </w:p>
        </w:tc>
        <w:tc>
          <w:tcPr>
            <w:tcW w:w="106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56,120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83,112</w:t>
            </w:r>
          </w:p>
        </w:tc>
      </w:tr>
      <w:tr>
        <w:trPr>
          <w:trHeight w:val="135"/>
        </w:trPr>
        <w:tc>
          <w:tcPr>
            <w:tcW w:w="320" w:type="dxa"/>
            <w:vAlign w:val="bottom"/>
          </w:tcPr>
          <w:p>
            <w:pPr>
              <w:spacing w:after="0"/>
              <w:rPr>
                <w:sz w:val="11"/>
                <w:szCs w:val="11"/>
                <w:color w:val="auto"/>
              </w:rPr>
            </w:pPr>
          </w:p>
        </w:tc>
        <w:tc>
          <w:tcPr>
            <w:tcW w:w="20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current maturities</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72"/>
        </w:trPr>
        <w:tc>
          <w:tcPr>
            <w:tcW w:w="3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0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Deferred tax liability</w:t>
            </w:r>
          </w:p>
        </w:tc>
        <w:tc>
          <w:tcPr>
            <w:tcW w:w="1200" w:type="dxa"/>
            <w:vAlign w:val="bottom"/>
            <w:gridSpan w:val="10"/>
          </w:tcPr>
          <w:p>
            <w:pPr>
              <w:jc w:val="right"/>
              <w:ind w:right="80"/>
              <w:spacing w:after="0"/>
              <w:rPr>
                <w:sz w:val="20"/>
                <w:szCs w:val="20"/>
                <w:color w:val="auto"/>
              </w:rPr>
            </w:pPr>
            <w:r>
              <w:rPr>
                <w:rFonts w:ascii="Courier New" w:cs="Courier New" w:eastAsia="Courier New" w:hAnsi="Courier New"/>
                <w:sz w:val="12"/>
                <w:szCs w:val="12"/>
                <w:color w:val="auto"/>
              </w:rPr>
              <w:t>1,696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4"/>
          </w:tcPr>
          <w:p>
            <w:pPr>
              <w:jc w:val="right"/>
              <w:ind w:right="60"/>
              <w:spacing w:after="0"/>
              <w:rPr>
                <w:sz w:val="20"/>
                <w:szCs w:val="20"/>
                <w:color w:val="auto"/>
              </w:rPr>
            </w:pPr>
            <w:r>
              <w:rPr>
                <w:rFonts w:ascii="Courier New" w:cs="Courier New" w:eastAsia="Courier New" w:hAnsi="Courier New"/>
                <w:sz w:val="12"/>
                <w:szCs w:val="12"/>
                <w:color w:val="auto"/>
              </w:rPr>
              <w:t>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1,696</w:t>
            </w:r>
          </w:p>
        </w:tc>
      </w:tr>
      <w:tr>
        <w:trPr>
          <w:trHeight w:val="72"/>
        </w:trPr>
        <w:tc>
          <w:tcPr>
            <w:tcW w:w="3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71"/>
        </w:trPr>
        <w:tc>
          <w:tcPr>
            <w:tcW w:w="320" w:type="dxa"/>
            <w:vAlign w:val="bottom"/>
          </w:tcPr>
          <w:p>
            <w:pPr>
              <w:spacing w:after="0"/>
              <w:rPr>
                <w:sz w:val="14"/>
                <w:szCs w:val="14"/>
                <w:color w:val="auto"/>
              </w:rPr>
            </w:pPr>
          </w:p>
        </w:tc>
        <w:tc>
          <w:tcPr>
            <w:tcW w:w="20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Other long-term liabilities</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492</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4"/>
          </w:tcPr>
          <w:p>
            <w:pPr>
              <w:jc w:val="right"/>
              <w:ind w:right="60"/>
              <w:spacing w:after="0"/>
              <w:rPr>
                <w:sz w:val="20"/>
                <w:szCs w:val="20"/>
                <w:color w:val="auto"/>
              </w:rPr>
            </w:pPr>
            <w:r>
              <w:rPr>
                <w:rFonts w:ascii="Courier New" w:cs="Courier New" w:eastAsia="Courier New" w:hAnsi="Courier New"/>
                <w:sz w:val="12"/>
                <w:szCs w:val="12"/>
                <w:color w:val="auto"/>
              </w:rPr>
              <w:t>140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102</w:t>
            </w:r>
          </w:p>
        </w:tc>
      </w:tr>
      <w:tr>
        <w:trPr>
          <w:trHeight w:val="77"/>
        </w:trPr>
        <w:tc>
          <w:tcPr>
            <w:tcW w:w="3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auto"/>
              <w:bottom w:val="single" w:sz="8" w:color="2C2C2C"/>
            </w:tcBorders>
          </w:tcPr>
          <w:p>
            <w:pPr>
              <w:spacing w:after="0"/>
              <w:rPr>
                <w:sz w:val="6"/>
                <w:szCs w:val="6"/>
                <w:color w:val="auto"/>
              </w:rPr>
            </w:pPr>
          </w:p>
        </w:tc>
        <w:tc>
          <w:tcPr>
            <w:tcW w:w="20" w:type="dxa"/>
            <w:vAlign w:val="bottom"/>
            <w:tcBorders>
              <w:top w:val="single" w:sz="8" w:color="auto"/>
              <w:bottom w:val="single" w:sz="8" w:color="2C2C2C"/>
            </w:tcBorders>
          </w:tcPr>
          <w:p>
            <w:pPr>
              <w:spacing w:after="0"/>
              <w:rPr>
                <w:sz w:val="6"/>
                <w:szCs w:val="6"/>
                <w:color w:val="auto"/>
              </w:rPr>
            </w:pPr>
          </w:p>
        </w:tc>
        <w:tc>
          <w:tcPr>
            <w:tcW w:w="100" w:type="dxa"/>
            <w:vAlign w:val="bottom"/>
            <w:tcBorders>
              <w:top w:val="single" w:sz="8" w:color="auto"/>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top w:val="single" w:sz="8" w:color="auto"/>
              <w:bottom w:val="single" w:sz="8" w:color="2C2C2C"/>
            </w:tcBorders>
          </w:tcPr>
          <w:p>
            <w:pPr>
              <w:spacing w:after="0"/>
              <w:rPr>
                <w:sz w:val="6"/>
                <w:szCs w:val="6"/>
                <w:color w:val="auto"/>
              </w:rPr>
            </w:pPr>
          </w:p>
        </w:tc>
        <w:tc>
          <w:tcPr>
            <w:tcW w:w="26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top w:val="single" w:sz="8" w:color="auto"/>
              <w:bottom w:val="single" w:sz="8" w:color="2C2C2C"/>
            </w:tcBorders>
          </w:tcPr>
          <w:p>
            <w:pPr>
              <w:spacing w:after="0"/>
              <w:rPr>
                <w:sz w:val="6"/>
                <w:szCs w:val="6"/>
                <w:color w:val="auto"/>
              </w:rPr>
            </w:pPr>
          </w:p>
        </w:tc>
        <w:tc>
          <w:tcPr>
            <w:tcW w:w="34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196"/>
        </w:trPr>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2"/>
                <w:szCs w:val="12"/>
                <w:color w:val="auto"/>
              </w:rPr>
              <w:t>Total long-term</w:t>
            </w:r>
          </w:p>
        </w:tc>
        <w:tc>
          <w:tcPr>
            <w:tcW w:w="1200" w:type="dxa"/>
            <w:vAlign w:val="bottom"/>
            <w:gridSpan w:val="10"/>
          </w:tcPr>
          <w:p>
            <w:pPr>
              <w:jc w:val="right"/>
              <w:ind w:right="80"/>
              <w:spacing w:after="0"/>
              <w:rPr>
                <w:sz w:val="20"/>
                <w:szCs w:val="20"/>
                <w:color w:val="auto"/>
              </w:rPr>
            </w:pPr>
            <w:r>
              <w:rPr>
                <w:rFonts w:ascii="Courier New" w:cs="Courier New" w:eastAsia="Courier New" w:hAnsi="Courier New"/>
                <w:sz w:val="12"/>
                <w:szCs w:val="12"/>
                <w:color w:val="auto"/>
              </w:rPr>
              <w:t>77,297</w:t>
            </w:r>
          </w:p>
        </w:tc>
        <w:tc>
          <w:tcPr>
            <w:tcW w:w="106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56,284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Courier New" w:cs="Courier New" w:eastAsia="Courier New" w:hAnsi="Courier New"/>
                <w:sz w:val="12"/>
                <w:szCs w:val="12"/>
                <w:color w:val="auto"/>
              </w:rPr>
              <w:t>84,910</w:t>
            </w:r>
          </w:p>
        </w:tc>
      </w:tr>
      <w:tr>
        <w:trPr>
          <w:trHeight w:val="135"/>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2"/>
                <w:szCs w:val="12"/>
                <w:color w:val="auto"/>
              </w:rPr>
              <w:t>liabilities</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152" w:lineRule="exact"/>
        <w:rPr>
          <w:sz w:val="20"/>
          <w:szCs w:val="20"/>
          <w:color w:val="auto"/>
        </w:rPr>
      </w:pPr>
    </w:p>
    <w:p>
      <w:pPr>
        <w:ind w:left="800"/>
        <w:spacing w:after="0"/>
        <w:rPr>
          <w:sz w:val="20"/>
          <w:szCs w:val="20"/>
          <w:color w:val="auto"/>
        </w:rPr>
      </w:pPr>
      <w:r>
        <w:rPr>
          <w:rFonts w:ascii="Courier New" w:cs="Courier New" w:eastAsia="Courier New" w:hAnsi="Courier New"/>
          <w:sz w:val="12"/>
          <w:szCs w:val="12"/>
          <w:color w:val="auto"/>
        </w:rPr>
        <w:t>Commitments and</w:t>
      </w:r>
    </w:p>
    <w:p>
      <w:pPr>
        <w:ind w:left="800"/>
        <w:spacing w:after="0"/>
        <w:rPr>
          <w:sz w:val="20"/>
          <w:szCs w:val="20"/>
          <w:color w:val="auto"/>
        </w:rPr>
      </w:pPr>
      <w:r>
        <w:rPr>
          <w:rFonts w:ascii="Courier New" w:cs="Courier New" w:eastAsia="Courier New" w:hAnsi="Courier New"/>
          <w:sz w:val="12"/>
          <w:szCs w:val="12"/>
          <w:color w:val="auto"/>
        </w:rPr>
        <w:t>contingencies</w:t>
      </w:r>
    </w:p>
    <w:p>
      <w:pPr>
        <w:spacing w:after="0" w:line="334" w:lineRule="exact"/>
        <w:rPr>
          <w:sz w:val="20"/>
          <w:szCs w:val="20"/>
          <w:color w:val="auto"/>
        </w:rPr>
      </w:pPr>
    </w:p>
    <w:p>
      <w:pPr>
        <w:ind w:left="700"/>
        <w:spacing w:after="0"/>
        <w:rPr>
          <w:sz w:val="20"/>
          <w:szCs w:val="20"/>
          <w:color w:val="auto"/>
        </w:rPr>
      </w:pPr>
      <w:r>
        <w:rPr>
          <w:sz w:val="1"/>
          <w:szCs w:val="1"/>
          <w:color w:val="auto"/>
        </w:rPr>
        <w:drawing>
          <wp:inline distT="0" distB="0" distL="0" distR="0">
            <wp:extent cx="5715"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 cy="171450"/>
                    </a:xfrm>
                    <a:prstGeom prst="rect">
                      <a:avLst/>
                    </a:prstGeom>
                    <a:noFill/>
                    <a:ln>
                      <a:noFill/>
                    </a:ln>
                  </pic:spPr>
                </pic:pic>
              </a:graphicData>
            </a:graphic>
          </wp:inline>
        </w:drawing>
        <w:drawing>
          <wp:inline distT="0" distB="0" distL="0" distR="0">
            <wp:extent cx="5715" cy="1771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 cy="177165"/>
                    </a:xfrm>
                    <a:prstGeom prst="rect">
                      <a:avLst/>
                    </a:prstGeom>
                    <a:noFill/>
                    <a:ln>
                      <a:noFill/>
                    </a:ln>
                  </pic:spPr>
                </pic:pic>
              </a:graphicData>
            </a:graphic>
          </wp:inline>
        </w:drawing>
      </w:r>
      <w:r>
        <w:rPr>
          <w:rFonts w:ascii="Courier New" w:cs="Courier New" w:eastAsia="Courier New" w:hAnsi="Courier New"/>
          <w:sz w:val="12"/>
          <w:szCs w:val="12"/>
          <w:color w:val="auto"/>
        </w:rPr>
        <w:t xml:space="preserve"> Stockholders equity:</w:t>
      </w:r>
    </w:p>
    <w:p>
      <w:pPr>
        <w:spacing w:after="0" w:line="78"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Preferred Stock, par</w:t>
      </w:r>
    </w:p>
    <w:p>
      <w:pPr>
        <w:ind w:left="1040"/>
        <w:spacing w:after="0"/>
        <w:rPr>
          <w:sz w:val="20"/>
          <w:szCs w:val="20"/>
          <w:color w:val="auto"/>
        </w:rPr>
      </w:pPr>
      <w:r>
        <w:rPr>
          <w:rFonts w:ascii="Courier New" w:cs="Courier New" w:eastAsia="Courier New" w:hAnsi="Courier New"/>
          <w:sz w:val="12"/>
          <w:szCs w:val="12"/>
          <w:color w:val="auto"/>
        </w:rPr>
        <w:t>value $.01 per share;</w:t>
      </w:r>
    </w:p>
    <w:p>
      <w:pPr>
        <w:sectPr>
          <w:pgSz w:w="11900" w:h="16872" w:orient="portrait"/>
          <w:cols w:equalWidth="0" w:num="1">
            <w:col w:w="10099"/>
          </w:cols>
          <w:pgMar w:left="360" w:top="137" w:right="1440" w:bottom="0" w:gutter="0" w:footer="0" w:header="0"/>
        </w:sectPr>
      </w:pPr>
    </w:p>
    <w:bookmarkStart w:id="3" w:name="page4"/>
    <w:bookmarkEnd w:id="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3771900" cy="4989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71900" cy="498919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36"/>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Authorized 5,000,000</w:t>
            </w:r>
          </w:p>
        </w:tc>
        <w:tc>
          <w:tcPr>
            <w:tcW w:w="90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6"/>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shares;none issued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and outstanding</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14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Class A Non-voting</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14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Common Stock, par value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$.01 per share;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Authorized 40,000,000</w:t>
            </w:r>
          </w:p>
        </w:tc>
        <w:tc>
          <w:tcPr>
            <w:tcW w:w="900" w:type="dxa"/>
            <w:vAlign w:val="bottom"/>
            <w:gridSpan w:val="5"/>
            <w:vMerge w:val="restart"/>
          </w:tcPr>
          <w:p>
            <w:pPr>
              <w:jc w:val="right"/>
              <w:ind w:right="80"/>
              <w:spacing w:after="0"/>
              <w:rPr>
                <w:sz w:val="20"/>
                <w:szCs w:val="20"/>
                <w:color w:val="auto"/>
              </w:rPr>
            </w:pPr>
            <w:r>
              <w:rPr>
                <w:rFonts w:ascii="Courier New" w:cs="Courier New" w:eastAsia="Courier New" w:hAnsi="Courier New"/>
                <w:sz w:val="12"/>
                <w:szCs w:val="12"/>
                <w:color w:val="auto"/>
              </w:rPr>
              <w:t>108</w:t>
            </w:r>
          </w:p>
        </w:tc>
        <w:tc>
          <w:tcPr>
            <w:tcW w:w="1060" w:type="dxa"/>
            <w:vAlign w:val="bottom"/>
            <w:gridSpan w:val="5"/>
            <w:vMerge w:val="restart"/>
          </w:tcPr>
          <w:p>
            <w:pPr>
              <w:jc w:val="right"/>
              <w:ind w:right="60"/>
              <w:spacing w:after="0"/>
              <w:rPr>
                <w:sz w:val="20"/>
                <w:szCs w:val="20"/>
                <w:color w:val="auto"/>
              </w:rPr>
            </w:pPr>
            <w:r>
              <w:rPr>
                <w:rFonts w:ascii="Courier New" w:cs="Courier New" w:eastAsia="Courier New" w:hAnsi="Courier New"/>
                <w:sz w:val="12"/>
                <w:szCs w:val="12"/>
                <w:color w:val="auto"/>
              </w:rPr>
              <w:t>108</w:t>
            </w:r>
          </w:p>
        </w:tc>
        <w:tc>
          <w:tcPr>
            <w:tcW w:w="800" w:type="dxa"/>
            <w:vAlign w:val="bottom"/>
            <w:gridSpan w:val="6"/>
            <w:vMerge w:val="restart"/>
          </w:tcPr>
          <w:p>
            <w:pPr>
              <w:jc w:val="right"/>
              <w:ind w:right="80"/>
              <w:spacing w:after="0"/>
              <w:rPr>
                <w:sz w:val="20"/>
                <w:szCs w:val="20"/>
                <w:color w:val="auto"/>
              </w:rPr>
            </w:pPr>
            <w:r>
              <w:rPr>
                <w:rFonts w:ascii="Courier New" w:cs="Courier New" w:eastAsia="Courier New" w:hAnsi="Courier New"/>
                <w:sz w:val="12"/>
                <w:szCs w:val="12"/>
                <w:color w:val="auto"/>
              </w:rPr>
              <w:t>108</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shares; 10,831,043</w:t>
            </w:r>
          </w:p>
        </w:tc>
        <w:tc>
          <w:tcPr>
            <w:tcW w:w="900" w:type="dxa"/>
            <w:vAlign w:val="bottom"/>
            <w:gridSpan w:val="5"/>
            <w:vMerge w:val="continue"/>
          </w:tcPr>
          <w:p>
            <w:pPr>
              <w:spacing w:after="0"/>
              <w:rPr>
                <w:sz w:val="11"/>
                <w:szCs w:val="11"/>
                <w:color w:val="auto"/>
              </w:rPr>
            </w:pPr>
          </w:p>
        </w:tc>
        <w:tc>
          <w:tcPr>
            <w:tcW w:w="1060" w:type="dxa"/>
            <w:vAlign w:val="bottom"/>
            <w:gridSpan w:val="5"/>
            <w:vMerge w:val="continue"/>
          </w:tcPr>
          <w:p>
            <w:pPr>
              <w:spacing w:after="0"/>
              <w:rPr>
                <w:sz w:val="11"/>
                <w:szCs w:val="11"/>
                <w:color w:val="auto"/>
              </w:rPr>
            </w:pPr>
          </w:p>
        </w:tc>
        <w:tc>
          <w:tcPr>
            <w:tcW w:w="8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issued and 10,822,010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outstanding at December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31, 1999 and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September 30, 1999;</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10,820,574 issued and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10,811,541 outstanding</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at December 31, 1998</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14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Class B Voting Common</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14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Stock, convertible,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par value $.01 per</w:t>
            </w:r>
          </w:p>
        </w:tc>
        <w:tc>
          <w:tcPr>
            <w:tcW w:w="90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12</w:t>
            </w:r>
          </w:p>
        </w:tc>
        <w:tc>
          <w:tcPr>
            <w:tcW w:w="106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12</w:t>
            </w:r>
          </w:p>
        </w:tc>
        <w:tc>
          <w:tcPr>
            <w:tcW w:w="800" w:type="dxa"/>
            <w:vAlign w:val="bottom"/>
            <w:gridSpan w:val="6"/>
          </w:tcPr>
          <w:p>
            <w:pPr>
              <w:jc w:val="right"/>
              <w:ind w:right="80"/>
              <w:spacing w:after="0"/>
              <w:rPr>
                <w:sz w:val="20"/>
                <w:szCs w:val="20"/>
                <w:color w:val="auto"/>
              </w:rPr>
            </w:pPr>
            <w:r>
              <w:rPr>
                <w:rFonts w:ascii="Courier New" w:cs="Courier New" w:eastAsia="Courier New" w:hAnsi="Courier New"/>
                <w:sz w:val="12"/>
                <w:szCs w:val="12"/>
                <w:color w:val="auto"/>
              </w:rPr>
              <w:t>12</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share; Authorized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1,198,990 shares;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1,190,057 issued and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outstanding</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14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Additional paid-in</w:t>
            </w:r>
          </w:p>
        </w:tc>
        <w:tc>
          <w:tcPr>
            <w:tcW w:w="90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114,470</w:t>
            </w:r>
          </w:p>
        </w:tc>
        <w:tc>
          <w:tcPr>
            <w:tcW w:w="106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114,398</w:t>
            </w:r>
          </w:p>
        </w:tc>
        <w:tc>
          <w:tcPr>
            <w:tcW w:w="800" w:type="dxa"/>
            <w:vAlign w:val="bottom"/>
            <w:gridSpan w:val="6"/>
          </w:tcPr>
          <w:p>
            <w:pPr>
              <w:jc w:val="right"/>
              <w:ind w:right="80"/>
              <w:spacing w:after="0"/>
              <w:rPr>
                <w:sz w:val="20"/>
                <w:szCs w:val="20"/>
                <w:color w:val="auto"/>
              </w:rPr>
            </w:pPr>
            <w:r>
              <w:rPr>
                <w:rFonts w:ascii="Courier New" w:cs="Courier New" w:eastAsia="Courier New" w:hAnsi="Courier New"/>
                <w:sz w:val="12"/>
                <w:szCs w:val="12"/>
                <w:color w:val="auto"/>
              </w:rPr>
              <w:t>114,470</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14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capital</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214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Retained earnings</w:t>
            </w:r>
          </w:p>
        </w:tc>
        <w:tc>
          <w:tcPr>
            <w:tcW w:w="90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22,015</w:t>
            </w:r>
          </w:p>
        </w:tc>
        <w:tc>
          <w:tcPr>
            <w:tcW w:w="106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19,059</w:t>
            </w:r>
          </w:p>
        </w:tc>
        <w:tc>
          <w:tcPr>
            <w:tcW w:w="800" w:type="dxa"/>
            <w:vAlign w:val="bottom"/>
            <w:gridSpan w:val="6"/>
          </w:tcPr>
          <w:p>
            <w:pPr>
              <w:jc w:val="right"/>
              <w:ind w:right="80"/>
              <w:spacing w:after="0"/>
              <w:rPr>
                <w:sz w:val="20"/>
                <w:szCs w:val="20"/>
                <w:color w:val="auto"/>
              </w:rPr>
            </w:pPr>
            <w:r>
              <w:rPr>
                <w:rFonts w:ascii="Courier New" w:cs="Courier New" w:eastAsia="Courier New" w:hAnsi="Courier New"/>
                <w:sz w:val="12"/>
                <w:szCs w:val="12"/>
                <w:color w:val="auto"/>
              </w:rPr>
              <w:t>21,715</w:t>
            </w:r>
          </w:p>
        </w:tc>
        <w:tc>
          <w:tcPr>
            <w:tcW w:w="0" w:type="dxa"/>
            <w:vAlign w:val="bottom"/>
          </w:tcPr>
          <w:p>
            <w:pPr>
              <w:spacing w:after="0"/>
              <w:rPr>
                <w:sz w:val="1"/>
                <w:szCs w:val="1"/>
                <w:color w:val="auto"/>
              </w:rPr>
            </w:pPr>
          </w:p>
        </w:tc>
      </w:tr>
      <w:tr>
        <w:trPr>
          <w:trHeight w:val="77"/>
        </w:trPr>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top w:val="single" w:sz="8" w:color="auto"/>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top w:val="single" w:sz="8" w:color="auto"/>
              <w:bottom w:val="single" w:sz="8" w:color="2C2C2C"/>
            </w:tcBorders>
          </w:tcPr>
          <w:p>
            <w:pPr>
              <w:spacing w:after="0"/>
              <w:rPr>
                <w:sz w:val="6"/>
                <w:szCs w:val="6"/>
                <w:color w:val="auto"/>
              </w:rPr>
            </w:pPr>
          </w:p>
        </w:tc>
        <w:tc>
          <w:tcPr>
            <w:tcW w:w="34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20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136,605</w:t>
            </w:r>
          </w:p>
        </w:tc>
        <w:tc>
          <w:tcPr>
            <w:tcW w:w="106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133,577</w:t>
            </w:r>
          </w:p>
        </w:tc>
        <w:tc>
          <w:tcPr>
            <w:tcW w:w="800" w:type="dxa"/>
            <w:vAlign w:val="bottom"/>
            <w:gridSpan w:val="6"/>
          </w:tcPr>
          <w:p>
            <w:pPr>
              <w:jc w:val="right"/>
              <w:ind w:right="80"/>
              <w:spacing w:after="0"/>
              <w:rPr>
                <w:sz w:val="20"/>
                <w:szCs w:val="20"/>
                <w:color w:val="auto"/>
              </w:rPr>
            </w:pPr>
            <w:r>
              <w:rPr>
                <w:rFonts w:ascii="Courier New" w:cs="Courier New" w:eastAsia="Courier New" w:hAnsi="Courier New"/>
                <w:sz w:val="12"/>
                <w:szCs w:val="12"/>
                <w:color w:val="auto"/>
              </w:rPr>
              <w:t>136,305</w:t>
            </w:r>
          </w:p>
        </w:tc>
        <w:tc>
          <w:tcPr>
            <w:tcW w:w="0" w:type="dxa"/>
            <w:vAlign w:val="bottom"/>
          </w:tcPr>
          <w:p>
            <w:pPr>
              <w:spacing w:after="0"/>
              <w:rPr>
                <w:sz w:val="1"/>
                <w:szCs w:val="1"/>
                <w:color w:val="auto"/>
              </w:rPr>
            </w:pPr>
          </w:p>
        </w:tc>
      </w:tr>
      <w:tr>
        <w:trPr>
          <w:trHeight w:val="72"/>
        </w:trPr>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14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Treasury stock (9,033</w:t>
            </w:r>
          </w:p>
        </w:tc>
        <w:tc>
          <w:tcPr>
            <w:tcW w:w="90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(35 )</w:t>
            </w:r>
          </w:p>
        </w:tc>
        <w:tc>
          <w:tcPr>
            <w:tcW w:w="106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(35 )</w:t>
            </w:r>
          </w:p>
        </w:tc>
        <w:tc>
          <w:tcPr>
            <w:tcW w:w="800" w:type="dxa"/>
            <w:vAlign w:val="bottom"/>
            <w:gridSpan w:val="6"/>
          </w:tcPr>
          <w:p>
            <w:pPr>
              <w:jc w:val="right"/>
              <w:ind w:right="80"/>
              <w:spacing w:after="0"/>
              <w:rPr>
                <w:sz w:val="20"/>
                <w:szCs w:val="20"/>
                <w:color w:val="auto"/>
              </w:rPr>
            </w:pPr>
            <w:r>
              <w:rPr>
                <w:rFonts w:ascii="Courier New" w:cs="Courier New" w:eastAsia="Courier New" w:hAnsi="Courier New"/>
                <w:sz w:val="12"/>
                <w:szCs w:val="12"/>
                <w:color w:val="auto"/>
              </w:rPr>
              <w:t>(35 )</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14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shares)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14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Receivable from</w:t>
            </w:r>
          </w:p>
        </w:tc>
        <w:tc>
          <w:tcPr>
            <w:tcW w:w="90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(729 )</w:t>
            </w:r>
          </w:p>
        </w:tc>
        <w:tc>
          <w:tcPr>
            <w:tcW w:w="106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(729 )</w:t>
            </w:r>
          </w:p>
        </w:tc>
        <w:tc>
          <w:tcPr>
            <w:tcW w:w="800" w:type="dxa"/>
            <w:vAlign w:val="bottom"/>
            <w:gridSpan w:val="6"/>
          </w:tcPr>
          <w:p>
            <w:pPr>
              <w:jc w:val="right"/>
              <w:ind w:right="80"/>
              <w:spacing w:after="0"/>
              <w:rPr>
                <w:sz w:val="20"/>
                <w:szCs w:val="20"/>
                <w:color w:val="auto"/>
              </w:rPr>
            </w:pPr>
            <w:r>
              <w:rPr>
                <w:rFonts w:ascii="Courier New" w:cs="Courier New" w:eastAsia="Courier New" w:hAnsi="Courier New"/>
                <w:sz w:val="12"/>
                <w:szCs w:val="12"/>
                <w:color w:val="auto"/>
              </w:rPr>
              <w:t>(729 )</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14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stockholder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214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Accumulated other</w:t>
            </w:r>
          </w:p>
        </w:tc>
        <w:tc>
          <w:tcPr>
            <w:tcW w:w="90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177</w:t>
            </w:r>
          </w:p>
        </w:tc>
        <w:tc>
          <w:tcPr>
            <w:tcW w:w="106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36</w:t>
            </w:r>
          </w:p>
        </w:tc>
        <w:tc>
          <w:tcPr>
            <w:tcW w:w="800" w:type="dxa"/>
            <w:vAlign w:val="bottom"/>
            <w:gridSpan w:val="6"/>
          </w:tcPr>
          <w:p>
            <w:pPr>
              <w:jc w:val="right"/>
              <w:ind w:right="80"/>
              <w:spacing w:after="0"/>
              <w:rPr>
                <w:sz w:val="20"/>
                <w:szCs w:val="20"/>
                <w:color w:val="auto"/>
              </w:rPr>
            </w:pPr>
            <w:r>
              <w:rPr>
                <w:rFonts w:ascii="Courier New" w:cs="Courier New" w:eastAsia="Courier New" w:hAnsi="Courier New"/>
                <w:sz w:val="12"/>
                <w:szCs w:val="12"/>
                <w:color w:val="auto"/>
              </w:rPr>
              <w:t>144</w:t>
            </w: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214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comprehensive income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Total stockholders</w:t>
            </w:r>
          </w:p>
        </w:tc>
        <w:tc>
          <w:tcPr>
            <w:tcW w:w="90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136,018</w:t>
            </w:r>
          </w:p>
        </w:tc>
        <w:tc>
          <w:tcPr>
            <w:tcW w:w="106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132,849</w:t>
            </w:r>
          </w:p>
        </w:tc>
        <w:tc>
          <w:tcPr>
            <w:tcW w:w="800" w:type="dxa"/>
            <w:vAlign w:val="bottom"/>
            <w:gridSpan w:val="6"/>
          </w:tcPr>
          <w:p>
            <w:pPr>
              <w:jc w:val="right"/>
              <w:ind w:right="80"/>
              <w:spacing w:after="0"/>
              <w:rPr>
                <w:sz w:val="20"/>
                <w:szCs w:val="20"/>
                <w:color w:val="auto"/>
              </w:rPr>
            </w:pPr>
            <w:r>
              <w:rPr>
                <w:rFonts w:ascii="Courier New" w:cs="Courier New" w:eastAsia="Courier New" w:hAnsi="Courier New"/>
                <w:sz w:val="12"/>
                <w:szCs w:val="12"/>
                <w:color w:val="auto"/>
              </w:rPr>
              <w:t>135,685</w:t>
            </w: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equity</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Total liabilities</w:t>
            </w:r>
          </w:p>
        </w:tc>
        <w:tc>
          <w:tcPr>
            <w:tcW w:w="90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$227,937</w:t>
            </w:r>
          </w:p>
        </w:tc>
        <w:tc>
          <w:tcPr>
            <w:tcW w:w="106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$202,710</w:t>
            </w:r>
          </w:p>
        </w:tc>
        <w:tc>
          <w:tcPr>
            <w:tcW w:w="800" w:type="dxa"/>
            <w:vAlign w:val="bottom"/>
            <w:gridSpan w:val="6"/>
          </w:tcPr>
          <w:p>
            <w:pPr>
              <w:jc w:val="right"/>
              <w:ind w:right="80"/>
              <w:spacing w:after="0"/>
              <w:rPr>
                <w:sz w:val="20"/>
                <w:szCs w:val="20"/>
                <w:color w:val="auto"/>
              </w:rPr>
            </w:pPr>
            <w:r>
              <w:rPr>
                <w:rFonts w:ascii="Courier New" w:cs="Courier New" w:eastAsia="Courier New" w:hAnsi="Courier New"/>
                <w:sz w:val="12"/>
                <w:szCs w:val="12"/>
                <w:color w:val="auto"/>
              </w:rPr>
              <w:t>$234,077</w:t>
            </w: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and stockholders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5"/>
          </w:tcPr>
          <w:p>
            <w:pPr>
              <w:ind w:left="60"/>
              <w:spacing w:after="0"/>
              <w:rPr>
                <w:sz w:val="20"/>
                <w:szCs w:val="20"/>
                <w:color w:val="auto"/>
              </w:rPr>
            </w:pPr>
            <w:r>
              <w:rPr>
                <w:rFonts w:ascii="Courier New" w:cs="Courier New" w:eastAsia="Courier New" w:hAnsi="Courier New"/>
                <w:sz w:val="12"/>
                <w:szCs w:val="12"/>
                <w:color w:val="auto"/>
              </w:rPr>
              <w:t>equity</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6"/>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740"/>
        <w:spacing w:after="0"/>
        <w:rPr>
          <w:sz w:val="20"/>
          <w:szCs w:val="20"/>
          <w:color w:val="auto"/>
        </w:rPr>
      </w:pPr>
      <w:r>
        <w:rPr>
          <w:rFonts w:ascii="Courier New" w:cs="Courier New" w:eastAsia="Courier New" w:hAnsi="Courier New"/>
          <w:sz w:val="12"/>
          <w:szCs w:val="12"/>
          <w:color w:val="auto"/>
        </w:rPr>
        <w:t>See Notes to Interim Condensed Consolidated Financial Statements</w:t>
      </w:r>
    </w:p>
    <w:p>
      <w:pPr>
        <w:ind w:left="740"/>
        <w:spacing w:after="0"/>
        <w:rPr>
          <w:sz w:val="20"/>
          <w:szCs w:val="20"/>
          <w:color w:val="auto"/>
        </w:rPr>
      </w:pPr>
      <w:r>
        <w:rPr>
          <w:rFonts w:ascii="Courier New" w:cs="Courier New" w:eastAsia="Courier New" w:hAnsi="Courier New"/>
          <w:sz w:val="12"/>
          <w:szCs w:val="12"/>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1092200</wp:posOffset>
            </wp:positionV>
            <wp:extent cx="3400425" cy="4491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0425" cy="449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2"/>
          <w:szCs w:val="12"/>
          <w:color w:val="auto"/>
        </w:rPr>
        <w:t>EZCORP, Inc. and Subsidiaries</w:t>
      </w:r>
    </w:p>
    <w:p>
      <w:pPr>
        <w:spacing w:after="0" w:line="152" w:lineRule="exact"/>
        <w:rPr>
          <w:sz w:val="20"/>
          <w:szCs w:val="20"/>
          <w:color w:val="auto"/>
        </w:rPr>
      </w:pPr>
    </w:p>
    <w:p>
      <w:pPr>
        <w:ind w:left="600"/>
        <w:spacing w:after="0"/>
        <w:rPr>
          <w:sz w:val="20"/>
          <w:szCs w:val="20"/>
          <w:color w:val="auto"/>
        </w:rPr>
      </w:pPr>
      <w:r>
        <w:rPr>
          <w:rFonts w:ascii="Courier New" w:cs="Courier New" w:eastAsia="Courier New" w:hAnsi="Courier New"/>
          <w:sz w:val="12"/>
          <w:szCs w:val="12"/>
          <w:color w:val="auto"/>
        </w:rPr>
        <w:t>Condensed Consolidated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11"/>
          </w:tcPr>
          <w:p>
            <w:pPr>
              <w:jc w:val="center"/>
              <w:spacing w:after="0"/>
              <w:rPr>
                <w:sz w:val="20"/>
                <w:szCs w:val="20"/>
                <w:color w:val="auto"/>
              </w:rPr>
            </w:pPr>
            <w:r>
              <w:rPr>
                <w:rFonts w:ascii="Courier New" w:cs="Courier New" w:eastAsia="Courier New" w:hAnsi="Courier New"/>
                <w:sz w:val="12"/>
                <w:szCs w:val="12"/>
                <w:color w:val="auto"/>
                <w:w w:val="97"/>
              </w:rPr>
              <w:t>Three Months Ended</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9"/>
          </w:tcPr>
          <w:p>
            <w:pPr>
              <w:jc w:val="center"/>
              <w:ind w:right="260"/>
              <w:spacing w:after="0"/>
              <w:rPr>
                <w:sz w:val="20"/>
                <w:szCs w:val="20"/>
                <w:color w:val="auto"/>
              </w:rPr>
            </w:pPr>
            <w:r>
              <w:rPr>
                <w:rFonts w:ascii="Courier New" w:cs="Courier New" w:eastAsia="Courier New" w:hAnsi="Courier New"/>
                <w:sz w:val="12"/>
                <w:szCs w:val="12"/>
                <w:color w:val="auto"/>
                <w:w w:val="97"/>
              </w:rPr>
              <w:t>December 31,</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1999</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1998</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10"/>
          </w:tcPr>
          <w:p>
            <w:pPr>
              <w:jc w:val="center"/>
              <w:ind w:right="220"/>
              <w:spacing w:after="0"/>
              <w:rPr>
                <w:sz w:val="20"/>
                <w:szCs w:val="20"/>
                <w:color w:val="auto"/>
              </w:rPr>
            </w:pPr>
            <w:r>
              <w:rPr>
                <w:rFonts w:ascii="Courier New" w:cs="Courier New" w:eastAsia="Courier New" w:hAnsi="Courier New"/>
                <w:sz w:val="12"/>
                <w:szCs w:val="12"/>
                <w:i w:val="1"/>
                <w:iCs w:val="1"/>
                <w:color w:val="auto"/>
                <w:w w:val="97"/>
              </w:rPr>
              <w:t>(In thousands,</w:t>
            </w:r>
          </w:p>
        </w:tc>
      </w:tr>
      <w:tr>
        <w:trPr>
          <w:trHeight w:val="135"/>
        </w:trPr>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8"/>
          </w:tcPr>
          <w:p>
            <w:pPr>
              <w:jc w:val="center"/>
              <w:ind w:right="420"/>
              <w:spacing w:after="0"/>
              <w:rPr>
                <w:sz w:val="20"/>
                <w:szCs w:val="20"/>
                <w:color w:val="auto"/>
              </w:rPr>
            </w:pPr>
            <w:r>
              <w:rPr>
                <w:rFonts w:ascii="Courier New" w:cs="Courier New" w:eastAsia="Courier New" w:hAnsi="Courier New"/>
                <w:sz w:val="12"/>
                <w:szCs w:val="12"/>
                <w:i w:val="1"/>
                <w:iCs w:val="1"/>
                <w:color w:val="auto"/>
                <w:w w:val="97"/>
              </w:rPr>
              <w:t>except</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gridSpan w:val="3"/>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11"/>
          </w:tcPr>
          <w:p>
            <w:pPr>
              <w:jc w:val="center"/>
              <w:spacing w:after="0"/>
              <w:rPr>
                <w:sz w:val="20"/>
                <w:szCs w:val="20"/>
                <w:color w:val="auto"/>
              </w:rPr>
            </w:pPr>
            <w:r>
              <w:rPr>
                <w:rFonts w:ascii="Courier New" w:cs="Courier New" w:eastAsia="Courier New" w:hAnsi="Courier New"/>
                <w:sz w:val="12"/>
                <w:szCs w:val="12"/>
                <w:i w:val="1"/>
                <w:iCs w:val="1"/>
                <w:color w:val="auto"/>
                <w:w w:val="97"/>
              </w:rPr>
              <w:t>per share amounts)</w:t>
            </w:r>
          </w:p>
        </w:tc>
      </w:tr>
      <w:tr>
        <w:trPr>
          <w:trHeight w:val="72"/>
        </w:trPr>
        <w:tc>
          <w:tcPr>
            <w:tcW w:w="78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38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Revenues: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Sales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$ 38,090</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$ 34,434</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4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Pawn service charges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25,883</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25,831</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4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71"/>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Other</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256</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150</w:t>
            </w:r>
          </w:p>
        </w:tc>
      </w:tr>
      <w:tr>
        <w:trPr>
          <w:trHeight w:val="77"/>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Pr>
          <w:p>
            <w:pPr>
              <w:ind w:left="60"/>
              <w:spacing w:after="0"/>
              <w:rPr>
                <w:sz w:val="20"/>
                <w:szCs w:val="20"/>
                <w:color w:val="auto"/>
              </w:rPr>
            </w:pPr>
            <w:r>
              <w:rPr>
                <w:rFonts w:ascii="Courier New" w:cs="Courier New" w:eastAsia="Courier New" w:hAnsi="Courier New"/>
                <w:sz w:val="12"/>
                <w:szCs w:val="12"/>
                <w:color w:val="auto"/>
              </w:rPr>
              <w:t>Total revenues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64,229</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60,415</w:t>
            </w:r>
          </w:p>
        </w:tc>
      </w:tr>
      <w:tr>
        <w:trPr>
          <w:trHeight w:val="72"/>
        </w:trPr>
        <w:tc>
          <w:tcPr>
            <w:tcW w:w="388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3880" w:type="dxa"/>
            <w:vAlign w:val="bottom"/>
            <w:tcBorders>
              <w:bottom w:val="single" w:sz="8" w:color="2C2C2C"/>
            </w:tcBorders>
            <w:gridSpan w:val="5"/>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71"/>
        </w:trPr>
        <w:tc>
          <w:tcPr>
            <w:tcW w:w="38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Cost of goods sold</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34,170</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29,022</w:t>
            </w:r>
          </w:p>
        </w:tc>
      </w:tr>
      <w:tr>
        <w:trPr>
          <w:trHeight w:val="77"/>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top w:val="single" w:sz="8" w:color="auto"/>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top w:val="single" w:sz="8" w:color="auto"/>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Pr>
          <w:p>
            <w:pPr>
              <w:ind w:left="60"/>
              <w:spacing w:after="0"/>
              <w:rPr>
                <w:sz w:val="20"/>
                <w:szCs w:val="20"/>
                <w:color w:val="auto"/>
              </w:rPr>
            </w:pPr>
            <w:r>
              <w:rPr>
                <w:rFonts w:ascii="Courier New" w:cs="Courier New" w:eastAsia="Courier New" w:hAnsi="Courier New"/>
                <w:sz w:val="12"/>
                <w:szCs w:val="12"/>
                <w:color w:val="auto"/>
              </w:rPr>
              <w:t>Net revenues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30,059</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31,393</w:t>
            </w:r>
          </w:p>
        </w:tc>
      </w:tr>
      <w:tr>
        <w:trPr>
          <w:trHeight w:val="72"/>
        </w:trPr>
        <w:tc>
          <w:tcPr>
            <w:tcW w:w="78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3880" w:type="dxa"/>
            <w:vAlign w:val="bottom"/>
            <w:tcBorders>
              <w:bottom w:val="single" w:sz="8" w:color="2C2C2C"/>
            </w:tcBorders>
            <w:gridSpan w:val="5"/>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96"/>
        </w:trPr>
        <w:tc>
          <w:tcPr>
            <w:tcW w:w="38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Operating expenses: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4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Operations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21,806</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20,120</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4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Administrative</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4,328</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4,344</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4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71"/>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Depreciation and amortization</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2,522</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2,285</w:t>
            </w:r>
          </w:p>
        </w:tc>
      </w:tr>
      <w:tr>
        <w:trPr>
          <w:trHeight w:val="77"/>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71"/>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Courier New" w:cs="Courier New" w:eastAsia="Courier New" w:hAnsi="Courier New"/>
                <w:sz w:val="12"/>
                <w:szCs w:val="12"/>
                <w:color w:val="auto"/>
              </w:rPr>
              <w:t>Total operating expenses</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28,656</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26,749</w:t>
            </w:r>
          </w:p>
        </w:tc>
      </w:tr>
      <w:tr>
        <w:trPr>
          <w:trHeight w:val="77"/>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top w:val="single" w:sz="8" w:color="auto"/>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top w:val="single" w:sz="8" w:color="auto"/>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2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308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bl>
    <w:p>
      <w:pPr>
        <w:sectPr>
          <w:pgSz w:w="11900" w:h="16900" w:orient="portrait"/>
          <w:cols w:equalWidth="0" w:num="1">
            <w:col w:w="10159"/>
          </w:cols>
          <w:pgMar w:left="300" w:top="245" w:right="1440" w:bottom="0" w:gutter="0" w:footer="0" w:header="0"/>
        </w:sectPr>
      </w:pPr>
    </w:p>
    <w:bookmarkStart w:id="4" w:name="page5"/>
    <w:bookmarkEnd w:id="4"/>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3400425" cy="42805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0425" cy="42805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6"/>
        </w:trPr>
        <w:tc>
          <w:tcPr>
            <w:tcW w:w="38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Operating income</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1,403</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4,644</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2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33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96"/>
        </w:trPr>
        <w:tc>
          <w:tcPr>
            <w:tcW w:w="38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Interest expense, net</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1,332</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846</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38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Equity in net income of unconsolidated affiliate</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(64 )</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(110 )</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71"/>
        </w:trPr>
        <w:tc>
          <w:tcPr>
            <w:tcW w:w="38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(Gain)/loss on sale of assets</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(580 )</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71</w:t>
            </w:r>
          </w:p>
        </w:tc>
      </w:tr>
      <w:tr>
        <w:trPr>
          <w:trHeight w:val="77"/>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top w:val="single" w:sz="8" w:color="auto"/>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2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33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96"/>
        </w:trPr>
        <w:tc>
          <w:tcPr>
            <w:tcW w:w="38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Income before income taxes</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715</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3,837</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2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33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71"/>
        </w:trPr>
        <w:tc>
          <w:tcPr>
            <w:tcW w:w="38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Income tax expense</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265</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1,458</w:t>
            </w:r>
          </w:p>
        </w:tc>
      </w:tr>
      <w:tr>
        <w:trPr>
          <w:trHeight w:val="77"/>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top w:val="single" w:sz="8" w:color="auto"/>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2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33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Pr>
          <w:p>
            <w:pPr>
              <w:ind w:left="60"/>
              <w:spacing w:after="0"/>
              <w:rPr>
                <w:sz w:val="20"/>
                <w:szCs w:val="20"/>
                <w:color w:val="auto"/>
              </w:rPr>
            </w:pPr>
            <w:r>
              <w:rPr>
                <w:rFonts w:ascii="Courier New" w:cs="Courier New" w:eastAsia="Courier New" w:hAnsi="Courier New"/>
                <w:sz w:val="12"/>
                <w:szCs w:val="12"/>
                <w:color w:val="auto"/>
              </w:rPr>
              <w:t>Net income</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$ 450</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$ 2,379</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4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38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Basic and diluted earnings per share</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$ 0.04</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$ 0.20</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4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38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Cash dividends per common share</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$ 0.0125</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$ 0.0125</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4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2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3640" w:type="dxa"/>
            <w:vAlign w:val="bottom"/>
            <w:tcBorders>
              <w:bottom w:val="single" w:sz="8" w:color="2C2C2C"/>
            </w:tcBorders>
            <w:gridSpan w:val="3"/>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96"/>
        </w:trPr>
        <w:tc>
          <w:tcPr>
            <w:tcW w:w="388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Weighted average shares outstanding</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4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Basic</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12,012</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12,002</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4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gridSpan w:val="3"/>
          </w:tcPr>
          <w:p>
            <w:pPr>
              <w:ind w:left="60"/>
              <w:spacing w:after="0"/>
              <w:rPr>
                <w:sz w:val="20"/>
                <w:szCs w:val="20"/>
                <w:color w:val="auto"/>
              </w:rPr>
            </w:pPr>
            <w:r>
              <w:rPr>
                <w:rFonts w:ascii="Courier New" w:cs="Courier New" w:eastAsia="Courier New" w:hAnsi="Courier New"/>
                <w:sz w:val="12"/>
                <w:szCs w:val="12"/>
                <w:color w:val="auto"/>
              </w:rPr>
              <w:t>Diluted</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12,012</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12,009</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5"/>
          </w:tcPr>
          <w:p>
            <w:pPr>
              <w:jc w:val="right"/>
              <w:ind w:right="60"/>
              <w:spacing w:after="0"/>
              <w:rPr>
                <w:sz w:val="20"/>
                <w:szCs w:val="20"/>
                <w:color w:val="auto"/>
              </w:rPr>
            </w:pPr>
            <w:r>
              <w:rPr>
                <w:rFonts w:ascii="Courier New" w:cs="Courier New" w:eastAsia="Courier New" w:hAnsi="Courier New"/>
                <w:sz w:val="12"/>
                <w:szCs w:val="12"/>
                <w:color w:val="auto"/>
              </w:rPr>
              <w:t>========</w:t>
            </w: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bl>
    <w:p>
      <w:pPr>
        <w:spacing w:after="0" w:line="348"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See Notes to Interim Condensed Consolidated Financial Statements</w:t>
      </w:r>
    </w:p>
    <w:p>
      <w:pPr>
        <w:ind w:left="80"/>
        <w:spacing w:after="0"/>
        <w:rPr>
          <w:sz w:val="20"/>
          <w:szCs w:val="20"/>
          <w:color w:val="auto"/>
        </w:rPr>
      </w:pPr>
      <w:r>
        <w:rPr>
          <w:rFonts w:ascii="Courier New" w:cs="Courier New" w:eastAsia="Courier New" w:hAnsi="Courier New"/>
          <w:sz w:val="12"/>
          <w:szCs w:val="12"/>
          <w:color w:val="auto"/>
        </w:rPr>
        <w:t>(unaudited).</w:t>
      </w: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b w:val="1"/>
          <w:bCs w:val="1"/>
          <w:color w:val="auto"/>
        </w:rPr>
        <w:t>EZCORP, Inc. and Subsidiaries</w:t>
      </w:r>
    </w:p>
    <w:p>
      <w:pPr>
        <w:spacing w:after="0" w:line="36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b w:val="1"/>
          <w:bCs w:val="1"/>
          <w:color w:val="auto"/>
        </w:rPr>
        <w:t>Notes to Interim Condensed Consolidated Financial Statements (Unaudited)</w:t>
      </w:r>
    </w:p>
    <w:p>
      <w:pPr>
        <w:spacing w:after="0" w:line="36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b w:val="1"/>
          <w:bCs w:val="1"/>
          <w:color w:val="auto"/>
        </w:rPr>
        <w:t>December 31, 1999</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Note A: Basis of Presentation</w:t>
      </w:r>
    </w:p>
    <w:p>
      <w:pPr>
        <w:spacing w:after="0" w:line="373"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2"/>
          <w:szCs w:val="12"/>
          <w:color w:val="auto"/>
        </w:rPr>
        <w:t>The accompanying unaudited condensed consolidated financial statements have been prepared in accordance with generally accepted accounting principles for interim and Article 10 of Regulation S-X. Accordingly, they do not include all of the information and footnotes required by generally accepted accounting principles for (consisting of normal recurring entries) considered necessary for a fair presentation have been included. The accompanying financial statements should be read wi Annual Report on Form 10-K for the year ended September 30, 1999.</w:t>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Company's business is subject to seasonal variations, and operating</w:t>
      </w:r>
    </w:p>
    <w:p>
      <w:pPr>
        <w:spacing w:after="0"/>
        <w:rPr>
          <w:sz w:val="20"/>
          <w:szCs w:val="20"/>
          <w:color w:val="auto"/>
        </w:rPr>
      </w:pPr>
      <w:r>
        <w:rPr>
          <w:rFonts w:ascii="Courier New" w:cs="Courier New" w:eastAsia="Courier New" w:hAnsi="Courier New"/>
          <w:sz w:val="12"/>
          <w:szCs w:val="12"/>
          <w:color w:val="auto"/>
        </w:rPr>
        <w:t>results for the three-month period ended December 31, 1999 are not necessarily indicative of the results of operations for the full fiscal year.</w:t>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Note B: Accounting Principles and Practices</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provision for federal income taxes has been calculated based on the Company's estimate of its effective tax rate for the full fiscal year.</w:t>
      </w:r>
    </w:p>
    <w:p>
      <w:pPr>
        <w:spacing w:after="0" w:line="121" w:lineRule="exact"/>
        <w:rPr>
          <w:sz w:val="20"/>
          <w:szCs w:val="20"/>
          <w:color w:val="auto"/>
        </w:rPr>
      </w:pPr>
    </w:p>
    <w:p>
      <w:pPr>
        <w:jc w:val="both"/>
        <w:spacing w:after="0" w:line="273" w:lineRule="auto"/>
        <w:rPr>
          <w:sz w:val="20"/>
          <w:szCs w:val="20"/>
          <w:color w:val="auto"/>
        </w:rPr>
      </w:pPr>
      <w:r>
        <w:rPr>
          <w:rFonts w:ascii="Courier New" w:cs="Courier New" w:eastAsia="Courier New" w:hAnsi="Courier New"/>
          <w:sz w:val="11"/>
          <w:szCs w:val="11"/>
          <w:color w:val="auto"/>
        </w:rPr>
        <w:t>The Company provides inventory reserves for shrinkage and cost in excess of market value. The Company estimates these reserves using analysis of sales trends, inv At December 31, 1999, September 30, 1999, and December 31, 1998, inventory reserves were $8.7 million, $8.3 million, and $7.4 million, respectively.</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Property and equipment is shown net of accumulated depreciation of $39.6 million, $37.6 million and $31.4 million at December 31, 1999, September 30, 1999, and De</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Certain prior year balances have been reclassified to conform with the fiscal 2000 presentation.</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Note C: Earnings Per Share</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following table sets forth the computation of 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3434715" cy="2531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4715" cy="2531745"/>
                    </a:xfrm>
                    <a:prstGeom prst="rect">
                      <a:avLst/>
                    </a:prstGeom>
                    <a:noFill/>
                  </pic:spPr>
                </pic:pic>
              </a:graphicData>
            </a:graphic>
          </wp:anchor>
        </w:drawing>
      </w:r>
    </w:p>
    <w:p>
      <w:pPr>
        <w:spacing w:after="0" w:line="186" w:lineRule="exact"/>
        <w:rPr>
          <w:sz w:val="20"/>
          <w:szCs w:val="20"/>
          <w:color w:val="auto"/>
        </w:rPr>
      </w:pPr>
    </w:p>
    <w:p>
      <w:pPr>
        <w:jc w:val="center"/>
        <w:ind w:right="5960"/>
        <w:spacing w:after="0"/>
        <w:rPr>
          <w:sz w:val="20"/>
          <w:szCs w:val="20"/>
          <w:color w:val="auto"/>
        </w:rPr>
      </w:pPr>
      <w:r>
        <w:rPr>
          <w:rFonts w:ascii="Courier New" w:cs="Courier New" w:eastAsia="Courier New" w:hAnsi="Courier New"/>
          <w:sz w:val="12"/>
          <w:szCs w:val="12"/>
          <w:color w:val="auto"/>
        </w:rPr>
        <w:t>EZCORP, Inc. and Subsidiaries</w:t>
      </w:r>
    </w:p>
    <w:p>
      <w:pPr>
        <w:spacing w:after="0" w:line="152" w:lineRule="exact"/>
        <w:rPr>
          <w:sz w:val="20"/>
          <w:szCs w:val="20"/>
          <w:color w:val="auto"/>
        </w:rPr>
      </w:pPr>
    </w:p>
    <w:p>
      <w:pPr>
        <w:ind w:left="620"/>
        <w:spacing w:after="0"/>
        <w:rPr>
          <w:sz w:val="20"/>
          <w:szCs w:val="20"/>
          <w:color w:val="auto"/>
        </w:rPr>
      </w:pPr>
      <w:r>
        <w:rPr>
          <w:rFonts w:ascii="Courier New" w:cs="Courier New" w:eastAsia="Courier New" w:hAnsi="Courier New"/>
          <w:sz w:val="12"/>
          <w:szCs w:val="12"/>
          <w:color w:val="auto"/>
        </w:rPr>
        <w:t>Condensed Consolidated Statements of Cash Flows (Unaudited)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tcPr>
          <w:p>
            <w:pPr>
              <w:jc w:val="center"/>
              <w:spacing w:after="0"/>
              <w:rPr>
                <w:sz w:val="20"/>
                <w:szCs w:val="20"/>
                <w:color w:val="auto"/>
              </w:rPr>
            </w:pPr>
            <w:r>
              <w:rPr>
                <w:rFonts w:ascii="Courier New" w:cs="Courier New" w:eastAsia="Courier New" w:hAnsi="Courier New"/>
                <w:sz w:val="12"/>
                <w:szCs w:val="12"/>
                <w:color w:val="auto"/>
                <w:w w:val="98"/>
              </w:rPr>
              <w:t>Three Months Ended</w:t>
            </w:r>
          </w:p>
        </w:tc>
        <w:tc>
          <w:tcPr>
            <w:tcW w:w="0" w:type="dxa"/>
            <w:vAlign w:val="bottom"/>
          </w:tcPr>
          <w:p>
            <w:pPr>
              <w:spacing w:after="0"/>
              <w:rPr>
                <w:sz w:val="1"/>
                <w:szCs w:val="1"/>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gridSpan w:val="3"/>
            <w:vMerge w:val="restart"/>
          </w:tcPr>
          <w:p>
            <w:pPr>
              <w:jc w:val="center"/>
              <w:spacing w:after="0"/>
              <w:rPr>
                <w:sz w:val="20"/>
                <w:szCs w:val="20"/>
                <w:color w:val="auto"/>
              </w:rPr>
            </w:pPr>
            <w:r>
              <w:rPr>
                <w:rFonts w:ascii="Courier New" w:cs="Courier New" w:eastAsia="Courier New" w:hAnsi="Courier New"/>
                <w:sz w:val="12"/>
                <w:szCs w:val="12"/>
                <w:color w:val="auto"/>
                <w:w w:val="97"/>
              </w:rPr>
              <w:t>December 31,</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20" w:type="dxa"/>
            <w:vAlign w:val="bottom"/>
            <w:gridSpan w:val="2"/>
          </w:tcPr>
          <w:p>
            <w:pPr>
              <w:jc w:val="right"/>
              <w:ind w:right="2"/>
              <w:spacing w:after="0"/>
              <w:rPr>
                <w:sz w:val="20"/>
                <w:szCs w:val="20"/>
                <w:color w:val="auto"/>
              </w:rPr>
            </w:pPr>
            <w:r>
              <w:rPr>
                <w:rFonts w:ascii="Courier New" w:cs="Courier New" w:eastAsia="Courier New" w:hAnsi="Courier New"/>
                <w:sz w:val="12"/>
                <w:szCs w:val="12"/>
                <w:color w:val="auto"/>
              </w:rPr>
              <w:t>1999</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1998</w:t>
            </w:r>
          </w:p>
        </w:tc>
        <w:tc>
          <w:tcPr>
            <w:tcW w:w="0" w:type="dxa"/>
            <w:vAlign w:val="bottom"/>
          </w:tcPr>
          <w:p>
            <w:pPr>
              <w:spacing w:after="0"/>
              <w:rPr>
                <w:sz w:val="1"/>
                <w:szCs w:val="1"/>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3"/>
          </w:tcPr>
          <w:p>
            <w:pPr>
              <w:jc w:val="center"/>
              <w:spacing w:after="0"/>
              <w:rPr>
                <w:sz w:val="20"/>
                <w:szCs w:val="20"/>
                <w:color w:val="auto"/>
              </w:rPr>
            </w:pPr>
            <w:r>
              <w:rPr>
                <w:rFonts w:ascii="Courier New" w:cs="Courier New" w:eastAsia="Courier New" w:hAnsi="Courier New"/>
                <w:sz w:val="12"/>
                <w:szCs w:val="12"/>
                <w:i w:val="1"/>
                <w:iCs w:val="1"/>
                <w:color w:val="auto"/>
                <w:w w:val="99"/>
              </w:rPr>
              <w:t>(In thousands)</w:t>
            </w:r>
          </w:p>
        </w:tc>
        <w:tc>
          <w:tcPr>
            <w:tcW w:w="0" w:type="dxa"/>
            <w:vAlign w:val="bottom"/>
          </w:tcPr>
          <w:p>
            <w:pPr>
              <w:spacing w:after="0"/>
              <w:rPr>
                <w:sz w:val="1"/>
                <w:szCs w:val="1"/>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560" w:type="dxa"/>
            <w:vAlign w:val="bottom"/>
            <w:tcBorders>
              <w:bottom w:val="single" w:sz="8" w:color="2C2C2C"/>
            </w:tcBorders>
            <w:gridSpan w:val="6"/>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80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Operating Activities:</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560" w:type="dxa"/>
            <w:vAlign w:val="bottom"/>
            <w:tcBorders>
              <w:bottom w:val="single" w:sz="8" w:color="2C2C2C"/>
            </w:tcBorders>
            <w:gridSpan w:val="6"/>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Net income</w:t>
            </w:r>
          </w:p>
        </w:tc>
        <w:tc>
          <w:tcPr>
            <w:tcW w:w="7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$ 450</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$ 2,379</w:t>
            </w:r>
          </w:p>
        </w:tc>
        <w:tc>
          <w:tcPr>
            <w:tcW w:w="0" w:type="dxa"/>
            <w:vAlign w:val="bottom"/>
          </w:tcPr>
          <w:p>
            <w:pPr>
              <w:spacing w:after="0"/>
              <w:rPr>
                <w:sz w:val="1"/>
                <w:szCs w:val="1"/>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560" w:type="dxa"/>
            <w:vAlign w:val="bottom"/>
            <w:tcBorders>
              <w:bottom w:val="single" w:sz="8" w:color="2C2C2C"/>
            </w:tcBorders>
            <w:gridSpan w:val="6"/>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Adjustments to reconcile net income to net cash</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6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provided by operating activities:</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3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Depreciation and amortization</w:t>
            </w:r>
          </w:p>
        </w:tc>
        <w:tc>
          <w:tcPr>
            <w:tcW w:w="7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2,522</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2,285</w:t>
            </w:r>
          </w:p>
        </w:tc>
        <w:tc>
          <w:tcPr>
            <w:tcW w:w="0" w:type="dxa"/>
            <w:vAlign w:val="bottom"/>
          </w:tcPr>
          <w:p>
            <w:pPr>
              <w:spacing w:after="0"/>
              <w:rPr>
                <w:sz w:val="1"/>
                <w:szCs w:val="1"/>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3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5"/>
          </w:tcPr>
          <w:p>
            <w:pPr>
              <w:ind w:left="80"/>
              <w:spacing w:after="0"/>
              <w:rPr>
                <w:sz w:val="20"/>
                <w:szCs w:val="20"/>
                <w:color w:val="auto"/>
              </w:rPr>
            </w:pPr>
            <w:r>
              <w:rPr>
                <w:rFonts w:ascii="Courier New" w:cs="Courier New" w:eastAsia="Courier New" w:hAnsi="Courier New"/>
                <w:sz w:val="12"/>
                <w:szCs w:val="12"/>
                <w:color w:val="auto"/>
                <w:w w:val="99"/>
              </w:rPr>
              <w:t>Net (gain)/loss on sale or disposal of assets</w:t>
            </w:r>
          </w:p>
        </w:tc>
        <w:tc>
          <w:tcPr>
            <w:tcW w:w="7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(580 )</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71</w:t>
            </w:r>
          </w:p>
        </w:tc>
        <w:tc>
          <w:tcPr>
            <w:tcW w:w="0" w:type="dxa"/>
            <w:vAlign w:val="bottom"/>
          </w:tcPr>
          <w:p>
            <w:pPr>
              <w:spacing w:after="0"/>
              <w:rPr>
                <w:sz w:val="1"/>
                <w:szCs w:val="1"/>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3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Income from investment in unconsolidated</w:t>
            </w:r>
          </w:p>
        </w:tc>
        <w:tc>
          <w:tcPr>
            <w:tcW w:w="7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(64 )</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(110 )</w:t>
            </w: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340" w:type="dxa"/>
            <w:vAlign w:val="bottom"/>
            <w:gridSpan w:val="5"/>
          </w:tcPr>
          <w:p>
            <w:pPr>
              <w:ind w:left="80"/>
              <w:spacing w:after="0"/>
              <w:rPr>
                <w:sz w:val="20"/>
                <w:szCs w:val="20"/>
                <w:color w:val="auto"/>
              </w:rPr>
            </w:pPr>
            <w:r>
              <w:rPr>
                <w:rFonts w:ascii="Courier New" w:cs="Courier New" w:eastAsia="Courier New" w:hAnsi="Courier New"/>
                <w:sz w:val="12"/>
                <w:szCs w:val="12"/>
                <w:color w:val="auto"/>
              </w:rPr>
              <w:t>affiliate</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62" w:orient="portrait"/>
          <w:cols w:equalWidth="0" w:num="1">
            <w:col w:w="11360"/>
          </w:cols>
          <w:pgMar w:left="300" w:top="182" w:right="239" w:bottom="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3434715" cy="8303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34715" cy="83038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6"/>
        </w:trPr>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Changes in operating assets and liabilities: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Service charges receivable</w:t>
            </w: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2,011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43</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Inventory</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(2,791</w:t>
            </w:r>
          </w:p>
        </w:tc>
        <w:tc>
          <w:tcPr>
            <w:tcW w:w="22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(5,140</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Prepaid expenses and other assets</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(162</w:t>
            </w:r>
          </w:p>
        </w:tc>
        <w:tc>
          <w:tcPr>
            <w:tcW w:w="22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(499</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Accounts payable and accrued expenses</w:t>
            </w: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1,006</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1,698</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Customer layaway deposits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w w:val="82"/>
              </w:rPr>
              <w:t>70</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226</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Other long-term liabilities</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(17</w:t>
            </w:r>
          </w:p>
        </w:tc>
        <w:tc>
          <w:tcPr>
            <w:tcW w:w="22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(12</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Federal income taxes receivable</w:t>
            </w: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1,695</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840</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71"/>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Federal income taxes payable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w w:val="82"/>
              </w:rPr>
              <w:t>54</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591</w:t>
            </w:r>
          </w:p>
        </w:tc>
        <w:tc>
          <w:tcPr>
            <w:tcW w:w="60" w:type="dxa"/>
            <w:vAlign w:val="bottom"/>
          </w:tcPr>
          <w:p>
            <w:pPr>
              <w:spacing w:after="0"/>
              <w:rPr>
                <w:sz w:val="14"/>
                <w:szCs w:val="14"/>
                <w:color w:val="auto"/>
              </w:rPr>
            </w:pPr>
          </w:p>
        </w:tc>
      </w:tr>
      <w:tr>
        <w:trPr>
          <w:trHeight w:val="77"/>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22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gridSpan w:val="2"/>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Net cash provided by operating</w:t>
            </w: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4,194</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2,372</w:t>
            </w:r>
          </w:p>
        </w:tc>
        <w:tc>
          <w:tcPr>
            <w:tcW w:w="60" w:type="dxa"/>
            <w:vAlign w:val="bottom"/>
          </w:tcPr>
          <w:p>
            <w:pPr>
              <w:spacing w:after="0"/>
              <w:rPr>
                <w:sz w:val="17"/>
                <w:szCs w:val="17"/>
                <w:color w:val="auto"/>
              </w:rPr>
            </w:pPr>
          </w:p>
        </w:tc>
      </w:tr>
      <w:tr>
        <w:trPr>
          <w:trHeight w:val="135"/>
        </w:trPr>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activities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340" w:type="dxa"/>
            <w:vAlign w:val="bottom"/>
            <w:tcBorders>
              <w:bottom w:val="single" w:sz="8" w:color="2C2C2C"/>
            </w:tcBorders>
            <w:gridSpan w:val="3"/>
          </w:tcPr>
          <w:p>
            <w:pPr>
              <w:spacing w:after="0"/>
              <w:rPr>
                <w:sz w:val="23"/>
                <w:szCs w:val="23"/>
                <w:color w:val="auto"/>
              </w:rPr>
            </w:pPr>
          </w:p>
        </w:tc>
        <w:tc>
          <w:tcPr>
            <w:tcW w:w="220" w:type="dxa"/>
            <w:vAlign w:val="bottom"/>
            <w:tcBorders>
              <w:bottom w:val="single" w:sz="8" w:color="2C2C2C"/>
            </w:tcBorders>
            <w:gridSpan w:val="2"/>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460" w:type="dxa"/>
            <w:vAlign w:val="bottom"/>
            <w:tcBorders>
              <w:bottom w:val="single" w:sz="8" w:color="2C2C2C"/>
            </w:tcBorders>
            <w:gridSpan w:val="2"/>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96"/>
        </w:trPr>
        <w:tc>
          <w:tcPr>
            <w:tcW w:w="38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Investing Activities: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Pawn loans forfeited and transferred to</w:t>
            </w: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22,912</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20,795</w:t>
            </w:r>
          </w:p>
        </w:tc>
        <w:tc>
          <w:tcPr>
            <w:tcW w:w="60" w:type="dxa"/>
            <w:vAlign w:val="bottom"/>
          </w:tcPr>
          <w:p>
            <w:pPr>
              <w:spacing w:after="0"/>
              <w:rPr>
                <w:sz w:val="17"/>
                <w:szCs w:val="17"/>
                <w:color w:val="auto"/>
              </w:rPr>
            </w:pPr>
          </w:p>
        </w:tc>
      </w:tr>
      <w:tr>
        <w:trPr>
          <w:trHeight w:val="135"/>
        </w:trPr>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inventory</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Pawn loans made</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(47,314</w:t>
            </w:r>
          </w:p>
        </w:tc>
        <w:tc>
          <w:tcPr>
            <w:tcW w:w="22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(50,548</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71"/>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Pawn loans repaid</w:t>
            </w: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31,419</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31,032</w:t>
            </w:r>
          </w:p>
        </w:tc>
        <w:tc>
          <w:tcPr>
            <w:tcW w:w="60" w:type="dxa"/>
            <w:vAlign w:val="bottom"/>
          </w:tcPr>
          <w:p>
            <w:pPr>
              <w:spacing w:after="0"/>
              <w:rPr>
                <w:sz w:val="14"/>
                <w:szCs w:val="14"/>
                <w:color w:val="auto"/>
              </w:rPr>
            </w:pPr>
          </w:p>
        </w:tc>
      </w:tr>
      <w:tr>
        <w:trPr>
          <w:trHeight w:val="77"/>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60" w:type="dxa"/>
            <w:vAlign w:val="bottom"/>
            <w:tcBorders>
              <w:top w:val="single" w:sz="8" w:color="auto"/>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80" w:type="dxa"/>
            <w:vAlign w:val="bottom"/>
            <w:tcBorders>
              <w:top w:val="single" w:sz="8" w:color="auto"/>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Net decrease in loans</w:t>
            </w: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7,017</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1,279</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2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460" w:type="dxa"/>
            <w:vAlign w:val="bottom"/>
            <w:tcBorders>
              <w:bottom w:val="single" w:sz="8" w:color="2C2C2C"/>
            </w:tcBorders>
            <w:gridSpan w:val="2"/>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Additions to property, plant, and equipment</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(6,239</w:t>
            </w:r>
          </w:p>
        </w:tc>
        <w:tc>
          <w:tcPr>
            <w:tcW w:w="22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(7,500</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Acquisitions, net of cash acquired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(504</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Investment in unconsolidated affiliate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(2,031</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71"/>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Proceeds from sale of assets</w:t>
            </w: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3,545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4"/>
                <w:szCs w:val="14"/>
                <w:color w:val="auto"/>
              </w:rPr>
            </w:pPr>
          </w:p>
        </w:tc>
      </w:tr>
      <w:tr>
        <w:trPr>
          <w:trHeight w:val="77"/>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top w:val="single" w:sz="8" w:color="auto"/>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2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Net cash provided by/(used in) investing</w:t>
            </w: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4,323</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(8,756</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7"/>
                <w:szCs w:val="17"/>
                <w:color w:val="auto"/>
              </w:rPr>
            </w:pPr>
          </w:p>
        </w:tc>
      </w:tr>
      <w:tr>
        <w:trPr>
          <w:trHeight w:val="135"/>
        </w:trPr>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activities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72"/>
        </w:trPr>
        <w:tc>
          <w:tcPr>
            <w:tcW w:w="340" w:type="dxa"/>
            <w:vAlign w:val="bottom"/>
            <w:tcBorders>
              <w:bottom w:val="single" w:sz="8" w:color="2C2C2C"/>
            </w:tcBorders>
            <w:gridSpan w:val="3"/>
          </w:tcPr>
          <w:p>
            <w:pPr>
              <w:spacing w:after="0"/>
              <w:rPr>
                <w:sz w:val="6"/>
                <w:szCs w:val="6"/>
                <w:color w:val="auto"/>
              </w:rPr>
            </w:pPr>
          </w:p>
        </w:tc>
        <w:tc>
          <w:tcPr>
            <w:tcW w:w="22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580" w:type="dxa"/>
            <w:vAlign w:val="bottom"/>
            <w:tcBorders>
              <w:bottom w:val="single" w:sz="8" w:color="2C2C2C"/>
            </w:tcBorders>
            <w:gridSpan w:val="6"/>
          </w:tcPr>
          <w:p>
            <w:pPr>
              <w:spacing w:after="0"/>
              <w:rPr>
                <w:sz w:val="23"/>
                <w:szCs w:val="23"/>
                <w:color w:val="auto"/>
              </w:rPr>
            </w:pPr>
          </w:p>
        </w:tc>
        <w:tc>
          <w:tcPr>
            <w:tcW w:w="2460" w:type="dxa"/>
            <w:vAlign w:val="bottom"/>
            <w:tcBorders>
              <w:bottom w:val="single" w:sz="8" w:color="2C2C2C"/>
            </w:tcBorders>
            <w:gridSpan w:val="2"/>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96"/>
        </w:trPr>
        <w:tc>
          <w:tcPr>
            <w:tcW w:w="38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Financing Activities: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3"/>
          </w:tcPr>
          <w:p>
            <w:pPr>
              <w:spacing w:after="0"/>
              <w:rPr>
                <w:sz w:val="6"/>
                <w:szCs w:val="6"/>
                <w:color w:val="auto"/>
              </w:rPr>
            </w:pPr>
          </w:p>
        </w:tc>
        <w:tc>
          <w:tcPr>
            <w:tcW w:w="246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Proceeds from bank borrowings</w:t>
            </w: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5,000</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10,000</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3"/>
          </w:tcPr>
          <w:p>
            <w:pPr>
              <w:spacing w:after="0"/>
              <w:rPr>
                <w:sz w:val="6"/>
                <w:szCs w:val="6"/>
                <w:color w:val="auto"/>
              </w:rPr>
            </w:pPr>
          </w:p>
        </w:tc>
        <w:tc>
          <w:tcPr>
            <w:tcW w:w="246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Payments on borrowings</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(13,003</w:t>
            </w:r>
          </w:p>
        </w:tc>
        <w:tc>
          <w:tcPr>
            <w:tcW w:w="22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(2,002</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gridSpan w:val="3"/>
          </w:tcPr>
          <w:p>
            <w:pPr>
              <w:spacing w:after="0"/>
              <w:rPr>
                <w:sz w:val="6"/>
                <w:szCs w:val="6"/>
                <w:color w:val="auto"/>
              </w:rPr>
            </w:pPr>
          </w:p>
        </w:tc>
        <w:tc>
          <w:tcPr>
            <w:tcW w:w="246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71"/>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gridSpan w:val="7"/>
          </w:tcPr>
          <w:p>
            <w:pPr>
              <w:ind w:left="80"/>
              <w:spacing w:after="0"/>
              <w:rPr>
                <w:sz w:val="20"/>
                <w:szCs w:val="20"/>
                <w:color w:val="auto"/>
              </w:rPr>
            </w:pPr>
            <w:r>
              <w:rPr>
                <w:rFonts w:ascii="Courier New" w:cs="Courier New" w:eastAsia="Courier New" w:hAnsi="Courier New"/>
                <w:sz w:val="12"/>
                <w:szCs w:val="12"/>
                <w:color w:val="auto"/>
              </w:rPr>
              <w:t>Payment of dividends</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(150</w:t>
            </w:r>
          </w:p>
        </w:tc>
        <w:tc>
          <w:tcPr>
            <w:tcW w:w="22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150</w:t>
            </w: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4"/>
                <w:szCs w:val="14"/>
                <w:color w:val="auto"/>
              </w:rPr>
            </w:pPr>
          </w:p>
        </w:tc>
      </w:tr>
      <w:tr>
        <w:trPr>
          <w:trHeight w:val="77"/>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top w:val="single" w:sz="8" w:color="auto"/>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top w:val="single" w:sz="8" w:color="auto"/>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2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gridSpan w:val="2"/>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gridSpan w:val="2"/>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71"/>
        </w:trPr>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Net cash provided by/(used in)</w:t>
            </w:r>
          </w:p>
        </w:tc>
        <w:tc>
          <w:tcPr>
            <w:tcW w:w="580" w:type="dxa"/>
            <w:vAlign w:val="bottom"/>
            <w:gridSpan w:val="5"/>
          </w:tcPr>
          <w:p>
            <w:pPr>
              <w:jc w:val="right"/>
              <w:spacing w:after="0"/>
              <w:rPr>
                <w:sz w:val="20"/>
                <w:szCs w:val="20"/>
                <w:color w:val="auto"/>
              </w:rPr>
            </w:pPr>
            <w:r>
              <w:rPr>
                <w:rFonts w:ascii="Courier New" w:cs="Courier New" w:eastAsia="Courier New" w:hAnsi="Courier New"/>
                <w:sz w:val="12"/>
                <w:szCs w:val="12"/>
                <w:color w:val="auto"/>
              </w:rPr>
              <w:t>(8,153</w:t>
            </w:r>
          </w:p>
        </w:tc>
        <w:tc>
          <w:tcPr>
            <w:tcW w:w="220" w:type="dxa"/>
            <w:vAlign w:val="bottom"/>
            <w:gridSpan w:val="2"/>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7,848</w:t>
            </w:r>
          </w:p>
        </w:tc>
        <w:tc>
          <w:tcPr>
            <w:tcW w:w="60" w:type="dxa"/>
            <w:vAlign w:val="bottom"/>
          </w:tcPr>
          <w:p>
            <w:pPr>
              <w:spacing w:after="0"/>
              <w:rPr>
                <w:sz w:val="14"/>
                <w:szCs w:val="14"/>
                <w:color w:val="auto"/>
              </w:rPr>
            </w:pPr>
          </w:p>
        </w:tc>
      </w:tr>
      <w:tr>
        <w:trPr>
          <w:trHeight w:val="140"/>
        </w:trPr>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financing activities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72"/>
        </w:trPr>
        <w:tc>
          <w:tcPr>
            <w:tcW w:w="3040" w:type="dxa"/>
            <w:vAlign w:val="bottom"/>
            <w:tcBorders>
              <w:bottom w:val="single" w:sz="8" w:color="2C2C2C"/>
            </w:tcBorders>
            <w:gridSpan w:val="8"/>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3040" w:type="dxa"/>
            <w:vAlign w:val="bottom"/>
            <w:tcBorders>
              <w:bottom w:val="single" w:sz="8" w:color="2C2C2C"/>
            </w:tcBorders>
            <w:gridSpan w:val="8"/>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gridSpan w:val="2"/>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gridSpan w:val="2"/>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96"/>
        </w:trPr>
        <w:tc>
          <w:tcPr>
            <w:tcW w:w="38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Change in cash and cash equivalents</w:t>
            </w: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364</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1,464</w:t>
            </w:r>
          </w:p>
        </w:tc>
        <w:tc>
          <w:tcPr>
            <w:tcW w:w="60" w:type="dxa"/>
            <w:vAlign w:val="bottom"/>
          </w:tcPr>
          <w:p>
            <w:pPr>
              <w:spacing w:after="0"/>
              <w:rPr>
                <w:sz w:val="17"/>
                <w:szCs w:val="17"/>
                <w:color w:val="auto"/>
              </w:rPr>
            </w:pPr>
          </w:p>
        </w:tc>
      </w:tr>
      <w:tr>
        <w:trPr>
          <w:trHeight w:val="72"/>
        </w:trPr>
        <w:tc>
          <w:tcPr>
            <w:tcW w:w="3040" w:type="dxa"/>
            <w:vAlign w:val="bottom"/>
            <w:tcBorders>
              <w:bottom w:val="single" w:sz="8" w:color="2C2C2C"/>
            </w:tcBorders>
            <w:gridSpan w:val="8"/>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3040" w:type="dxa"/>
            <w:vAlign w:val="bottom"/>
            <w:tcBorders>
              <w:bottom w:val="single" w:sz="8" w:color="2C2C2C"/>
            </w:tcBorders>
            <w:gridSpan w:val="8"/>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gridSpan w:val="2"/>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gridSpan w:val="2"/>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71"/>
        </w:trPr>
        <w:tc>
          <w:tcPr>
            <w:tcW w:w="38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Cash and cash equivalents at beginning of</w:t>
            </w: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2,899</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1,328</w:t>
            </w:r>
          </w:p>
        </w:tc>
        <w:tc>
          <w:tcPr>
            <w:tcW w:w="60" w:type="dxa"/>
            <w:vAlign w:val="bottom"/>
          </w:tcPr>
          <w:p>
            <w:pPr>
              <w:spacing w:after="0"/>
              <w:rPr>
                <w:sz w:val="14"/>
                <w:szCs w:val="14"/>
                <w:color w:val="auto"/>
              </w:rPr>
            </w:pPr>
          </w:p>
        </w:tc>
      </w:tr>
      <w:tr>
        <w:trPr>
          <w:trHeight w:val="140"/>
        </w:trPr>
        <w:tc>
          <w:tcPr>
            <w:tcW w:w="38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period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72"/>
        </w:trPr>
        <w:tc>
          <w:tcPr>
            <w:tcW w:w="3040" w:type="dxa"/>
            <w:vAlign w:val="bottom"/>
            <w:tcBorders>
              <w:bottom w:val="single" w:sz="8" w:color="2C2C2C"/>
            </w:tcBorders>
            <w:gridSpan w:val="8"/>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38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$ 3,263</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$ 2,792</w:t>
            </w: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7"/>
                <w:szCs w:val="17"/>
                <w:color w:val="auto"/>
              </w:rPr>
            </w:pPr>
          </w:p>
        </w:tc>
      </w:tr>
      <w:tr>
        <w:trPr>
          <w:trHeight w:val="72"/>
        </w:trPr>
        <w:tc>
          <w:tcPr>
            <w:tcW w:w="3040" w:type="dxa"/>
            <w:vAlign w:val="bottom"/>
            <w:tcBorders>
              <w:bottom w:val="single" w:sz="8" w:color="2C2C2C"/>
            </w:tcBorders>
            <w:gridSpan w:val="8"/>
          </w:tcPr>
          <w:p>
            <w:pPr>
              <w:spacing w:after="0"/>
              <w:rPr>
                <w:sz w:val="6"/>
                <w:szCs w:val="6"/>
                <w:color w:val="auto"/>
              </w:rPr>
            </w:pPr>
          </w:p>
        </w:tc>
        <w:tc>
          <w:tcPr>
            <w:tcW w:w="76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268"/>
        </w:trPr>
        <w:tc>
          <w:tcPr>
            <w:tcW w:w="3040" w:type="dxa"/>
            <w:vAlign w:val="bottom"/>
            <w:tcBorders>
              <w:bottom w:val="single" w:sz="8" w:color="2C2C2C"/>
            </w:tcBorders>
            <w:gridSpan w:val="8"/>
          </w:tcPr>
          <w:p>
            <w:pPr>
              <w:spacing w:after="0"/>
              <w:rPr>
                <w:sz w:val="23"/>
                <w:szCs w:val="23"/>
                <w:color w:val="auto"/>
              </w:rPr>
            </w:pPr>
          </w:p>
        </w:tc>
        <w:tc>
          <w:tcPr>
            <w:tcW w:w="760" w:type="dxa"/>
            <w:vAlign w:val="bottom"/>
            <w:tcBorders>
              <w:bottom w:val="single" w:sz="8" w:color="2C2C2C"/>
            </w:tcBorders>
            <w:gridSpan w:val="2"/>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r>
      <w:tr>
        <w:trPr>
          <w:trHeight w:val="196"/>
        </w:trPr>
        <w:tc>
          <w:tcPr>
            <w:tcW w:w="3800" w:type="dxa"/>
            <w:vAlign w:val="bottom"/>
            <w:gridSpan w:val="10"/>
          </w:tcPr>
          <w:p>
            <w:pPr>
              <w:ind w:left="80"/>
              <w:spacing w:after="0"/>
              <w:rPr>
                <w:sz w:val="20"/>
                <w:szCs w:val="20"/>
                <w:color w:val="auto"/>
              </w:rPr>
            </w:pPr>
            <w:r>
              <w:rPr>
                <w:rFonts w:ascii="Courier New" w:cs="Courier New" w:eastAsia="Courier New" w:hAnsi="Courier New"/>
                <w:sz w:val="12"/>
                <w:szCs w:val="12"/>
                <w:color w:val="auto"/>
              </w:rPr>
              <w:t>Non-cash Investing and Financing Activities: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980" w:type="dxa"/>
            <w:vAlign w:val="bottom"/>
            <w:tcBorders>
              <w:bottom w:val="single" w:sz="8" w:color="2C2C2C"/>
            </w:tcBorders>
            <w:gridSpan w:val="3"/>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Foreign currency translation</w:t>
            </w:r>
          </w:p>
        </w:tc>
        <w:tc>
          <w:tcPr>
            <w:tcW w:w="800" w:type="dxa"/>
            <w:vAlign w:val="bottom"/>
            <w:gridSpan w:val="7"/>
          </w:tcPr>
          <w:p>
            <w:pPr>
              <w:jc w:val="right"/>
              <w:ind w:right="80"/>
              <w:spacing w:after="0"/>
              <w:rPr>
                <w:sz w:val="20"/>
                <w:szCs w:val="20"/>
                <w:color w:val="auto"/>
              </w:rPr>
            </w:pPr>
            <w:r>
              <w:rPr>
                <w:rFonts w:ascii="Courier New" w:cs="Courier New" w:eastAsia="Courier New" w:hAnsi="Courier New"/>
                <w:sz w:val="12"/>
                <w:szCs w:val="12"/>
                <w:color w:val="auto"/>
              </w:rPr>
              <w:t>$ 33</w:t>
            </w: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$ 66</w:t>
            </w:r>
          </w:p>
        </w:tc>
        <w:tc>
          <w:tcPr>
            <w:tcW w:w="60" w:type="dxa"/>
            <w:vAlign w:val="bottom"/>
          </w:tcPr>
          <w:p>
            <w:pPr>
              <w:spacing w:after="0"/>
              <w:rPr>
                <w:sz w:val="17"/>
                <w:szCs w:val="17"/>
                <w:color w:val="auto"/>
              </w:rPr>
            </w:pPr>
          </w:p>
        </w:tc>
      </w:tr>
      <w:tr>
        <w:trPr>
          <w:trHeight w:val="135"/>
        </w:trPr>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adjustment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72"/>
        </w:trPr>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r>
    </w:tbl>
    <w:p>
      <w:pPr>
        <w:spacing w:after="0" w:line="348" w:lineRule="exact"/>
        <w:rPr>
          <w:sz w:val="20"/>
          <w:szCs w:val="20"/>
          <w:color w:val="auto"/>
        </w:rPr>
      </w:pPr>
    </w:p>
    <w:p>
      <w:pPr>
        <w:ind w:left="80"/>
        <w:spacing w:after="0"/>
        <w:rPr>
          <w:sz w:val="20"/>
          <w:szCs w:val="20"/>
          <w:color w:val="auto"/>
        </w:rPr>
      </w:pPr>
      <w:r>
        <w:rPr>
          <w:rFonts w:ascii="Courier New" w:cs="Courier New" w:eastAsia="Courier New" w:hAnsi="Courier New"/>
          <w:sz w:val="12"/>
          <w:szCs w:val="12"/>
          <w:color w:val="auto"/>
        </w:rPr>
        <w:t>See Notes to Interim Condensed Consolidated Financial Statements</w:t>
      </w:r>
    </w:p>
    <w:p>
      <w:pPr>
        <w:ind w:left="80"/>
        <w:spacing w:after="0"/>
        <w:rPr>
          <w:sz w:val="20"/>
          <w:szCs w:val="20"/>
          <w:color w:val="auto"/>
        </w:rPr>
      </w:pPr>
      <w:r>
        <w:rPr>
          <w:rFonts w:ascii="Courier New" w:cs="Courier New" w:eastAsia="Courier New" w:hAnsi="Courier New"/>
          <w:sz w:val="12"/>
          <w:szCs w:val="1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20"/>
        <w:spacing w:after="0"/>
        <w:rPr>
          <w:sz w:val="20"/>
          <w:szCs w:val="20"/>
          <w:color w:val="auto"/>
        </w:rPr>
      </w:pPr>
      <w:r>
        <w:rPr>
          <w:rFonts w:ascii="Courier New" w:cs="Courier New" w:eastAsia="Courier New" w:hAnsi="Courier New"/>
          <w:sz w:val="12"/>
          <w:szCs w:val="12"/>
          <w:b w:val="1"/>
          <w:bCs w:val="1"/>
          <w:color w:val="auto"/>
        </w:rPr>
        <w:t>EZCORP, Inc. and Subsidiaries</w:t>
      </w:r>
    </w:p>
    <w:p>
      <w:pPr>
        <w:spacing w:after="0" w:line="368"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2"/>
          <w:szCs w:val="12"/>
          <w:b w:val="1"/>
          <w:bCs w:val="1"/>
          <w:color w:val="auto"/>
        </w:rPr>
        <w:t>Notes to Interim Condensed Consolidated Financial Statements (Unaudited)</w:t>
      </w:r>
    </w:p>
    <w:p>
      <w:pPr>
        <w:sectPr>
          <w:pgSz w:w="11900" w:h="16838" w:orient="portrait"/>
          <w:cols w:equalWidth="0" w:num="1">
            <w:col w:w="10159"/>
          </w:cols>
          <w:pgMar w:left="300" w:top="236" w:right="1440" w:bottom="0" w:gutter="0" w:footer="0" w:header="0"/>
        </w:sectPr>
      </w:pPr>
    </w:p>
    <w:p>
      <w:pPr>
        <w:spacing w:after="0" w:line="373" w:lineRule="exact"/>
        <w:rPr>
          <w:sz w:val="20"/>
          <w:szCs w:val="20"/>
          <w:color w:val="auto"/>
        </w:rPr>
      </w:pPr>
    </w:p>
    <w:p>
      <w:pPr>
        <w:ind w:left="5040"/>
        <w:spacing w:after="0"/>
        <w:rPr>
          <w:sz w:val="20"/>
          <w:szCs w:val="20"/>
          <w:color w:val="auto"/>
        </w:rPr>
      </w:pPr>
      <w:r>
        <w:rPr>
          <w:rFonts w:ascii="Courier New" w:cs="Courier New" w:eastAsia="Courier New" w:hAnsi="Courier New"/>
          <w:sz w:val="11"/>
          <w:szCs w:val="11"/>
          <w:b w:val="1"/>
          <w:bCs w:val="1"/>
          <w:color w:val="auto"/>
        </w:rPr>
        <w:t>December 31, 1999</w:t>
      </w:r>
    </w:p>
    <w:p>
      <w:pPr>
        <w:sectPr>
          <w:pgSz w:w="11900" w:h="16838" w:orient="portrait"/>
          <w:cols w:equalWidth="0" w:num="1">
            <w:col w:w="10159"/>
          </w:cols>
          <w:pgMar w:left="300" w:top="236" w:right="1440" w:bottom="0" w:gutter="0" w:footer="0" w:header="0"/>
          <w:type w:val="continuous"/>
        </w:sectPr>
      </w:pPr>
    </w:p>
    <w:bookmarkStart w:id="6" w:name="page7"/>
    <w:bookmarkEnd w:id="6"/>
    <w:p>
      <w:pPr>
        <w:spacing w:after="0" w:line="26" w:lineRule="exact"/>
        <w:rPr>
          <w:sz w:val="20"/>
          <w:szCs w:val="20"/>
          <w:color w:val="auto"/>
        </w:rPr>
      </w:pPr>
    </w:p>
    <w:p>
      <w:pPr>
        <w:spacing w:after="0" w:line="273" w:lineRule="auto"/>
        <w:rPr>
          <w:sz w:val="20"/>
          <w:szCs w:val="20"/>
          <w:color w:val="auto"/>
        </w:rPr>
      </w:pPr>
      <w:r>
        <w:rPr>
          <w:rFonts w:ascii="Courier New" w:cs="Courier New" w:eastAsia="Courier New" w:hAnsi="Courier New"/>
          <w:sz w:val="11"/>
          <w:szCs w:val="11"/>
          <w:color w:val="auto"/>
        </w:rPr>
        <w:t>Options to purchase 1,534,763 and 1,267,817 weighted average shares of common stock at an average price of $11.30 and $11.61, respectively, were outstanding for t These options were not included in the computation of diluted earnings per share because the options exercise prices were greater than the average market price of</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Note D: Investment in Unconsolidated Affiliate</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Following an additional purchase of newly issued common shares in October 1998, the Company owns 13,276,666 common shares of Albermarle &amp; Bond Holdings, plc ("A&amp;B</w:t>
      </w:r>
    </w:p>
    <w:p>
      <w:pPr>
        <w:spacing w:after="0" w:line="127" w:lineRule="exact"/>
        <w:rPr>
          <w:sz w:val="20"/>
          <w:szCs w:val="20"/>
          <w:color w:val="auto"/>
        </w:rPr>
      </w:pPr>
    </w:p>
    <w:p>
      <w:pPr>
        <w:ind w:right="1540"/>
        <w:spacing w:after="0" w:line="235" w:lineRule="auto"/>
        <w:rPr>
          <w:sz w:val="20"/>
          <w:szCs w:val="20"/>
          <w:color w:val="auto"/>
        </w:rPr>
      </w:pPr>
      <w:r>
        <w:rPr>
          <w:rFonts w:ascii="Courier New" w:cs="Courier New" w:eastAsia="Courier New" w:hAnsi="Courier New"/>
          <w:sz w:val="12"/>
          <w:szCs w:val="12"/>
          <w:color w:val="auto"/>
        </w:rPr>
        <w:t>The Company accounts for its investment in A&amp;B using the equity method. A&amp;B reports its results to the public every six months and the most recently reported period ended June 30, 1999. Therefore, the amount included in the Companys</w:t>
      </w:r>
    </w:p>
    <w:p>
      <w:pPr>
        <w:spacing w:after="0" w:line="4" w:lineRule="exact"/>
        <w:rPr>
          <w:sz w:val="20"/>
          <w:szCs w:val="20"/>
          <w:color w:val="auto"/>
        </w:rPr>
      </w:pPr>
    </w:p>
    <w:p>
      <w:pPr>
        <w:spacing w:after="0" w:line="235" w:lineRule="auto"/>
        <w:rPr>
          <w:sz w:val="20"/>
          <w:szCs w:val="20"/>
          <w:color w:val="auto"/>
        </w:rPr>
      </w:pPr>
      <w:r>
        <w:rPr>
          <w:rFonts w:ascii="Courier New" w:cs="Courier New" w:eastAsia="Courier New" w:hAnsi="Courier New"/>
          <w:sz w:val="12"/>
          <w:szCs w:val="12"/>
          <w:color w:val="auto"/>
        </w:rPr>
        <w:t>results of operations represents an estimate based on A&amp;Bs reported earnings for that period. The Company plans to reconcile this difference during its quarter e December 1999 have been reported to the public. The Company does not expect the actual results to differ materially from this estimate.</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Note E: Contingencies</w:t>
      </w:r>
    </w:p>
    <w:p>
      <w:pPr>
        <w:spacing w:after="0" w:line="373" w:lineRule="exact"/>
        <w:rPr>
          <w:sz w:val="20"/>
          <w:szCs w:val="20"/>
          <w:color w:val="auto"/>
        </w:rPr>
      </w:pPr>
    </w:p>
    <w:p>
      <w:pPr>
        <w:jc w:val="both"/>
        <w:ind w:right="60"/>
        <w:spacing w:after="0" w:line="236" w:lineRule="auto"/>
        <w:rPr>
          <w:sz w:val="20"/>
          <w:szCs w:val="20"/>
          <w:color w:val="auto"/>
        </w:rPr>
      </w:pPr>
      <w:r>
        <w:rPr>
          <w:rFonts w:ascii="Courier New" w:cs="Courier New" w:eastAsia="Courier New" w:hAnsi="Courier New"/>
          <w:sz w:val="12"/>
          <w:szCs w:val="12"/>
          <w:color w:val="auto"/>
        </w:rPr>
        <w:t>From time to time, the Company is involved in litigation relating to claims arising from its normal business operations. Currently, the Company is a defendant in substantial amounts. While the ultimate outcome of these lawsuits cannot be ascertained, after consultation with counsel, the Company believes the resolution of financial condition or results of operations. However, there can be no assurance as to the ultimate outcome of these matters.</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color w:val="auto"/>
        </w:rPr>
        <w:t>Note F: Comprehensive Income</w:t>
      </w:r>
    </w:p>
    <w:p>
      <w:pPr>
        <w:spacing w:after="0" w:line="37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2"/>
          <w:szCs w:val="12"/>
          <w:color w:val="auto"/>
        </w:rPr>
        <w:t>In June 1997, the Financial Accounting Standards Board issued Statement of Financial Accounting Standards No. 130, "Reporting Comprehensive Income," which is effe 1997. Comprehensive income includes net income and other revenues, expenses, gains and losses that are excluded from net income but are included as a component o month periods ended December 31, 1999 and 1998 was approximately $483,000 and $2,445,000, respectively. The difference between comprehensive income and net incom Financial Accounting Standards Board Statement No. 52, "Foreign Currency Translation." The accumulated balance of foreign currency activity, excluded from net in Sheets as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2"/>
          <w:szCs w:val="12"/>
          <w:b w:val="1"/>
          <w:bCs w:val="1"/>
          <w:i w:val="1"/>
          <w:iCs w:val="1"/>
          <w:color w:val="auto"/>
        </w:rPr>
        <w:t>Item 2. Management's Discussion and Analysis of Financia Condition and</w:t>
      </w:r>
    </w:p>
    <w:p>
      <w:pPr>
        <w:spacing w:after="0" w:line="368" w:lineRule="exact"/>
        <w:rPr>
          <w:sz w:val="20"/>
          <w:szCs w:val="20"/>
          <w:color w:val="auto"/>
        </w:rPr>
      </w:pPr>
    </w:p>
    <w:p>
      <w:pPr>
        <w:ind w:left="560"/>
        <w:spacing w:after="0"/>
        <w:rPr>
          <w:sz w:val="20"/>
          <w:szCs w:val="20"/>
          <w:color w:val="auto"/>
        </w:rPr>
      </w:pPr>
      <w:r>
        <w:rPr>
          <w:rFonts w:ascii="Courier New" w:cs="Courier New" w:eastAsia="Courier New" w:hAnsi="Courier New"/>
          <w:sz w:val="12"/>
          <w:szCs w:val="12"/>
          <w:b w:val="1"/>
          <w:bCs w:val="1"/>
          <w:i w:val="1"/>
          <w:iCs w:val="1"/>
          <w:color w:val="auto"/>
        </w:rPr>
        <w:t>Results of Operations</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2"/>
          <w:szCs w:val="12"/>
          <w:u w:val="single" w:color="auto"/>
          <w:color w:val="auto"/>
        </w:rPr>
        <w:t>First Quarter Ended December 31,1999 vs.First Quarter Ended December 31, 1998</w:t>
      </w:r>
    </w:p>
    <w:p>
      <w:pPr>
        <w:spacing w:after="0" w:line="373" w:lineRule="exact"/>
        <w:rPr>
          <w:sz w:val="20"/>
          <w:szCs w:val="20"/>
          <w:color w:val="auto"/>
        </w:rPr>
      </w:pPr>
    </w:p>
    <w:p>
      <w:pPr>
        <w:ind w:right="60"/>
        <w:spacing w:after="0" w:line="273" w:lineRule="auto"/>
        <w:rPr>
          <w:sz w:val="20"/>
          <w:szCs w:val="20"/>
          <w:color w:val="auto"/>
        </w:rPr>
      </w:pPr>
      <w:r>
        <w:rPr>
          <w:rFonts w:ascii="Courier New" w:cs="Courier New" w:eastAsia="Courier New" w:hAnsi="Courier New"/>
          <w:sz w:val="11"/>
          <w:szCs w:val="11"/>
          <w:color w:val="auto"/>
        </w:rPr>
        <w:t>The discussion in this section of this report contains forward-looking statements that involve risks and uncertainties. The Companys actual results could differ Factors that could cause or contribute to such differences include, but are not limited to, those discussed in this section and those discussed elsewhere in this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following table sets forth selected, unaudited, consolidated financial data with respect to the Company for the three months ended December 31, 1999 and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3566160" cy="3469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346900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gridSpan w:val="11"/>
          </w:tcPr>
          <w:p>
            <w:pPr>
              <w:jc w:val="center"/>
              <w:ind w:right="80"/>
              <w:spacing w:after="0"/>
              <w:rPr>
                <w:sz w:val="20"/>
                <w:szCs w:val="20"/>
                <w:color w:val="auto"/>
              </w:rPr>
            </w:pPr>
            <w:r>
              <w:rPr>
                <w:rFonts w:ascii="Courier New" w:cs="Courier New" w:eastAsia="Courier New" w:hAnsi="Courier New"/>
                <w:sz w:val="12"/>
                <w:szCs w:val="12"/>
                <w:color w:val="auto"/>
                <w:w w:val="98"/>
              </w:rPr>
              <w:t>Three Months Ended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10"/>
          </w:tcPr>
          <w:p>
            <w:pPr>
              <w:jc w:val="center"/>
              <w:ind w:right="340"/>
              <w:spacing w:after="0"/>
              <w:rPr>
                <w:sz w:val="20"/>
                <w:szCs w:val="20"/>
                <w:color w:val="auto"/>
              </w:rPr>
            </w:pPr>
            <w:r>
              <w:rPr>
                <w:rFonts w:ascii="Courier New" w:cs="Courier New" w:eastAsia="Courier New" w:hAnsi="Courier New"/>
                <w:sz w:val="12"/>
                <w:szCs w:val="12"/>
                <w:color w:val="auto"/>
                <w:w w:val="97"/>
              </w:rPr>
              <w:t>December 31,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1999</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1998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11"/>
          </w:tcPr>
          <w:p>
            <w:pPr>
              <w:jc w:val="center"/>
              <w:ind w:right="80"/>
              <w:spacing w:after="0"/>
              <w:rPr>
                <w:sz w:val="20"/>
                <w:szCs w:val="20"/>
                <w:color w:val="auto"/>
              </w:rPr>
            </w:pPr>
            <w:r>
              <w:rPr>
                <w:rFonts w:ascii="Courier New" w:cs="Courier New" w:eastAsia="Courier New" w:hAnsi="Courier New"/>
                <w:sz w:val="12"/>
                <w:szCs w:val="12"/>
                <w:i w:val="1"/>
                <w:iCs w:val="1"/>
                <w:color w:val="auto"/>
                <w:w w:val="99"/>
              </w:rPr>
              <w:t>(In thousands)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500" w:type="dxa"/>
            <w:vAlign w:val="bottom"/>
            <w:tcBorders>
              <w:bottom w:val="single" w:sz="8" w:color="2C2C2C"/>
            </w:tcBorders>
            <w:gridSpan w:val="2"/>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1320" w:type="dxa"/>
            <w:vAlign w:val="bottom"/>
            <w:gridSpan w:val="8"/>
          </w:tcPr>
          <w:p>
            <w:pPr>
              <w:ind w:left="20"/>
              <w:spacing w:after="0"/>
              <w:rPr>
                <w:sz w:val="20"/>
                <w:szCs w:val="20"/>
                <w:color w:val="auto"/>
              </w:rPr>
            </w:pPr>
            <w:r>
              <w:rPr>
                <w:rFonts w:ascii="Courier New" w:cs="Courier New" w:eastAsia="Courier New" w:hAnsi="Courier New"/>
                <w:sz w:val="12"/>
                <w:szCs w:val="12"/>
                <w:color w:val="auto"/>
              </w:rPr>
              <w:t>Numerator</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gridSpan w:val="3"/>
          </w:tcPr>
          <w:p>
            <w:pPr>
              <w:spacing w:after="0"/>
              <w:rPr>
                <w:sz w:val="6"/>
                <w:szCs w:val="6"/>
                <w:color w:val="auto"/>
              </w:rPr>
            </w:pPr>
          </w:p>
        </w:tc>
        <w:tc>
          <w:tcPr>
            <w:tcW w:w="114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gridSpan w:val="11"/>
          </w:tcPr>
          <w:p>
            <w:pPr>
              <w:ind w:left="60"/>
              <w:spacing w:after="0"/>
              <w:rPr>
                <w:sz w:val="20"/>
                <w:szCs w:val="20"/>
                <w:color w:val="auto"/>
              </w:rPr>
            </w:pPr>
            <w:r>
              <w:rPr>
                <w:rFonts w:ascii="Courier New" w:cs="Courier New" w:eastAsia="Courier New" w:hAnsi="Courier New"/>
                <w:sz w:val="12"/>
                <w:szCs w:val="12"/>
                <w:color w:val="auto"/>
                <w:w w:val="99"/>
              </w:rPr>
              <w:t>Numerator  for  basic  and  diluted</w:t>
            </w:r>
          </w:p>
        </w:tc>
        <w:tc>
          <w:tcPr>
            <w:tcW w:w="700" w:type="dxa"/>
            <w:vAlign w:val="bottom"/>
            <w:gridSpan w:val="4"/>
          </w:tcPr>
          <w:p>
            <w:pPr>
              <w:ind w:left="20"/>
              <w:spacing w:after="0"/>
              <w:rPr>
                <w:sz w:val="20"/>
                <w:szCs w:val="20"/>
                <w:color w:val="auto"/>
              </w:rPr>
            </w:pPr>
            <w:r>
              <w:rPr>
                <w:rFonts w:ascii="Courier New" w:cs="Courier New" w:eastAsia="Courier New" w:hAnsi="Courier New"/>
                <w:sz w:val="12"/>
                <w:szCs w:val="12"/>
                <w:color w:val="auto"/>
              </w:rPr>
              <w:t>earnings</w:t>
            </w:r>
          </w:p>
        </w:tc>
        <w:tc>
          <w:tcPr>
            <w:tcW w:w="240" w:type="dxa"/>
            <w:vAlign w:val="bottom"/>
            <w:gridSpan w:val="2"/>
          </w:tcPr>
          <w:p>
            <w:pPr>
              <w:jc w:val="right"/>
              <w:ind w:right="20"/>
              <w:spacing w:after="0"/>
              <w:rPr>
                <w:sz w:val="20"/>
                <w:szCs w:val="20"/>
                <w:color w:val="auto"/>
              </w:rPr>
            </w:pPr>
            <w:r>
              <w:rPr>
                <w:rFonts w:ascii="Courier New" w:cs="Courier New" w:eastAsia="Courier New" w:hAnsi="Courier New"/>
                <w:sz w:val="12"/>
                <w:szCs w:val="12"/>
                <w:color w:val="auto"/>
                <w:w w:val="92"/>
              </w:rPr>
              <w:t>per</w:t>
            </w:r>
          </w:p>
        </w:tc>
        <w:tc>
          <w:tcPr>
            <w:tcW w:w="88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$ 450</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$ 2,379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5"/>
        </w:trPr>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7"/>
          </w:tcPr>
          <w:p>
            <w:pPr>
              <w:ind w:left="60"/>
              <w:spacing w:after="0"/>
              <w:rPr>
                <w:sz w:val="20"/>
                <w:szCs w:val="20"/>
                <w:color w:val="auto"/>
              </w:rPr>
            </w:pPr>
            <w:r>
              <w:rPr>
                <w:rFonts w:ascii="Courier New" w:cs="Courier New" w:eastAsia="Courier New" w:hAnsi="Courier New"/>
                <w:sz w:val="12"/>
                <w:szCs w:val="12"/>
                <w:color w:val="auto"/>
              </w:rPr>
              <w:t>share: net income</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4"/>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1320" w:type="dxa"/>
            <w:vAlign w:val="bottom"/>
            <w:gridSpan w:val="8"/>
          </w:tcPr>
          <w:p>
            <w:pPr>
              <w:ind w:left="20"/>
              <w:spacing w:after="0"/>
              <w:rPr>
                <w:sz w:val="20"/>
                <w:szCs w:val="20"/>
                <w:color w:val="auto"/>
              </w:rPr>
            </w:pPr>
            <w:r>
              <w:rPr>
                <w:rFonts w:ascii="Courier New" w:cs="Courier New" w:eastAsia="Courier New" w:hAnsi="Courier New"/>
                <w:sz w:val="12"/>
                <w:szCs w:val="12"/>
                <w:color w:val="auto"/>
              </w:rPr>
              <w:t>Denominator</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4"/>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Denominator</w:t>
            </w:r>
          </w:p>
        </w:tc>
        <w:tc>
          <w:tcPr>
            <w:tcW w:w="440" w:type="dxa"/>
            <w:vAlign w:val="bottom"/>
          </w:tcPr>
          <w:p>
            <w:pPr>
              <w:ind w:left="100"/>
              <w:spacing w:after="0"/>
              <w:rPr>
                <w:sz w:val="20"/>
                <w:szCs w:val="20"/>
                <w:color w:val="auto"/>
              </w:rPr>
            </w:pPr>
            <w:r>
              <w:rPr>
                <w:rFonts w:ascii="Courier New" w:cs="Courier New" w:eastAsia="Courier New" w:hAnsi="Courier New"/>
                <w:sz w:val="12"/>
                <w:szCs w:val="12"/>
                <w:color w:val="auto"/>
              </w:rPr>
              <w:t>for</w:t>
            </w:r>
          </w:p>
        </w:tc>
        <w:tc>
          <w:tcPr>
            <w:tcW w:w="560" w:type="dxa"/>
            <w:vAlign w:val="bottom"/>
          </w:tcPr>
          <w:p>
            <w:pPr>
              <w:jc w:val="center"/>
              <w:ind w:right="42"/>
              <w:spacing w:after="0"/>
              <w:rPr>
                <w:sz w:val="20"/>
                <w:szCs w:val="20"/>
                <w:color w:val="auto"/>
              </w:rPr>
            </w:pPr>
            <w:r>
              <w:rPr>
                <w:rFonts w:ascii="Courier New" w:cs="Courier New" w:eastAsia="Courier New" w:hAnsi="Courier New"/>
                <w:sz w:val="12"/>
                <w:szCs w:val="12"/>
                <w:color w:val="auto"/>
                <w:w w:val="94"/>
              </w:rPr>
              <w:t>basic</w:t>
            </w:r>
          </w:p>
        </w:tc>
        <w:tc>
          <w:tcPr>
            <w:tcW w:w="660" w:type="dxa"/>
            <w:vAlign w:val="bottom"/>
            <w:gridSpan w:val="3"/>
          </w:tcPr>
          <w:p>
            <w:pPr>
              <w:ind w:left="20"/>
              <w:spacing w:after="0"/>
              <w:rPr>
                <w:sz w:val="20"/>
                <w:szCs w:val="20"/>
                <w:color w:val="auto"/>
              </w:rPr>
            </w:pPr>
            <w:r>
              <w:rPr>
                <w:rFonts w:ascii="Courier New" w:cs="Courier New" w:eastAsia="Courier New" w:hAnsi="Courier New"/>
                <w:sz w:val="12"/>
                <w:szCs w:val="12"/>
                <w:color w:val="auto"/>
              </w:rPr>
              <w:t>earnings</w:t>
            </w:r>
          </w:p>
        </w:tc>
        <w:tc>
          <w:tcPr>
            <w:tcW w:w="80" w:type="dxa"/>
            <w:vAlign w:val="bottom"/>
          </w:tcPr>
          <w:p>
            <w:pPr>
              <w:spacing w:after="0"/>
              <w:rPr>
                <w:sz w:val="17"/>
                <w:szCs w:val="17"/>
                <w:color w:val="auto"/>
              </w:rPr>
            </w:pPr>
          </w:p>
        </w:tc>
        <w:tc>
          <w:tcPr>
            <w:tcW w:w="300" w:type="dxa"/>
            <w:vAlign w:val="bottom"/>
          </w:tcPr>
          <w:p>
            <w:pPr>
              <w:ind w:left="40"/>
              <w:spacing w:after="0"/>
              <w:rPr>
                <w:sz w:val="20"/>
                <w:szCs w:val="20"/>
                <w:color w:val="auto"/>
              </w:rPr>
            </w:pPr>
            <w:r>
              <w:rPr>
                <w:rFonts w:ascii="Courier New" w:cs="Courier New" w:eastAsia="Courier New" w:hAnsi="Courier New"/>
                <w:sz w:val="12"/>
                <w:szCs w:val="12"/>
                <w:color w:val="auto"/>
              </w:rPr>
              <w:t>per</w:t>
            </w:r>
          </w:p>
        </w:tc>
        <w:tc>
          <w:tcPr>
            <w:tcW w:w="560" w:type="dxa"/>
            <w:vAlign w:val="bottom"/>
            <w:gridSpan w:val="4"/>
          </w:tcPr>
          <w:p>
            <w:pPr>
              <w:jc w:val="right"/>
              <w:ind w:right="20"/>
              <w:spacing w:after="0"/>
              <w:rPr>
                <w:sz w:val="20"/>
                <w:szCs w:val="20"/>
                <w:color w:val="auto"/>
              </w:rPr>
            </w:pPr>
            <w:r>
              <w:rPr>
                <w:rFonts w:ascii="Courier New" w:cs="Courier New" w:eastAsia="Courier New" w:hAnsi="Courier New"/>
                <w:sz w:val="12"/>
                <w:szCs w:val="12"/>
                <w:color w:val="auto"/>
              </w:rPr>
              <w:t>share:</w:t>
            </w:r>
          </w:p>
        </w:tc>
        <w:tc>
          <w:tcPr>
            <w:tcW w:w="88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12,012</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12,002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5"/>
        </w:trPr>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20" w:type="dxa"/>
            <w:vAlign w:val="bottom"/>
            <w:gridSpan w:val="8"/>
          </w:tcPr>
          <w:p>
            <w:pPr>
              <w:ind w:left="60"/>
              <w:spacing w:after="0"/>
              <w:rPr>
                <w:sz w:val="20"/>
                <w:szCs w:val="20"/>
                <w:color w:val="auto"/>
              </w:rPr>
            </w:pPr>
            <w:r>
              <w:rPr>
                <w:rFonts w:ascii="Courier New" w:cs="Courier New" w:eastAsia="Courier New" w:hAnsi="Courier New"/>
                <w:sz w:val="12"/>
                <w:szCs w:val="12"/>
                <w:color w:val="auto"/>
              </w:rPr>
              <w:t>weighted average shares</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5"/>
          </w:tcPr>
          <w:p>
            <w:pPr>
              <w:spacing w:after="0"/>
              <w:rPr>
                <w:sz w:val="6"/>
                <w:szCs w:val="6"/>
                <w:color w:val="auto"/>
              </w:rPr>
            </w:pPr>
          </w:p>
        </w:tc>
        <w:tc>
          <w:tcPr>
            <w:tcW w:w="114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gridSpan w:val="11"/>
          </w:tcPr>
          <w:p>
            <w:pPr>
              <w:ind w:left="60"/>
              <w:spacing w:after="0"/>
              <w:rPr>
                <w:sz w:val="20"/>
                <w:szCs w:val="20"/>
                <w:color w:val="auto"/>
              </w:rPr>
            </w:pPr>
            <w:r>
              <w:rPr>
                <w:rFonts w:ascii="Courier New" w:cs="Courier New" w:eastAsia="Courier New" w:hAnsi="Courier New"/>
                <w:sz w:val="12"/>
                <w:szCs w:val="12"/>
                <w:color w:val="auto"/>
              </w:rPr>
              <w:t>Effect of dilutive securities: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71"/>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Courier New" w:cs="Courier New" w:eastAsia="Courier New" w:hAnsi="Courier New"/>
                <w:sz w:val="12"/>
                <w:szCs w:val="12"/>
                <w:color w:val="auto"/>
              </w:rPr>
              <w:t>Warrants</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7"/>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top w:val="single" w:sz="8" w:color="auto"/>
              <w:bottom w:val="single" w:sz="8" w:color="2C2C2C"/>
            </w:tcBorders>
          </w:tcPr>
          <w:p>
            <w:pPr>
              <w:spacing w:after="0"/>
              <w:rPr>
                <w:sz w:val="6"/>
                <w:szCs w:val="6"/>
                <w:color w:val="auto"/>
              </w:rPr>
            </w:pPr>
          </w:p>
        </w:tc>
        <w:tc>
          <w:tcPr>
            <w:tcW w:w="40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top w:val="single" w:sz="8" w:color="auto"/>
              <w:bottom w:val="single" w:sz="8" w:color="2C2C2C"/>
            </w:tcBorders>
          </w:tcPr>
          <w:p>
            <w:pPr>
              <w:spacing w:after="0"/>
              <w:rPr>
                <w:sz w:val="6"/>
                <w:szCs w:val="6"/>
                <w:color w:val="auto"/>
              </w:rPr>
            </w:pPr>
          </w:p>
        </w:tc>
        <w:tc>
          <w:tcPr>
            <w:tcW w:w="260" w:type="dxa"/>
            <w:vAlign w:val="bottom"/>
            <w:tcBorders>
              <w:top w:val="single" w:sz="8" w:color="auto"/>
              <w:bottom w:val="single" w:sz="8" w:color="2C2C2C"/>
            </w:tcBorders>
          </w:tcPr>
          <w:p>
            <w:pPr>
              <w:spacing w:after="0"/>
              <w:rPr>
                <w:sz w:val="6"/>
                <w:szCs w:val="6"/>
                <w:color w:val="auto"/>
              </w:rPr>
            </w:pPr>
          </w:p>
        </w:tc>
        <w:tc>
          <w:tcPr>
            <w:tcW w:w="28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71"/>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gridSpan w:val="11"/>
          </w:tcPr>
          <w:p>
            <w:pPr>
              <w:ind w:left="60"/>
              <w:spacing w:after="0"/>
              <w:rPr>
                <w:sz w:val="20"/>
                <w:szCs w:val="20"/>
                <w:color w:val="auto"/>
              </w:rPr>
            </w:pPr>
            <w:r>
              <w:rPr>
                <w:rFonts w:ascii="Courier New" w:cs="Courier New" w:eastAsia="Courier New" w:hAnsi="Courier New"/>
                <w:sz w:val="12"/>
                <w:szCs w:val="12"/>
                <w:color w:val="auto"/>
              </w:rPr>
              <w:t>Dilutive potential common shares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7"/>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top w:val="single" w:sz="8" w:color="auto"/>
              <w:bottom w:val="single" w:sz="8" w:color="2C2C2C"/>
            </w:tcBorders>
          </w:tcPr>
          <w:p>
            <w:pPr>
              <w:spacing w:after="0"/>
              <w:rPr>
                <w:sz w:val="6"/>
                <w:szCs w:val="6"/>
                <w:color w:val="auto"/>
              </w:rPr>
            </w:pPr>
          </w:p>
        </w:tc>
        <w:tc>
          <w:tcPr>
            <w:tcW w:w="40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Denominator</w:t>
            </w:r>
          </w:p>
        </w:tc>
        <w:tc>
          <w:tcPr>
            <w:tcW w:w="440" w:type="dxa"/>
            <w:vAlign w:val="bottom"/>
          </w:tcPr>
          <w:p>
            <w:pPr>
              <w:ind w:left="80"/>
              <w:spacing w:after="0"/>
              <w:rPr>
                <w:sz w:val="20"/>
                <w:szCs w:val="20"/>
                <w:color w:val="auto"/>
              </w:rPr>
            </w:pPr>
            <w:r>
              <w:rPr>
                <w:rFonts w:ascii="Courier New" w:cs="Courier New" w:eastAsia="Courier New" w:hAnsi="Courier New"/>
                <w:sz w:val="12"/>
                <w:szCs w:val="12"/>
                <w:color w:val="auto"/>
              </w:rPr>
              <w:t>for</w:t>
            </w:r>
          </w:p>
        </w:tc>
        <w:tc>
          <w:tcPr>
            <w:tcW w:w="560" w:type="dxa"/>
            <w:vAlign w:val="bottom"/>
          </w:tcPr>
          <w:p>
            <w:pPr>
              <w:jc w:val="center"/>
              <w:ind w:right="22"/>
              <w:spacing w:after="0"/>
              <w:rPr>
                <w:sz w:val="20"/>
                <w:szCs w:val="20"/>
                <w:color w:val="auto"/>
              </w:rPr>
            </w:pPr>
            <w:r>
              <w:rPr>
                <w:rFonts w:ascii="Courier New" w:cs="Courier New" w:eastAsia="Courier New" w:hAnsi="Courier New"/>
                <w:sz w:val="12"/>
                <w:szCs w:val="12"/>
                <w:color w:val="auto"/>
                <w:w w:val="95"/>
              </w:rPr>
              <w:t>diluted</w:t>
            </w:r>
          </w:p>
        </w:tc>
        <w:tc>
          <w:tcPr>
            <w:tcW w:w="66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7"/>
              </w:rPr>
              <w:t>earnings</w:t>
            </w:r>
          </w:p>
        </w:tc>
        <w:tc>
          <w:tcPr>
            <w:tcW w:w="8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Courier New" w:cs="Courier New" w:eastAsia="Courier New" w:hAnsi="Courier New"/>
                <w:sz w:val="12"/>
                <w:szCs w:val="12"/>
                <w:color w:val="auto"/>
              </w:rPr>
              <w:t>per</w:t>
            </w:r>
          </w:p>
        </w:tc>
        <w:tc>
          <w:tcPr>
            <w:tcW w:w="560" w:type="dxa"/>
            <w:vAlign w:val="bottom"/>
            <w:gridSpan w:val="4"/>
          </w:tcPr>
          <w:p>
            <w:pPr>
              <w:jc w:val="right"/>
              <w:ind w:right="20"/>
              <w:spacing w:after="0"/>
              <w:rPr>
                <w:sz w:val="20"/>
                <w:szCs w:val="20"/>
                <w:color w:val="auto"/>
              </w:rPr>
            </w:pPr>
            <w:r>
              <w:rPr>
                <w:rFonts w:ascii="Courier New" w:cs="Courier New" w:eastAsia="Courier New" w:hAnsi="Courier New"/>
                <w:sz w:val="12"/>
                <w:szCs w:val="12"/>
                <w:color w:val="auto"/>
              </w:rPr>
              <w:t>share:</w:t>
            </w:r>
          </w:p>
        </w:tc>
        <w:tc>
          <w:tcPr>
            <w:tcW w:w="88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12,012</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12,009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5"/>
        </w:trPr>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20" w:type="dxa"/>
            <w:vAlign w:val="bottom"/>
            <w:gridSpan w:val="17"/>
          </w:tcPr>
          <w:p>
            <w:pPr>
              <w:ind w:left="60"/>
              <w:spacing w:after="0"/>
              <w:rPr>
                <w:sz w:val="20"/>
                <w:szCs w:val="20"/>
                <w:color w:val="auto"/>
              </w:rPr>
            </w:pPr>
            <w:r>
              <w:rPr>
                <w:rFonts w:ascii="Courier New" w:cs="Courier New" w:eastAsia="Courier New" w:hAnsi="Courier New"/>
                <w:sz w:val="12"/>
                <w:szCs w:val="12"/>
                <w:color w:val="auto"/>
                <w:w w:val="97"/>
              </w:rPr>
              <w:t>adjusted  weighted  average  shares  and  assumed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6"/>
          </w:tcPr>
          <w:p>
            <w:pPr>
              <w:ind w:left="60"/>
              <w:spacing w:after="0"/>
              <w:rPr>
                <w:sz w:val="20"/>
                <w:szCs w:val="20"/>
                <w:color w:val="auto"/>
              </w:rPr>
            </w:pPr>
            <w:r>
              <w:rPr>
                <w:rFonts w:ascii="Courier New" w:cs="Courier New" w:eastAsia="Courier New" w:hAnsi="Courier New"/>
                <w:sz w:val="12"/>
                <w:szCs w:val="12"/>
                <w:color w:val="auto"/>
              </w:rPr>
              <w:t>conversions</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gridSpan w:val="6"/>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gridSpan w:val="8"/>
          </w:tcPr>
          <w:p>
            <w:pPr>
              <w:ind w:left="60"/>
              <w:spacing w:after="0"/>
              <w:rPr>
                <w:sz w:val="20"/>
                <w:szCs w:val="20"/>
                <w:color w:val="auto"/>
              </w:rPr>
            </w:pPr>
            <w:r>
              <w:rPr>
                <w:rFonts w:ascii="Courier New" w:cs="Courier New" w:eastAsia="Courier New" w:hAnsi="Courier New"/>
                <w:sz w:val="12"/>
                <w:szCs w:val="12"/>
                <w:color w:val="auto"/>
              </w:rPr>
              <w:t>Basic earnings per share</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$ 0.04</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$ 0.20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gridSpan w:val="6"/>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gridSpan w:val="8"/>
          </w:tcPr>
          <w:p>
            <w:pPr>
              <w:ind w:left="60"/>
              <w:spacing w:after="0"/>
              <w:rPr>
                <w:sz w:val="20"/>
                <w:szCs w:val="20"/>
                <w:color w:val="auto"/>
              </w:rPr>
            </w:pPr>
            <w:r>
              <w:rPr>
                <w:rFonts w:ascii="Courier New" w:cs="Courier New" w:eastAsia="Courier New" w:hAnsi="Courier New"/>
                <w:sz w:val="12"/>
                <w:szCs w:val="12"/>
                <w:color w:val="auto"/>
                <w:w w:val="98"/>
              </w:rPr>
              <w:t>Diluted earnings per share</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$ 0.04</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$ 0.20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7"/>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6"/>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24"/>
        </w:trPr>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gridSpan w:val="13"/>
          </w:tcPr>
          <w:p>
            <w:pPr>
              <w:jc w:val="center"/>
              <w:ind w:right="440"/>
              <w:spacing w:after="0"/>
              <w:rPr>
                <w:sz w:val="20"/>
                <w:szCs w:val="20"/>
                <w:color w:val="auto"/>
              </w:rPr>
            </w:pPr>
            <w:r>
              <w:rPr>
                <w:rFonts w:ascii="Courier New" w:cs="Courier New" w:eastAsia="Courier New" w:hAnsi="Courier New"/>
                <w:sz w:val="12"/>
                <w:szCs w:val="12"/>
                <w:color w:val="auto"/>
                <w:w w:val="97"/>
              </w:rPr>
              <w:t>Three Months Ended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4"/>
          </w:tcPr>
          <w:p>
            <w:pPr>
              <w:jc w:val="center"/>
              <w:ind w:left="2"/>
              <w:spacing w:after="0"/>
              <w:rPr>
                <w:sz w:val="20"/>
                <w:szCs w:val="20"/>
                <w:color w:val="auto"/>
              </w:rPr>
            </w:pPr>
            <w:r>
              <w:rPr>
                <w:rFonts w:ascii="Courier New" w:cs="Courier New" w:eastAsia="Courier New" w:hAnsi="Courier New"/>
                <w:sz w:val="12"/>
                <w:szCs w:val="12"/>
                <w:color w:val="auto"/>
                <w:w w:val="97"/>
              </w:rPr>
              <w:t>% or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5"/>
        </w:trPr>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12"/>
          </w:tcPr>
          <w:p>
            <w:pPr>
              <w:jc w:val="center"/>
              <w:ind w:right="540"/>
              <w:spacing w:after="0"/>
              <w:rPr>
                <w:sz w:val="20"/>
                <w:szCs w:val="20"/>
                <w:color w:val="auto"/>
              </w:rPr>
            </w:pPr>
            <w:r>
              <w:rPr>
                <w:rFonts w:ascii="Courier New" w:cs="Courier New" w:eastAsia="Courier New" w:hAnsi="Courier New"/>
                <w:sz w:val="12"/>
                <w:szCs w:val="12"/>
                <w:color w:val="auto"/>
                <w:w w:val="94"/>
              </w:rPr>
              <w:t xml:space="preserve">December 31, </w:t>
            </w:r>
            <w:r>
              <w:rPr>
                <w:rFonts w:ascii="Courier New" w:cs="Courier New" w:eastAsia="Courier New" w:hAnsi="Courier New"/>
                <w:sz w:val="19"/>
                <w:szCs w:val="19"/>
                <w:color w:val="auto"/>
                <w:w w:val="94"/>
                <w:vertAlign w:val="superscript"/>
              </w:rPr>
              <w:t>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4"/>
          </w:tcPr>
          <w:p>
            <w:pPr>
              <w:jc w:val="center"/>
              <w:ind w:left="2"/>
              <w:spacing w:after="0"/>
              <w:rPr>
                <w:sz w:val="20"/>
                <w:szCs w:val="20"/>
                <w:color w:val="auto"/>
              </w:rPr>
            </w:pPr>
            <w:r>
              <w:rPr>
                <w:rFonts w:ascii="Courier New" w:cs="Courier New" w:eastAsia="Courier New" w:hAnsi="Courier New"/>
                <w:sz w:val="12"/>
                <w:szCs w:val="12"/>
                <w:color w:val="auto"/>
                <w:w w:val="99"/>
              </w:rPr>
              <w:t>Point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5"/>
        </w:trPr>
        <w:tc>
          <w:tcPr>
            <w:tcW w:w="6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gridSpan w:val="3"/>
          </w:tcPr>
          <w:p>
            <w:pPr>
              <w:jc w:val="right"/>
              <w:ind w:right="122"/>
              <w:spacing w:after="0"/>
              <w:rPr>
                <w:sz w:val="20"/>
                <w:szCs w:val="20"/>
                <w:color w:val="auto"/>
              </w:rPr>
            </w:pPr>
            <w:r>
              <w:rPr>
                <w:rFonts w:ascii="Courier New" w:cs="Courier New" w:eastAsia="Courier New" w:hAnsi="Courier New"/>
                <w:sz w:val="12"/>
                <w:szCs w:val="12"/>
                <w:color w:val="auto"/>
              </w:rPr>
              <w:t>1999</w:t>
            </w:r>
          </w:p>
        </w:tc>
        <w:tc>
          <w:tcPr>
            <w:tcW w:w="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gridSpan w:val="4"/>
          </w:tcPr>
          <w:p>
            <w:pPr>
              <w:jc w:val="right"/>
              <w:ind w:right="62"/>
              <w:spacing w:after="0"/>
              <w:rPr>
                <w:sz w:val="20"/>
                <w:szCs w:val="20"/>
                <w:color w:val="auto"/>
              </w:rPr>
            </w:pPr>
            <w:r>
              <w:rPr>
                <w:rFonts w:ascii="Courier New" w:cs="Courier New" w:eastAsia="Courier New" w:hAnsi="Courier New"/>
                <w:sz w:val="12"/>
                <w:szCs w:val="12"/>
                <w:color w:val="auto"/>
                <w:w w:val="90"/>
              </w:rPr>
              <w:t>1998</w:t>
            </w:r>
          </w:p>
        </w:tc>
        <w:tc>
          <w:tcPr>
            <w:tcW w:w="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gridSpan w:val="4"/>
          </w:tcPr>
          <w:p>
            <w:pPr>
              <w:jc w:val="center"/>
              <w:ind w:left="2"/>
              <w:spacing w:after="0"/>
              <w:rPr>
                <w:sz w:val="20"/>
                <w:szCs w:val="20"/>
                <w:color w:val="auto"/>
              </w:rPr>
            </w:pPr>
            <w:r>
              <w:rPr>
                <w:rFonts w:ascii="Courier New" w:cs="Courier New" w:eastAsia="Courier New" w:hAnsi="Courier New"/>
                <w:sz w:val="12"/>
                <w:szCs w:val="12"/>
                <w:color w:val="auto"/>
                <w:w w:val="94"/>
              </w:rPr>
              <w:t>Change</w:t>
            </w:r>
            <w:r>
              <w:rPr>
                <w:rFonts w:ascii="Courier New" w:cs="Courier New" w:eastAsia="Courier New" w:hAnsi="Courier New"/>
                <w:sz w:val="19"/>
                <w:szCs w:val="19"/>
                <w:color w:val="auto"/>
                <w:w w:val="94"/>
                <w:vertAlign w:val="superscript"/>
              </w:rPr>
              <w:t>b</w:t>
            </w:r>
          </w:p>
        </w:tc>
        <w:tc>
          <w:tcPr>
            <w:tcW w:w="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1320" w:type="dxa"/>
            <w:vAlign w:val="bottom"/>
            <w:gridSpan w:val="8"/>
          </w:tcPr>
          <w:p>
            <w:pPr>
              <w:ind w:left="20"/>
              <w:spacing w:after="0"/>
              <w:rPr>
                <w:sz w:val="20"/>
                <w:szCs w:val="20"/>
                <w:color w:val="auto"/>
              </w:rPr>
            </w:pPr>
            <w:r>
              <w:rPr>
                <w:rFonts w:ascii="Courier New" w:cs="Courier New" w:eastAsia="Courier New" w:hAnsi="Courier New"/>
                <w:sz w:val="12"/>
                <w:szCs w:val="12"/>
                <w:color w:val="auto"/>
              </w:rPr>
              <w:t>Net Revenues:</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5"/>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Sales</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4"/>
          </w:tcPr>
          <w:p>
            <w:pPr>
              <w:jc w:val="right"/>
              <w:ind w:right="60"/>
              <w:spacing w:after="0"/>
              <w:rPr>
                <w:sz w:val="20"/>
                <w:szCs w:val="20"/>
                <w:color w:val="auto"/>
              </w:rPr>
            </w:pPr>
            <w:r>
              <w:rPr>
                <w:rFonts w:ascii="Courier New" w:cs="Courier New" w:eastAsia="Courier New" w:hAnsi="Courier New"/>
                <w:sz w:val="12"/>
                <w:szCs w:val="12"/>
                <w:color w:val="auto"/>
              </w:rPr>
              <w:t>$ 38,090</w:t>
            </w:r>
          </w:p>
        </w:tc>
        <w:tc>
          <w:tcPr>
            <w:tcW w:w="1060" w:type="dxa"/>
            <w:vAlign w:val="bottom"/>
            <w:gridSpan w:val="8"/>
          </w:tcPr>
          <w:p>
            <w:pPr>
              <w:jc w:val="right"/>
              <w:ind w:right="400"/>
              <w:spacing w:after="0"/>
              <w:rPr>
                <w:sz w:val="20"/>
                <w:szCs w:val="20"/>
                <w:color w:val="auto"/>
              </w:rPr>
            </w:pPr>
            <w:r>
              <w:rPr>
                <w:rFonts w:ascii="Courier New" w:cs="Courier New" w:eastAsia="Courier New" w:hAnsi="Courier New"/>
                <w:sz w:val="12"/>
                <w:szCs w:val="12"/>
                <w:color w:val="auto"/>
              </w:rPr>
              <w:t>$ 34,434</w:t>
            </w:r>
          </w:p>
        </w:tc>
        <w:tc>
          <w:tcPr>
            <w:tcW w:w="60" w:type="dxa"/>
            <w:vAlign w:val="bottom"/>
          </w:tcPr>
          <w:p>
            <w:pPr>
              <w:spacing w:after="0"/>
              <w:rPr>
                <w:sz w:val="17"/>
                <w:szCs w:val="17"/>
                <w:color w:val="auto"/>
              </w:rPr>
            </w:pP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10.6%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gridSpan w:val="7"/>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gridSpan w:val="8"/>
          </w:tcPr>
          <w:p>
            <w:pPr>
              <w:ind w:left="80"/>
              <w:spacing w:after="0"/>
              <w:rPr>
                <w:sz w:val="20"/>
                <w:szCs w:val="20"/>
                <w:color w:val="auto"/>
              </w:rPr>
            </w:pPr>
            <w:r>
              <w:rPr>
                <w:rFonts w:ascii="Courier New" w:cs="Courier New" w:eastAsia="Courier New" w:hAnsi="Courier New"/>
                <w:sz w:val="12"/>
                <w:szCs w:val="12"/>
                <w:color w:val="auto"/>
              </w:rPr>
              <w:t>Pawn service charges</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4"/>
          </w:tcPr>
          <w:p>
            <w:pPr>
              <w:jc w:val="right"/>
              <w:ind w:right="60"/>
              <w:spacing w:after="0"/>
              <w:rPr>
                <w:sz w:val="20"/>
                <w:szCs w:val="20"/>
                <w:color w:val="auto"/>
              </w:rPr>
            </w:pPr>
            <w:r>
              <w:rPr>
                <w:rFonts w:ascii="Courier New" w:cs="Courier New" w:eastAsia="Courier New" w:hAnsi="Courier New"/>
                <w:sz w:val="12"/>
                <w:szCs w:val="12"/>
                <w:color w:val="auto"/>
              </w:rPr>
              <w:t>25,883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6"/>
          </w:tcPr>
          <w:p>
            <w:pPr>
              <w:jc w:val="right"/>
              <w:ind w:right="400"/>
              <w:spacing w:after="0"/>
              <w:rPr>
                <w:sz w:val="20"/>
                <w:szCs w:val="20"/>
                <w:color w:val="auto"/>
              </w:rPr>
            </w:pPr>
            <w:r>
              <w:rPr>
                <w:rFonts w:ascii="Courier New" w:cs="Courier New" w:eastAsia="Courier New" w:hAnsi="Courier New"/>
                <w:sz w:val="12"/>
                <w:szCs w:val="12"/>
                <w:color w:val="auto"/>
                <w:w w:val="92"/>
              </w:rPr>
              <w:t>25,831</w:t>
            </w:r>
          </w:p>
        </w:tc>
        <w:tc>
          <w:tcPr>
            <w:tcW w:w="60" w:type="dxa"/>
            <w:vAlign w:val="bottom"/>
          </w:tcPr>
          <w:p>
            <w:pPr>
              <w:spacing w:after="0"/>
              <w:rPr>
                <w:sz w:val="17"/>
                <w:szCs w:val="17"/>
                <w:color w:val="auto"/>
              </w:rPr>
            </w:pP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0.2%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5"/>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71"/>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6"/>
          </w:tcPr>
          <w:p>
            <w:pPr>
              <w:ind w:left="80"/>
              <w:spacing w:after="0"/>
              <w:rPr>
                <w:sz w:val="20"/>
                <w:szCs w:val="20"/>
                <w:color w:val="auto"/>
              </w:rPr>
            </w:pPr>
            <w:r>
              <w:rPr>
                <w:rFonts w:ascii="Courier New" w:cs="Courier New" w:eastAsia="Courier New" w:hAnsi="Courier New"/>
                <w:sz w:val="12"/>
                <w:szCs w:val="12"/>
                <w:color w:val="auto"/>
              </w:rPr>
              <w:t>Other</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tcPr>
          <w:p>
            <w:pPr>
              <w:jc w:val="right"/>
              <w:ind w:right="60"/>
              <w:spacing w:after="0"/>
              <w:rPr>
                <w:sz w:val="20"/>
                <w:szCs w:val="20"/>
                <w:color w:val="auto"/>
              </w:rPr>
            </w:pPr>
            <w:r>
              <w:rPr>
                <w:rFonts w:ascii="Courier New" w:cs="Courier New" w:eastAsia="Courier New" w:hAnsi="Courier New"/>
                <w:sz w:val="12"/>
                <w:szCs w:val="12"/>
                <w:color w:val="auto"/>
              </w:rPr>
              <w:t>256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6"/>
          </w:tcPr>
          <w:p>
            <w:pPr>
              <w:jc w:val="right"/>
              <w:ind w:right="400"/>
              <w:spacing w:after="0"/>
              <w:rPr>
                <w:sz w:val="20"/>
                <w:szCs w:val="20"/>
                <w:color w:val="auto"/>
              </w:rPr>
            </w:pPr>
            <w:r>
              <w:rPr>
                <w:rFonts w:ascii="Courier New" w:cs="Courier New" w:eastAsia="Courier New" w:hAnsi="Courier New"/>
                <w:sz w:val="12"/>
                <w:szCs w:val="12"/>
                <w:color w:val="auto"/>
              </w:rPr>
              <w:t>150</w:t>
            </w:r>
          </w:p>
        </w:tc>
        <w:tc>
          <w:tcPr>
            <w:tcW w:w="60" w:type="dxa"/>
            <w:vAlign w:val="bottom"/>
          </w:tcPr>
          <w:p>
            <w:pPr>
              <w:spacing w:after="0"/>
              <w:rPr>
                <w:sz w:val="14"/>
                <w:szCs w:val="14"/>
                <w:color w:val="auto"/>
              </w:rPr>
            </w:pP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70.7%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7"/>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top w:val="single" w:sz="8" w:color="auto"/>
              <w:bottom w:val="single" w:sz="8" w:color="2C2C2C"/>
            </w:tcBorders>
          </w:tcPr>
          <w:p>
            <w:pPr>
              <w:spacing w:after="0"/>
              <w:rPr>
                <w:sz w:val="6"/>
                <w:szCs w:val="6"/>
                <w:color w:val="auto"/>
              </w:rPr>
            </w:pPr>
          </w:p>
        </w:tc>
        <w:tc>
          <w:tcPr>
            <w:tcW w:w="26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top w:val="single" w:sz="8" w:color="auto"/>
              <w:bottom w:val="single" w:sz="8" w:color="2C2C2C"/>
            </w:tcBorders>
          </w:tcPr>
          <w:p>
            <w:pPr>
              <w:spacing w:after="0"/>
              <w:rPr>
                <w:sz w:val="6"/>
                <w:szCs w:val="6"/>
                <w:color w:val="auto"/>
              </w:rPr>
            </w:pPr>
          </w:p>
        </w:tc>
        <w:tc>
          <w:tcPr>
            <w:tcW w:w="20" w:type="dxa"/>
            <w:vAlign w:val="bottom"/>
            <w:tcBorders>
              <w:top w:val="single" w:sz="8" w:color="auto"/>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Courier New" w:cs="Courier New" w:eastAsia="Courier New" w:hAnsi="Courier New"/>
                <w:sz w:val="12"/>
                <w:szCs w:val="12"/>
                <w:color w:val="auto"/>
              </w:rPr>
              <w:t>Total revenues</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4"/>
          </w:tcPr>
          <w:p>
            <w:pPr>
              <w:jc w:val="right"/>
              <w:ind w:right="60"/>
              <w:spacing w:after="0"/>
              <w:rPr>
                <w:sz w:val="20"/>
                <w:szCs w:val="20"/>
                <w:color w:val="auto"/>
              </w:rPr>
            </w:pPr>
            <w:r>
              <w:rPr>
                <w:rFonts w:ascii="Courier New" w:cs="Courier New" w:eastAsia="Courier New" w:hAnsi="Courier New"/>
                <w:sz w:val="12"/>
                <w:szCs w:val="12"/>
                <w:color w:val="auto"/>
              </w:rPr>
              <w:t>64,229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6"/>
          </w:tcPr>
          <w:p>
            <w:pPr>
              <w:jc w:val="right"/>
              <w:ind w:right="400"/>
              <w:spacing w:after="0"/>
              <w:rPr>
                <w:sz w:val="20"/>
                <w:szCs w:val="20"/>
                <w:color w:val="auto"/>
              </w:rPr>
            </w:pPr>
            <w:r>
              <w:rPr>
                <w:rFonts w:ascii="Courier New" w:cs="Courier New" w:eastAsia="Courier New" w:hAnsi="Courier New"/>
                <w:sz w:val="12"/>
                <w:szCs w:val="12"/>
                <w:color w:val="auto"/>
                <w:w w:val="92"/>
              </w:rPr>
              <w:t>60,415</w:t>
            </w:r>
          </w:p>
        </w:tc>
        <w:tc>
          <w:tcPr>
            <w:tcW w:w="60" w:type="dxa"/>
            <w:vAlign w:val="bottom"/>
          </w:tcPr>
          <w:p>
            <w:pPr>
              <w:spacing w:after="0"/>
              <w:rPr>
                <w:sz w:val="17"/>
                <w:szCs w:val="17"/>
                <w:color w:val="auto"/>
              </w:rPr>
            </w:pP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6.3%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gridSpan w:val="6"/>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71"/>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7"/>
          </w:tcPr>
          <w:p>
            <w:pPr>
              <w:ind w:left="80"/>
              <w:spacing w:after="0"/>
              <w:rPr>
                <w:sz w:val="20"/>
                <w:szCs w:val="20"/>
                <w:color w:val="auto"/>
              </w:rPr>
            </w:pPr>
            <w:r>
              <w:rPr>
                <w:rFonts w:ascii="Courier New" w:cs="Courier New" w:eastAsia="Courier New" w:hAnsi="Courier New"/>
                <w:sz w:val="12"/>
                <w:szCs w:val="12"/>
                <w:color w:val="auto"/>
                <w:w w:val="97"/>
              </w:rPr>
              <w:t>Cost of goods sold</w:t>
            </w: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4"/>
          </w:tcPr>
          <w:p>
            <w:pPr>
              <w:jc w:val="right"/>
              <w:ind w:right="60"/>
              <w:spacing w:after="0"/>
              <w:rPr>
                <w:sz w:val="20"/>
                <w:szCs w:val="20"/>
                <w:color w:val="auto"/>
              </w:rPr>
            </w:pPr>
            <w:r>
              <w:rPr>
                <w:rFonts w:ascii="Courier New" w:cs="Courier New" w:eastAsia="Courier New" w:hAnsi="Courier New"/>
                <w:sz w:val="12"/>
                <w:szCs w:val="12"/>
                <w:color w:val="auto"/>
              </w:rPr>
              <w:t>34,170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6"/>
          </w:tcPr>
          <w:p>
            <w:pPr>
              <w:jc w:val="right"/>
              <w:ind w:right="400"/>
              <w:spacing w:after="0"/>
              <w:rPr>
                <w:sz w:val="20"/>
                <w:szCs w:val="20"/>
                <w:color w:val="auto"/>
              </w:rPr>
            </w:pPr>
            <w:r>
              <w:rPr>
                <w:rFonts w:ascii="Courier New" w:cs="Courier New" w:eastAsia="Courier New" w:hAnsi="Courier New"/>
                <w:sz w:val="12"/>
                <w:szCs w:val="12"/>
                <w:color w:val="auto"/>
                <w:w w:val="92"/>
              </w:rPr>
              <w:t>29,022</w:t>
            </w:r>
          </w:p>
        </w:tc>
        <w:tc>
          <w:tcPr>
            <w:tcW w:w="60" w:type="dxa"/>
            <w:vAlign w:val="bottom"/>
          </w:tcPr>
          <w:p>
            <w:pPr>
              <w:spacing w:after="0"/>
              <w:rPr>
                <w:sz w:val="14"/>
                <w:szCs w:val="14"/>
                <w:color w:val="auto"/>
              </w:rPr>
            </w:pP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17.7%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77"/>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top w:val="single" w:sz="8" w:color="auto"/>
              <w:bottom w:val="single" w:sz="8" w:color="2C2C2C"/>
            </w:tcBorders>
          </w:tcPr>
          <w:p>
            <w:pPr>
              <w:spacing w:after="0"/>
              <w:rPr>
                <w:sz w:val="6"/>
                <w:szCs w:val="6"/>
                <w:color w:val="auto"/>
              </w:rPr>
            </w:pPr>
          </w:p>
        </w:tc>
        <w:tc>
          <w:tcPr>
            <w:tcW w:w="26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top w:val="single" w:sz="8" w:color="auto"/>
              <w:bottom w:val="single" w:sz="8" w:color="2C2C2C"/>
            </w:tcBorders>
          </w:tcPr>
          <w:p>
            <w:pPr>
              <w:spacing w:after="0"/>
              <w:rPr>
                <w:sz w:val="6"/>
                <w:szCs w:val="6"/>
                <w:color w:val="auto"/>
              </w:rPr>
            </w:pPr>
          </w:p>
        </w:tc>
        <w:tc>
          <w:tcPr>
            <w:tcW w:w="20" w:type="dxa"/>
            <w:vAlign w:val="bottom"/>
            <w:tcBorders>
              <w:top w:val="single" w:sz="8" w:color="auto"/>
              <w:bottom w:val="single" w:sz="8" w:color="2C2C2C"/>
            </w:tcBorders>
          </w:tcPr>
          <w:p>
            <w:pPr>
              <w:spacing w:after="0"/>
              <w:rPr>
                <w:sz w:val="6"/>
                <w:szCs w:val="6"/>
                <w:color w:val="auto"/>
              </w:rPr>
            </w:pPr>
          </w:p>
        </w:tc>
        <w:tc>
          <w:tcPr>
            <w:tcW w:w="60" w:type="dxa"/>
            <w:vAlign w:val="bottom"/>
            <w:tcBorders>
              <w:top w:val="single" w:sz="8" w:color="auto"/>
              <w:bottom w:val="single" w:sz="8" w:color="2C2C2C"/>
            </w:tcBorders>
          </w:tcPr>
          <w:p>
            <w:pPr>
              <w:spacing w:after="0"/>
              <w:rPr>
                <w:sz w:val="6"/>
                <w:szCs w:val="6"/>
                <w:color w:val="auto"/>
              </w:rPr>
            </w:pPr>
          </w:p>
        </w:tc>
        <w:tc>
          <w:tcPr>
            <w:tcW w:w="260" w:type="dxa"/>
            <w:vAlign w:val="bottom"/>
            <w:tcBorders>
              <w:top w:val="single" w:sz="8" w:color="auto"/>
              <w:bottom w:val="single" w:sz="8" w:color="2C2C2C"/>
            </w:tcBorders>
          </w:tcPr>
          <w:p>
            <w:pPr>
              <w:spacing w:after="0"/>
              <w:rPr>
                <w:sz w:val="6"/>
                <w:szCs w:val="6"/>
                <w:color w:val="auto"/>
              </w:rPr>
            </w:pPr>
          </w:p>
        </w:tc>
        <w:tc>
          <w:tcPr>
            <w:tcW w:w="20" w:type="dxa"/>
            <w:vAlign w:val="bottom"/>
            <w:tcBorders>
              <w:top w:val="single" w:sz="8" w:color="auto"/>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96"/>
        </w:trPr>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Courier New" w:cs="Courier New" w:eastAsia="Courier New" w:hAnsi="Courier New"/>
                <w:sz w:val="12"/>
                <w:szCs w:val="12"/>
                <w:color w:val="auto"/>
              </w:rPr>
              <w:t>Net revenues</w:t>
            </w: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4"/>
          </w:tcPr>
          <w:p>
            <w:pPr>
              <w:jc w:val="right"/>
              <w:ind w:right="60"/>
              <w:spacing w:after="0"/>
              <w:rPr>
                <w:sz w:val="20"/>
                <w:szCs w:val="20"/>
                <w:color w:val="auto"/>
              </w:rPr>
            </w:pPr>
            <w:r>
              <w:rPr>
                <w:rFonts w:ascii="Courier New" w:cs="Courier New" w:eastAsia="Courier New" w:hAnsi="Courier New"/>
                <w:sz w:val="12"/>
                <w:szCs w:val="12"/>
                <w:color w:val="auto"/>
              </w:rPr>
              <w:t>$ 30,059</w:t>
            </w:r>
          </w:p>
        </w:tc>
        <w:tc>
          <w:tcPr>
            <w:tcW w:w="1060" w:type="dxa"/>
            <w:vAlign w:val="bottom"/>
            <w:gridSpan w:val="8"/>
          </w:tcPr>
          <w:p>
            <w:pPr>
              <w:jc w:val="right"/>
              <w:ind w:right="400"/>
              <w:spacing w:after="0"/>
              <w:rPr>
                <w:sz w:val="20"/>
                <w:szCs w:val="20"/>
                <w:color w:val="auto"/>
              </w:rPr>
            </w:pPr>
            <w:r>
              <w:rPr>
                <w:rFonts w:ascii="Courier New" w:cs="Courier New" w:eastAsia="Courier New" w:hAnsi="Courier New"/>
                <w:sz w:val="12"/>
                <w:szCs w:val="12"/>
                <w:color w:val="auto"/>
              </w:rPr>
              <w:t>$ 31,393</w:t>
            </w:r>
          </w:p>
        </w:tc>
        <w:tc>
          <w:tcPr>
            <w:tcW w:w="60" w:type="dxa"/>
            <w:vAlign w:val="bottom"/>
          </w:tcPr>
          <w:p>
            <w:pPr>
              <w:spacing w:after="0"/>
              <w:rPr>
                <w:sz w:val="17"/>
                <w:szCs w:val="17"/>
                <w:color w:val="auto"/>
              </w:rPr>
            </w:pPr>
          </w:p>
        </w:tc>
        <w:tc>
          <w:tcPr>
            <w:tcW w:w="72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(4.2 )%</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170"/>
        </w:trPr>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6"/>
          </w:tcPr>
          <w:p>
            <w:pPr>
              <w:jc w:val="right"/>
              <w:ind w:right="400"/>
              <w:spacing w:after="0"/>
              <w:rPr>
                <w:sz w:val="20"/>
                <w:szCs w:val="20"/>
                <w:color w:val="auto"/>
              </w:rPr>
            </w:pPr>
            <w:r>
              <w:rPr>
                <w:rFonts w:ascii="Arial" w:cs="Arial" w:eastAsia="Arial" w:hAnsi="Arial"/>
                <w:sz w:val="9"/>
                <w:szCs w:val="9"/>
                <w:color w:val="auto"/>
                <w:w w:val="95"/>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gridSpan w:val="8"/>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r>
      <w:tr>
        <w:trPr>
          <w:trHeight w:val="196"/>
        </w:trPr>
        <w:tc>
          <w:tcPr>
            <w:tcW w:w="60" w:type="dxa"/>
            <w:vAlign w:val="bottom"/>
          </w:tcPr>
          <w:p>
            <w:pPr>
              <w:spacing w:after="0"/>
              <w:rPr>
                <w:sz w:val="17"/>
                <w:szCs w:val="17"/>
                <w:color w:val="auto"/>
              </w:rPr>
            </w:pPr>
          </w:p>
        </w:tc>
        <w:tc>
          <w:tcPr>
            <w:tcW w:w="1320" w:type="dxa"/>
            <w:vAlign w:val="bottom"/>
            <w:gridSpan w:val="8"/>
          </w:tcPr>
          <w:p>
            <w:pPr>
              <w:ind w:left="20"/>
              <w:spacing w:after="0"/>
              <w:rPr>
                <w:sz w:val="20"/>
                <w:szCs w:val="20"/>
                <w:color w:val="auto"/>
              </w:rPr>
            </w:pPr>
            <w:r>
              <w:rPr>
                <w:rFonts w:ascii="Courier New" w:cs="Courier New" w:eastAsia="Courier New" w:hAnsi="Courier New"/>
                <w:sz w:val="12"/>
                <w:szCs w:val="12"/>
                <w:color w:val="auto"/>
              </w:rPr>
              <w:t>Other Data:</w:t>
            </w: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360"/>
        </w:trPr>
        <w:tc>
          <w:tcPr>
            <w:tcW w:w="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3595370</wp:posOffset>
            </wp:positionH>
            <wp:positionV relativeFrom="paragraph">
              <wp:posOffset>-2473960</wp:posOffset>
            </wp:positionV>
            <wp:extent cx="5715" cy="2240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5" cy="22402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-2479675</wp:posOffset>
            </wp:positionV>
            <wp:extent cx="5715" cy="2245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 cy="22459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-2468245</wp:posOffset>
            </wp:positionV>
            <wp:extent cx="3583305" cy="2223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83305" cy="2223135"/>
                    </a:xfrm>
                    <a:prstGeom prst="rect">
                      <a:avLst/>
                    </a:prstGeom>
                    <a:noFill/>
                  </pic:spPr>
                </pic:pic>
              </a:graphicData>
            </a:graphic>
          </wp:anchor>
        </w:drawing>
      </w:r>
    </w:p>
    <w:p>
      <w:pPr>
        <w:sectPr>
          <w:pgSz w:w="11900" w:h="16864" w:orient="portrait"/>
          <w:cols w:equalWidth="0" w:num="1">
            <w:col w:w="11360"/>
          </w:cols>
          <w:pgMar w:left="300" w:top="141" w:right="239" w:bottom="0" w:gutter="0" w:footer="0" w:header="0"/>
        </w:sect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1"/>
          <w:szCs w:val="11"/>
          <w:i w:val="1"/>
          <w:iCs w:val="1"/>
          <w:color w:val="auto"/>
        </w:rPr>
        <w:t>Results of Operations</w:t>
      </w:r>
    </w:p>
    <w:p>
      <w:pPr>
        <w:sectPr>
          <w:pgSz w:w="11900" w:h="16864" w:orient="portrait"/>
          <w:cols w:equalWidth="0" w:num="1">
            <w:col w:w="11360"/>
          </w:cols>
          <w:pgMar w:left="300" w:top="141" w:right="239" w:bottom="0" w:gutter="0" w:footer="0" w:header="0"/>
          <w:type w:val="continuous"/>
        </w:sectPr>
      </w:pPr>
    </w:p>
    <w:bookmarkStart w:id="7" w:name="page8"/>
    <w:bookmarkEnd w:id="7"/>
    <w:p>
      <w:pPr>
        <w:jc w:val="both"/>
        <w:spacing w:after="0" w:line="235" w:lineRule="auto"/>
        <w:rPr>
          <w:sz w:val="20"/>
          <w:szCs w:val="20"/>
          <w:color w:val="auto"/>
        </w:rPr>
      </w:pPr>
      <w:r>
        <w:rPr>
          <w:rFonts w:ascii="Courier New" w:cs="Courier New" w:eastAsia="Courier New" w:hAnsi="Courier New"/>
          <w:sz w:val="12"/>
          <w:szCs w:val="12"/>
          <w:color w:val="auto"/>
        </w:rPr>
        <w:t>The following discussion compares results for the three-month period ended December 31, 1999 ("Fiscal 2000 Period") to the three-month period ended December 31, 1 should be read in conjunction with the accompanying financial statements and related notes.</w:t>
      </w:r>
    </w:p>
    <w:p>
      <w:pPr>
        <w:spacing w:after="0" w:line="1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2"/>
          <w:szCs w:val="12"/>
          <w:color w:val="auto"/>
        </w:rPr>
        <w:t>The Companys primary activity is the making of small, non-recourse loans secured by tangible personal property. The income earned on this activity is pawn servic revenue increased $0.1 million from the Fiscal 1999 Period to $25.9 million. This was a result of pawn service charge revenue from new stores ($1.3 million), off The decrease in same store pawn service charges resulted from a decrease in the annualized loan yield from 209% to 204% ($0.6 million) and a reduction in the aver loan balances were 7% below the balances at December 31, 1998.</w:t>
      </w:r>
    </w:p>
    <w:p>
      <w:pPr>
        <w:spacing w:after="0" w:line="122" w:lineRule="exact"/>
        <w:rPr>
          <w:sz w:val="20"/>
          <w:szCs w:val="20"/>
          <w:color w:val="auto"/>
        </w:rPr>
      </w:pPr>
    </w:p>
    <w:p>
      <w:pPr>
        <w:jc w:val="both"/>
        <w:spacing w:after="0" w:line="266" w:lineRule="auto"/>
        <w:rPr>
          <w:sz w:val="20"/>
          <w:szCs w:val="20"/>
          <w:color w:val="auto"/>
        </w:rPr>
      </w:pPr>
      <w:r>
        <w:rPr>
          <w:rFonts w:ascii="Courier New" w:cs="Courier New" w:eastAsia="Courier New" w:hAnsi="Courier New"/>
          <w:sz w:val="11"/>
          <w:szCs w:val="11"/>
          <w:color w:val="auto"/>
        </w:rPr>
        <w:t>In response to falling general merchandise prices, primarily on consumer electronics, and volatile gold prices, the Company lowered the amount it will lend on cer by approximately 8%. These changes have reduced the loan balances in stores open more than a year and slowed loan growth in new stores. The Company expects thes to three quarters. Variations in the annualized loan yield are due generally to a mix shift in the loan portfolio between loans with different loan yields.</w:t>
      </w:r>
    </w:p>
    <w:p>
      <w:pPr>
        <w:spacing w:after="0" w:line="108"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2"/>
          <w:szCs w:val="12"/>
          <w:color w:val="auto"/>
        </w:rPr>
        <w:t>A secondary, but related, activity of the Company is the sale of merchandise, primarily collateral forfeited from its lending activity. For the Fiscal 2000 Perio 1999 Period to approximately $38.1 million. This growth resulted from a 4% increase in same store merchandise sales ($1.4 million), sales from stores not open a activity ($0.3 million). Annualized inventory turnover was 2.2 times in the Fiscal 2000 Period compared to 2.4 times in the Fiscal 1999 Period. The decrease in a levels growing at a faster rate than sales and new stores, which typically have slower inventory turnover.</w:t>
      </w:r>
    </w:p>
    <w:p>
      <w:pPr>
        <w:spacing w:after="0" w:line="122"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2"/>
          <w:szCs w:val="12"/>
          <w:color w:val="auto"/>
        </w:rPr>
        <w:t>The Companys gross margin level (gross profit as a percentage of merchandise sales) results from, among other factors, the composition, quality and age of its inv the Companys inventory consisted of approximately 62% and 58% jewelry (e.g. ladies and mens rings, chains, bracelets, etc.) and 38% and 42% general merchandise (e musical instruments, etc.). At December 31, 1999 and 1998, respectively, 87% and 86% of the jewelry was less than twelve months old based on the Companys date of or date of purchase), as was 93% and 96% of the general merchandise inventory.</w:t>
      </w:r>
    </w:p>
    <w:p>
      <w:pPr>
        <w:spacing w:after="0" w:line="122" w:lineRule="exact"/>
        <w:rPr>
          <w:sz w:val="20"/>
          <w:szCs w:val="20"/>
          <w:color w:val="auto"/>
        </w:rPr>
      </w:pPr>
    </w:p>
    <w:p>
      <w:pPr>
        <w:spacing w:after="0" w:line="264" w:lineRule="auto"/>
        <w:rPr>
          <w:sz w:val="20"/>
          <w:szCs w:val="20"/>
          <w:color w:val="auto"/>
        </w:rPr>
      </w:pPr>
      <w:r>
        <w:rPr>
          <w:rFonts w:ascii="Courier New" w:cs="Courier New" w:eastAsia="Courier New" w:hAnsi="Courier New"/>
          <w:sz w:val="11"/>
          <w:szCs w:val="11"/>
          <w:color w:val="auto"/>
        </w:rPr>
        <w:t>For the Fiscal 2000 Period, gross margins on merchandise sales decreased 5 percentage points from the Fiscal 1999 Period to approximately 10 percent. Of the tota margins on merchandise sales, with the balance of the margin reduction due to an increase in inventory shrinkage and lower margins on scrap and wholesale sales. pricing and loan guidelines in response to a reduction in competitive retail prices, primarily in jewelry and electronics. The majority of the reduction in gros to this price reduction and the resulting sales of inventory created or acquired during periods of higher loan values. Inventory shrinkage for the quarter was 1.</w:t>
      </w:r>
    </w:p>
    <w:p>
      <w:pPr>
        <w:spacing w:after="0" w:line="109"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2"/>
          <w:szCs w:val="12"/>
          <w:color w:val="auto"/>
        </w:rPr>
        <w:t>In the Fiscal 2000 Period, operating expenses as a percentage of total revenues increased almost one percentage point from the Fiscal 1999 Period to 34%. This in which typically experience higher levels of operating expense relative to revenues.</w:t>
      </w:r>
    </w:p>
    <w:p>
      <w:pPr>
        <w:spacing w:after="0" w:line="121"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2"/>
          <w:szCs w:val="12"/>
          <w:color w:val="auto"/>
        </w:rPr>
        <w:t>Administrative expenses as a percent of total revenue decreased one-half of a percentage point in the Fiscal 2000 Period to 6.7%. This decrease was due primarily revenues and a reduction in total administrative expenses.</w:t>
      </w:r>
    </w:p>
    <w:p>
      <w:pPr>
        <w:spacing w:after="0" w:line="121"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2"/>
          <w:szCs w:val="12"/>
          <w:color w:val="auto"/>
        </w:rPr>
        <w:t>Depreciation and amortization as a percent of total revenue increased 0.1 of a percentage point from the Fiscal 1999 Period to 3.9%. This resulted from the depre expense as a percent of total revenue increased 0.7 of a percentage point from the Fiscal 1999 Period to 2.1%. The interest expense increase was largely due to i resulting from additional borrowings to fund new store expansion.</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color w:val="auto"/>
        </w:rPr>
        <w:t>Liquidity and Capital Resources</w:t>
      </w:r>
    </w:p>
    <w:p>
      <w:pPr>
        <w:spacing w:after="0" w:line="373" w:lineRule="exact"/>
        <w:rPr>
          <w:sz w:val="20"/>
          <w:szCs w:val="20"/>
          <w:color w:val="auto"/>
        </w:rPr>
      </w:pPr>
    </w:p>
    <w:p>
      <w:pPr>
        <w:jc w:val="both"/>
        <w:spacing w:after="0" w:line="263" w:lineRule="auto"/>
        <w:rPr>
          <w:sz w:val="20"/>
          <w:szCs w:val="20"/>
          <w:color w:val="auto"/>
        </w:rPr>
      </w:pPr>
      <w:r>
        <w:rPr>
          <w:rFonts w:ascii="Courier New" w:cs="Courier New" w:eastAsia="Courier New" w:hAnsi="Courier New"/>
          <w:sz w:val="11"/>
          <w:szCs w:val="11"/>
          <w:color w:val="auto"/>
        </w:rPr>
        <w:t>Net cash provided by operating activities for the Fiscal 2000 Period was $4.2 million as compared to $2.4 million provided in the Fiscal 1999 Period, an increase which reduce the cash provided by operating activities, were $2.3 million less in the Fiscal 2000 Period than the increases in the comparable Fiscal 1999 Period, operating activities. Smaller changes in other operating assets and liabilities contributed $1.8 million to cash provided by operating activities, offset by a re gain of $0.6 million on the sale of a non-productive asset in the Fiscal 2000 Period. Net cash provided by investing activities was $4.3 million for the Fiscal 1 to larger decreases in pawn loan balances in the Fiscal 2000 Period compared to the Fiscal 1999 Period and lower levels of capital expenditures and investments.</w:t>
      </w:r>
    </w:p>
    <w:p>
      <w:pPr>
        <w:spacing w:after="0" w:line="109" w:lineRule="exact"/>
        <w:rPr>
          <w:sz w:val="20"/>
          <w:szCs w:val="20"/>
          <w:color w:val="auto"/>
        </w:rPr>
      </w:pPr>
    </w:p>
    <w:p>
      <w:pPr>
        <w:spacing w:after="0" w:line="263" w:lineRule="auto"/>
        <w:rPr>
          <w:sz w:val="20"/>
          <w:szCs w:val="20"/>
          <w:color w:val="auto"/>
        </w:rPr>
      </w:pPr>
      <w:r>
        <w:rPr>
          <w:rFonts w:ascii="Courier New" w:cs="Courier New" w:eastAsia="Courier New" w:hAnsi="Courier New"/>
          <w:sz w:val="11"/>
          <w:szCs w:val="11"/>
          <w:color w:val="auto"/>
        </w:rPr>
        <w:t>In the first quarter of Fiscal 2000, the Company invested approximately $6.2 million to upgrade or replace existing equipment and computer systems, open three new stores. The Company funded these expenditures largely from cash flow provided by operating activities. The Company plans to open approximately 10 stores during stores already opened. During fiscal 2000, the Company also plans to complete a sale-leaseback transaction of some of its owned properties. The Company anticipa line of credit, and proceeds from the sale-leaseback transaction will be adequate to fund planned capital expenditures and working capital requirements for the re Companys planned sale-leaseback transaction will be completed or that the Companys cash flow from operating activities and funds available under the line of credi</w:t>
      </w:r>
    </w:p>
    <w:p>
      <w:pPr>
        <w:spacing w:after="0" w:line="105" w:lineRule="exact"/>
        <w:rPr>
          <w:sz w:val="20"/>
          <w:szCs w:val="20"/>
          <w:color w:val="auto"/>
        </w:rPr>
      </w:pPr>
    </w:p>
    <w:p>
      <w:pPr>
        <w:spacing w:after="0"/>
        <w:tabs>
          <w:tab w:leader="none" w:pos="8740" w:val="left"/>
        </w:tabs>
        <w:rPr>
          <w:sz w:val="20"/>
          <w:szCs w:val="20"/>
          <w:color w:val="auto"/>
        </w:rPr>
      </w:pPr>
      <w:r>
        <w:rPr>
          <w:rFonts w:ascii="Courier New" w:cs="Courier New" w:eastAsia="Courier New" w:hAnsi="Courier New"/>
          <w:sz w:val="12"/>
          <w:szCs w:val="12"/>
          <w:color w:val="auto"/>
        </w:rPr>
        <w:t>The Companys credit agreement, as amended, requires, among other things, that the Company meet certain financial covenants.</w:t>
      </w:r>
      <w:r>
        <w:rPr>
          <w:sz w:val="20"/>
          <w:szCs w:val="20"/>
          <w:color w:val="auto"/>
        </w:rPr>
        <w:tab/>
      </w:r>
      <w:r>
        <w:rPr>
          <w:rFonts w:ascii="Courier New" w:cs="Courier New" w:eastAsia="Courier New" w:hAnsi="Courier New"/>
          <w:sz w:val="11"/>
          <w:szCs w:val="11"/>
          <w:color w:val="auto"/>
        </w:rPr>
        <w:t>The outstanding balance under the fac</w:t>
      </w:r>
    </w:p>
    <w:p>
      <w:pPr>
        <w:spacing w:after="0"/>
        <w:tabs>
          <w:tab w:leader="none" w:pos="6920" w:val="left"/>
        </w:tabs>
        <w:rPr>
          <w:sz w:val="20"/>
          <w:szCs w:val="20"/>
          <w:color w:val="auto"/>
        </w:rPr>
      </w:pPr>
      <w:r>
        <w:rPr>
          <w:rFonts w:ascii="Courier New" w:cs="Courier New" w:eastAsia="Courier New" w:hAnsi="Courier New"/>
          <w:sz w:val="12"/>
          <w:szCs w:val="12"/>
          <w:color w:val="auto"/>
        </w:rPr>
        <w:t>Rate or Eurodollar rate plus 87.5 to 175 basis points, depending on certain performance criteria.</w:t>
      </w:r>
      <w:r>
        <w:rPr>
          <w:sz w:val="20"/>
          <w:szCs w:val="20"/>
          <w:color w:val="auto"/>
        </w:rPr>
        <w:tab/>
      </w:r>
      <w:r>
        <w:rPr>
          <w:rFonts w:ascii="Courier New" w:cs="Courier New" w:eastAsia="Courier New" w:hAnsi="Courier New"/>
          <w:sz w:val="11"/>
          <w:szCs w:val="11"/>
          <w:color w:val="auto"/>
        </w:rPr>
        <w:t>In addition, the Company pays an unsecured commitment fee equal</w:t>
      </w:r>
    </w:p>
    <w:p>
      <w:pPr>
        <w:spacing w:after="0" w:line="236" w:lineRule="auto"/>
        <w:rPr>
          <w:sz w:val="20"/>
          <w:szCs w:val="20"/>
          <w:color w:val="auto"/>
        </w:rPr>
      </w:pPr>
      <w:r>
        <w:rPr>
          <w:rFonts w:ascii="Courier New" w:cs="Courier New" w:eastAsia="Courier New" w:hAnsi="Courier New"/>
          <w:sz w:val="12"/>
          <w:szCs w:val="12"/>
          <w:color w:val="auto"/>
        </w:rPr>
        <w:t>At December 31, 1999, the Company had $75 million outstanding on the line of credit.</w:t>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color w:val="auto"/>
        </w:rPr>
        <w:t>Seasonality</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Historically, pawn service charge revenues are highest in the Companys fourth fiscal quarter (July, August and September)</w:t>
      </w:r>
    </w:p>
    <w:p>
      <w:pPr>
        <w:spacing w:after="0" w:line="4" w:lineRule="exact"/>
        <w:rPr>
          <w:sz w:val="20"/>
          <w:szCs w:val="20"/>
          <w:color w:val="auto"/>
        </w:rPr>
      </w:pPr>
    </w:p>
    <w:p>
      <w:pPr>
        <w:jc w:val="both"/>
        <w:spacing w:after="0" w:line="437" w:lineRule="auto"/>
        <w:rPr>
          <w:sz w:val="20"/>
          <w:szCs w:val="20"/>
          <w:color w:val="auto"/>
        </w:rPr>
      </w:pPr>
      <w:r>
        <w:rPr>
          <w:rFonts w:ascii="Courier New" w:cs="Courier New" w:eastAsia="Courier New" w:hAnsi="Courier New"/>
          <w:sz w:val="12"/>
          <w:szCs w:val="12"/>
          <w:color w:val="auto"/>
        </w:rPr>
        <w:t xml:space="preserve">due to higher loan demand during the summer months. Merchandise sales are highest in the Companys first and second fiscal quarters (October through March) due to </w:t>
      </w:r>
      <w:r>
        <w:rPr>
          <w:rFonts w:ascii="Courier New" w:cs="Courier New" w:eastAsia="Courier New" w:hAnsi="Courier New"/>
          <w:sz w:val="12"/>
          <w:szCs w:val="12"/>
          <w:i w:val="1"/>
          <w:iCs w:val="1"/>
          <w:color w:val="auto"/>
        </w:rPr>
        <w:t>The Year 2000 Issue</w:t>
      </w:r>
    </w:p>
    <w:p>
      <w:pPr>
        <w:spacing w:after="0" w:line="257" w:lineRule="exact"/>
        <w:rPr>
          <w:sz w:val="20"/>
          <w:szCs w:val="20"/>
          <w:color w:val="auto"/>
        </w:rPr>
      </w:pPr>
    </w:p>
    <w:p>
      <w:pPr>
        <w:spacing w:after="0"/>
        <w:tabs>
          <w:tab w:leader="none" w:pos="4320" w:val="left"/>
        </w:tabs>
        <w:rPr>
          <w:sz w:val="20"/>
          <w:szCs w:val="20"/>
          <w:color w:val="auto"/>
        </w:rPr>
      </w:pPr>
      <w:r>
        <w:rPr>
          <w:rFonts w:ascii="Courier New" w:cs="Courier New" w:eastAsia="Courier New" w:hAnsi="Courier New"/>
          <w:sz w:val="12"/>
          <w:szCs w:val="12"/>
          <w:color w:val="auto"/>
        </w:rPr>
        <w:t>The Company, like many companies, faced the Year 2000 Issue.</w:t>
      </w:r>
      <w:r>
        <w:rPr>
          <w:sz w:val="20"/>
          <w:szCs w:val="20"/>
          <w:color w:val="auto"/>
        </w:rPr>
        <w:tab/>
      </w:r>
      <w:r>
        <w:rPr>
          <w:rFonts w:ascii="Courier New" w:cs="Courier New" w:eastAsia="Courier New" w:hAnsi="Courier New"/>
          <w:sz w:val="11"/>
          <w:szCs w:val="11"/>
          <w:color w:val="auto"/>
        </w:rPr>
        <w:t>This was a result of computer programs being written using two digits rather than four (for example,</w:t>
      </w:r>
    </w:p>
    <w:p>
      <w:pPr>
        <w:spacing w:after="0"/>
        <w:tabs>
          <w:tab w:leader="none" w:pos="1440" w:val="left"/>
        </w:tabs>
        <w:rPr>
          <w:sz w:val="20"/>
          <w:szCs w:val="20"/>
          <w:color w:val="auto"/>
        </w:rPr>
      </w:pPr>
      <w:r>
        <w:rPr>
          <w:rFonts w:ascii="Courier New" w:cs="Courier New" w:eastAsia="Courier New" w:hAnsi="Courier New"/>
          <w:sz w:val="12"/>
          <w:szCs w:val="12"/>
          <w:color w:val="auto"/>
        </w:rPr>
        <w:t>Any of the Companys</w:t>
      </w:r>
      <w:r>
        <w:rPr>
          <w:sz w:val="20"/>
          <w:szCs w:val="20"/>
          <w:color w:val="auto"/>
        </w:rPr>
        <w:tab/>
      </w:r>
      <w:r>
        <w:rPr>
          <w:rFonts w:ascii="Courier New" w:cs="Courier New" w:eastAsia="Courier New" w:hAnsi="Courier New"/>
          <w:sz w:val="11"/>
          <w:szCs w:val="11"/>
          <w:color w:val="auto"/>
        </w:rPr>
        <w:t>programs that had time-sensitive software may have recognized a date using "00" as the year 1900 rather than the year 2000.</w:t>
      </w:r>
    </w:p>
    <w:p>
      <w:pPr>
        <w:spacing w:after="0" w:line="236" w:lineRule="auto"/>
        <w:rPr>
          <w:sz w:val="20"/>
          <w:szCs w:val="20"/>
          <w:color w:val="auto"/>
        </w:rPr>
      </w:pPr>
      <w:r>
        <w:rPr>
          <w:rFonts w:ascii="Courier New" w:cs="Courier New" w:eastAsia="Courier New" w:hAnsi="Courier New"/>
          <w:sz w:val="12"/>
          <w:szCs w:val="12"/>
          <w:color w:val="auto"/>
        </w:rPr>
        <w:t>This could have resulted in a system failure or miscalculations causing disruptions of operations.</w:t>
      </w:r>
    </w:p>
    <w:p>
      <w:pPr>
        <w:spacing w:after="0" w:line="121" w:lineRule="exact"/>
        <w:rPr>
          <w:sz w:val="20"/>
          <w:szCs w:val="20"/>
          <w:color w:val="auto"/>
        </w:rPr>
      </w:pPr>
    </w:p>
    <w:p>
      <w:pPr>
        <w:jc w:val="both"/>
        <w:spacing w:after="0" w:line="266" w:lineRule="auto"/>
        <w:rPr>
          <w:sz w:val="20"/>
          <w:szCs w:val="20"/>
          <w:color w:val="auto"/>
        </w:rPr>
      </w:pPr>
      <w:r>
        <w:rPr>
          <w:rFonts w:ascii="Courier New" w:cs="Courier New" w:eastAsia="Courier New" w:hAnsi="Courier New"/>
          <w:sz w:val="11"/>
          <w:szCs w:val="11"/>
          <w:color w:val="auto"/>
        </w:rPr>
        <w:t>The Companys plan to resolve the Year 2000 Issue involved the following four phases: assessment, remediation, testing, and implementation. The Company fully comp December 31, 1999. In addition, the Company gathered information about the Year 2000 status of various third parties with which it conducts business. The Company software and operating equipment for Year 2000 modifications. The total cost of the Year 2000 project was less than $100,000 and was funded by operating cash flo</w:t>
      </w:r>
    </w:p>
    <w:p>
      <w:pPr>
        <w:spacing w:after="0" w:line="108" w:lineRule="exact"/>
        <w:rPr>
          <w:sz w:val="20"/>
          <w:szCs w:val="20"/>
          <w:color w:val="auto"/>
        </w:rPr>
      </w:pPr>
    </w:p>
    <w:p>
      <w:pPr>
        <w:jc w:val="both"/>
        <w:spacing w:after="0" w:line="260" w:lineRule="auto"/>
        <w:rPr>
          <w:sz w:val="20"/>
          <w:szCs w:val="20"/>
          <w:color w:val="auto"/>
        </w:rPr>
      </w:pPr>
      <w:r>
        <w:rPr>
          <w:rFonts w:ascii="Courier New" w:cs="Courier New" w:eastAsia="Courier New" w:hAnsi="Courier New"/>
          <w:sz w:val="11"/>
          <w:szCs w:val="11"/>
          <w:color w:val="auto"/>
        </w:rPr>
        <w:t>As of February 1, 2000, the Company has experienced no material year 2000 complications. The Companys management believes it effectively resolved the Year 2000 Is remainder of the year, the Company may not be able to process customer transactions which could have a material impact on the operations of the Company. In addit could adversely affect the Company. If this were to occur, the amount of potential liability and lost revenue cannot be reasonably estimated at this time.</w:t>
      </w:r>
    </w:p>
    <w:p>
      <w:pPr>
        <w:spacing w:after="0"/>
        <w:rPr>
          <w:sz w:val="20"/>
          <w:szCs w:val="20"/>
          <w:color w:val="auto"/>
        </w:rPr>
      </w:pPr>
      <w:r>
        <w:rPr>
          <w:rFonts w:ascii="Courier New" w:cs="Courier New" w:eastAsia="Courier New" w:hAnsi="Courier New"/>
          <w:sz w:val="11"/>
          <w:szCs w:val="11"/>
          <w:color w:val="auto"/>
        </w:rPr>
        <w:t>As a contingency plan, the Company developed and distributed to each of its locations an operating package that would allow each location to operate in a manual e</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i w:val="1"/>
          <w:iCs w:val="1"/>
          <w:color w:val="auto"/>
        </w:rPr>
        <w:t>Qualitative and Quantitative Disclosures about Market Risk</w:t>
      </w:r>
    </w:p>
    <w:p>
      <w:pPr>
        <w:spacing w:after="0" w:line="37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2"/>
          <w:szCs w:val="12"/>
          <w:color w:val="auto"/>
        </w:rPr>
        <w:t>The following discussion about the Companys market risk disclosures involves forward-looking statements. Actual results could differ materially from those projec to market risk related to changes in interest rates and foreign currency exchange rates. The Company does not use derivative financial instruments.</w:t>
      </w:r>
    </w:p>
    <w:p>
      <w:pPr>
        <w:spacing w:after="0" w:line="121" w:lineRule="exact"/>
        <w:rPr>
          <w:sz w:val="20"/>
          <w:szCs w:val="20"/>
          <w:color w:val="auto"/>
        </w:rPr>
      </w:pPr>
    </w:p>
    <w:p>
      <w:pPr>
        <w:ind w:right="1620"/>
        <w:spacing w:after="0" w:line="235" w:lineRule="auto"/>
        <w:rPr>
          <w:sz w:val="20"/>
          <w:szCs w:val="20"/>
          <w:color w:val="auto"/>
        </w:rPr>
      </w:pPr>
      <w:r>
        <w:rPr>
          <w:rFonts w:ascii="Courier New" w:cs="Courier New" w:eastAsia="Courier New" w:hAnsi="Courier New"/>
          <w:sz w:val="12"/>
          <w:szCs w:val="12"/>
          <w:color w:val="auto"/>
        </w:rPr>
        <w:t>The Companys earnings are affected by changes in interest rates due to the impact those changes have on its variable-rate debt instruments. The majority of the Companys long-term debt at December 31, 1999 is comprised of variable-rate</w:t>
      </w:r>
    </w:p>
    <w:p>
      <w:pPr>
        <w:spacing w:after="0" w:line="4"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2"/>
          <w:szCs w:val="12"/>
          <w:color w:val="auto"/>
        </w:rPr>
        <w:t>debt instruments. Effective December 20, 1999, the interest rate on the majority of the Companys variable-rate debt instruments increased 162.5 basis points. I in the remaining three quarters of fiscal 2000, the Companys interest expense for the year would increase by approximately $914,000. This amount is determined by the recent interest rate increase on the Companys variable rate long-term debt at December 31, 1999.</w:t>
      </w:r>
    </w:p>
    <w:p>
      <w:pPr>
        <w:spacing w:after="0" w:line="121"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2"/>
          <w:szCs w:val="12"/>
          <w:color w:val="auto"/>
        </w:rPr>
        <w:t>The Companys earnings and financial position are affected by foreign exchange rate fluctuations related to the equity investment in Albemarle &amp; Bond Holdings, plc functional currency is the U.K. pound.</w:t>
      </w:r>
    </w:p>
    <w:p>
      <w:pPr>
        <w:spacing w:after="0" w:line="4"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2"/>
          <w:szCs w:val="12"/>
          <w:color w:val="auto"/>
        </w:rPr>
        <w:t>The U.K. pound exchange rate can directly and indirectly impact the Companys results of operations and financial position in several ways, including potential eco on the Companys financial position and results of operations of a hypothetical change in the exchange rate between the U.S. dollar and the U.K. pound cannot be re the weakening in the U.K. pound during the quarter ended December 31, 1999 was approximately $33,000. On December 31, 1999, the U.K. pound closed at 0.6186 to 1. an increase from 0.6076 at September 30, 1999.</w:t>
      </w:r>
    </w:p>
    <w:p>
      <w:pPr>
        <w:spacing w:after="0" w:line="5" w:lineRule="exact"/>
        <w:rPr>
          <w:sz w:val="20"/>
          <w:szCs w:val="20"/>
          <w:color w:val="auto"/>
        </w:rPr>
      </w:pPr>
    </w:p>
    <w:p>
      <w:pPr>
        <w:jc w:val="both"/>
        <w:spacing w:after="0" w:line="437" w:lineRule="auto"/>
        <w:rPr>
          <w:sz w:val="20"/>
          <w:szCs w:val="20"/>
          <w:color w:val="auto"/>
        </w:rPr>
      </w:pPr>
      <w:r>
        <w:rPr>
          <w:rFonts w:ascii="Courier New" w:cs="Courier New" w:eastAsia="Courier New" w:hAnsi="Courier New"/>
          <w:sz w:val="12"/>
          <w:szCs w:val="12"/>
          <w:color w:val="auto"/>
        </w:rPr>
        <w:t xml:space="preserve">No assurance can be given as to the future valuation of the U.K. pound andhow further movements in the pound could effect future earnings or the financial positio </w:t>
      </w:r>
      <w:r>
        <w:rPr>
          <w:rFonts w:ascii="Courier New" w:cs="Courier New" w:eastAsia="Courier New" w:hAnsi="Courier New"/>
          <w:sz w:val="12"/>
          <w:szCs w:val="12"/>
          <w:i w:val="1"/>
          <w:iCs w:val="1"/>
          <w:color w:val="auto"/>
        </w:rPr>
        <w:t>Forward-Looking Information</w:t>
      </w:r>
    </w:p>
    <w:p>
      <w:pPr>
        <w:spacing w:after="0" w:line="261" w:lineRule="exact"/>
        <w:rPr>
          <w:sz w:val="20"/>
          <w:szCs w:val="20"/>
          <w:color w:val="auto"/>
        </w:rPr>
      </w:pPr>
    </w:p>
    <w:p>
      <w:pPr>
        <w:ind w:right="60"/>
        <w:spacing w:after="0" w:line="235" w:lineRule="auto"/>
        <w:rPr>
          <w:sz w:val="20"/>
          <w:szCs w:val="20"/>
          <w:color w:val="auto"/>
        </w:rPr>
      </w:pPr>
      <w:r>
        <w:rPr>
          <w:rFonts w:ascii="Courier New" w:cs="Courier New" w:eastAsia="Courier New" w:hAnsi="Courier New"/>
          <w:sz w:val="12"/>
          <w:szCs w:val="12"/>
          <w:color w:val="auto"/>
        </w:rPr>
        <w:t>This Quarterly Report on Form 10-Q includes "forward-looking statements" within the meaning of Section 27A of the Securities Act of 1933, as amended, and Section of the Securities Exchange Act of 1934, as amended.</w:t>
      </w:r>
    </w:p>
    <w:p>
      <w:pPr>
        <w:spacing w:after="0" w:line="4"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2"/>
          <w:szCs w:val="12"/>
          <w:color w:val="auto"/>
        </w:rPr>
        <w:t>All statements other than statement of historical information provided herein are forward-looking and may contain information about financial results, economic co the reader that actual results could differ materially from those expected by the Company depending on the outcome of certain factors, including without limitatio fluctuations in the Companys inventory and loan balances, inventory turnover, average yield on loan portfolios, redemption rates,</w:t>
      </w:r>
    </w:p>
    <w:p>
      <w:pPr>
        <w:spacing w:after="0" w:line="4"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2"/>
          <w:szCs w:val="12"/>
          <w:color w:val="auto"/>
        </w:rPr>
        <w:t>labor and employment matters, competition, operating risk, acquisition, and expansion risk, liquidity, and capital requirements and the effect of government and e and (ii) adverse changes in the market for the Companys services.</w:t>
      </w:r>
    </w:p>
    <w:p>
      <w:pPr>
        <w:spacing w:after="0" w:line="4"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2"/>
          <w:szCs w:val="12"/>
          <w:color w:val="auto"/>
        </w:rPr>
        <w:t>Readers are cautioned not to place undue reliance on these forward-looking statements, which speak only as of the date hereof. The Company undertakes no obligati release publicly the results of any revisions to these forward-looking statements which may be made to reflect events or circumstances after the date hereon, incl planned capital expenditures, or to reflect the occurrence of unanticipated events.</w:t>
      </w:r>
    </w:p>
    <w:p>
      <w:pPr>
        <w:sectPr>
          <w:pgSz w:w="11900" w:h="16838" w:orient="portrait"/>
          <w:cols w:equalWidth="0" w:num="1">
            <w:col w:w="11360"/>
          </w:cols>
          <w:pgMar w:left="300" w:top="393" w:right="239" w:bottom="746" w:gutter="0" w:footer="0" w:header="0"/>
        </w:sectPr>
      </w:pPr>
    </w:p>
    <w:bookmarkStart w:id="8" w:name="page9"/>
    <w:bookmarkEnd w:id="8"/>
    <w:p>
      <w:pPr>
        <w:jc w:val="center"/>
        <w:ind w:right="60"/>
        <w:spacing w:after="0"/>
        <w:rPr>
          <w:sz w:val="20"/>
          <w:szCs w:val="20"/>
          <w:color w:val="auto"/>
        </w:rPr>
      </w:pPr>
      <w:r>
        <w:rPr>
          <w:rFonts w:ascii="Courier New" w:cs="Courier New" w:eastAsia="Courier New" w:hAnsi="Courier New"/>
          <w:sz w:val="12"/>
          <w:szCs w:val="12"/>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i w:val="1"/>
          <w:iCs w:val="1"/>
          <w:color w:val="auto"/>
        </w:rPr>
        <w:t>Item 1.</w:t>
      </w:r>
      <w:r>
        <w:rPr>
          <w:sz w:val="20"/>
          <w:szCs w:val="20"/>
          <w:color w:val="auto"/>
        </w:rPr>
        <w:tab/>
      </w:r>
      <w:r>
        <w:rPr>
          <w:rFonts w:ascii="Courier New" w:cs="Courier New" w:eastAsia="Courier New" w:hAnsi="Courier New"/>
          <w:sz w:val="11"/>
          <w:szCs w:val="11"/>
          <w:b w:val="1"/>
          <w:bCs w:val="1"/>
          <w:i w:val="1"/>
          <w:iCs w:val="1"/>
          <w:color w:val="auto"/>
        </w:rPr>
        <w:t>Legal Proceedings</w:t>
      </w:r>
    </w:p>
    <w:p>
      <w:pPr>
        <w:spacing w:after="0" w:line="373" w:lineRule="exact"/>
        <w:rPr>
          <w:sz w:val="20"/>
          <w:szCs w:val="20"/>
          <w:color w:val="auto"/>
        </w:rPr>
      </w:pPr>
    </w:p>
    <w:p>
      <w:pPr>
        <w:spacing w:after="0" w:line="266" w:lineRule="auto"/>
        <w:rPr>
          <w:sz w:val="20"/>
          <w:szCs w:val="20"/>
          <w:color w:val="auto"/>
        </w:rPr>
      </w:pPr>
      <w:r>
        <w:rPr>
          <w:rFonts w:ascii="Courier New" w:cs="Courier New" w:eastAsia="Courier New" w:hAnsi="Courier New"/>
          <w:sz w:val="11"/>
          <w:szCs w:val="11"/>
          <w:color w:val="auto"/>
        </w:rPr>
        <w:t>From time to time, the Company is involved in litigation relating to claims arising from its normal business operations. Currently, the Company is a defendant in Some of these lawsuits involve claims for substantial amounts. While the ultimate outcome of these lawsuits cannot be ascertained, after consultation with counse the Company believes the resolution of these suits will not have a material adverse effect on the Company's financial condition or results of operations. However</w:t>
      </w:r>
    </w:p>
    <w:p>
      <w:pPr>
        <w:spacing w:after="0" w:line="200" w:lineRule="exact"/>
        <w:rPr>
          <w:sz w:val="20"/>
          <w:szCs w:val="20"/>
          <w:color w:val="auto"/>
        </w:rPr>
      </w:pPr>
    </w:p>
    <w:p>
      <w:pPr>
        <w:spacing w:after="0" w:line="24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i w:val="1"/>
          <w:iCs w:val="1"/>
          <w:color w:val="auto"/>
        </w:rPr>
        <w:t>Item 2.</w:t>
      </w:r>
      <w:r>
        <w:rPr>
          <w:sz w:val="20"/>
          <w:szCs w:val="20"/>
          <w:color w:val="auto"/>
        </w:rPr>
        <w:tab/>
      </w:r>
      <w:r>
        <w:rPr>
          <w:rFonts w:ascii="Courier New" w:cs="Courier New" w:eastAsia="Courier New" w:hAnsi="Courier New"/>
          <w:sz w:val="11"/>
          <w:szCs w:val="11"/>
          <w:b w:val="1"/>
          <w:bCs w:val="1"/>
          <w:i w:val="1"/>
          <w:iCs w:val="1"/>
          <w:color w:val="auto"/>
        </w:rPr>
        <w:t>Changes in Securities</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 Applicable</w:t>
      </w:r>
    </w:p>
    <w:p>
      <w:pPr>
        <w:spacing w:after="0" w:line="11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i w:val="1"/>
          <w:iCs w:val="1"/>
          <w:color w:val="auto"/>
        </w:rPr>
        <w:t>Item 3.</w:t>
      </w:r>
      <w:r>
        <w:rPr>
          <w:sz w:val="20"/>
          <w:szCs w:val="20"/>
          <w:color w:val="auto"/>
        </w:rPr>
        <w:tab/>
      </w:r>
      <w:r>
        <w:rPr>
          <w:rFonts w:ascii="Courier New" w:cs="Courier New" w:eastAsia="Courier New" w:hAnsi="Courier New"/>
          <w:sz w:val="11"/>
          <w:szCs w:val="11"/>
          <w:b w:val="1"/>
          <w:bCs w:val="1"/>
          <w:i w:val="1"/>
          <w:iCs w:val="1"/>
          <w:color w:val="auto"/>
        </w:rPr>
        <w:t>Defaults Upon Senior Securities</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 Applicable</w:t>
      </w:r>
    </w:p>
    <w:p>
      <w:pPr>
        <w:spacing w:after="0" w:line="11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i w:val="1"/>
          <w:iCs w:val="1"/>
          <w:color w:val="auto"/>
        </w:rPr>
        <w:t>Item 4.</w:t>
      </w:r>
      <w:r>
        <w:rPr>
          <w:sz w:val="20"/>
          <w:szCs w:val="20"/>
          <w:color w:val="auto"/>
        </w:rPr>
        <w:tab/>
      </w:r>
      <w:r>
        <w:rPr>
          <w:rFonts w:ascii="Courier New" w:cs="Courier New" w:eastAsia="Courier New" w:hAnsi="Courier New"/>
          <w:sz w:val="11"/>
          <w:szCs w:val="11"/>
          <w:b w:val="1"/>
          <w:bCs w:val="1"/>
          <w:i w:val="1"/>
          <w:iCs w:val="1"/>
          <w:color w:val="auto"/>
        </w:rPr>
        <w:t>Submission of Matters to a Vote of Security Holders</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 Applicable</w:t>
      </w:r>
    </w:p>
    <w:p>
      <w:pPr>
        <w:spacing w:after="0" w:line="11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i w:val="1"/>
          <w:iCs w:val="1"/>
          <w:color w:val="auto"/>
        </w:rPr>
        <w:t>Item 5.</w:t>
      </w:r>
      <w:r>
        <w:rPr>
          <w:sz w:val="20"/>
          <w:szCs w:val="20"/>
          <w:color w:val="auto"/>
        </w:rPr>
        <w:tab/>
      </w:r>
      <w:r>
        <w:rPr>
          <w:rFonts w:ascii="Courier New" w:cs="Courier New" w:eastAsia="Courier New" w:hAnsi="Courier New"/>
          <w:sz w:val="11"/>
          <w:szCs w:val="11"/>
          <w:b w:val="1"/>
          <w:bCs w:val="1"/>
          <w:i w:val="1"/>
          <w:iCs w:val="1"/>
          <w:color w:val="auto"/>
        </w:rPr>
        <w:t>Other Information</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 Applicable</w:t>
      </w:r>
    </w:p>
    <w:p>
      <w:pPr>
        <w:spacing w:after="0" w:line="11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2"/>
          <w:szCs w:val="12"/>
          <w:b w:val="1"/>
          <w:bCs w:val="1"/>
          <w:i w:val="1"/>
          <w:iCs w:val="1"/>
          <w:color w:val="auto"/>
        </w:rPr>
        <w:t>Item 6.</w:t>
      </w:r>
      <w:r>
        <w:rPr>
          <w:sz w:val="20"/>
          <w:szCs w:val="20"/>
          <w:color w:val="auto"/>
        </w:rPr>
        <w:tab/>
      </w:r>
      <w:r>
        <w:rPr>
          <w:rFonts w:ascii="Courier New" w:cs="Courier New" w:eastAsia="Courier New" w:hAnsi="Courier New"/>
          <w:sz w:val="11"/>
          <w:szCs w:val="11"/>
          <w:b w:val="1"/>
          <w:bCs w:val="1"/>
          <w:i w:val="1"/>
          <w:iCs w:val="1"/>
          <w:color w:val="auto"/>
        </w:rPr>
        <w:t>Exhibits and Reports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395605</wp:posOffset>
            </wp:positionV>
            <wp:extent cx="3606165" cy="5240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06165" cy="5240655"/>
                    </a:xfrm>
                    <a:prstGeom prst="rect">
                      <a:avLst/>
                    </a:prstGeom>
                    <a:noFill/>
                  </pic:spPr>
                </pic:pic>
              </a:graphicData>
            </a:graphic>
          </wp:anchor>
        </w:drawing>
      </w:r>
    </w:p>
    <w:p>
      <w:pPr>
        <w:sectPr>
          <w:pgSz w:w="11900" w:h="16838" w:orient="portrait"/>
          <w:cols w:equalWidth="0" w:num="1">
            <w:col w:w="11360"/>
          </w:cols>
          <w:pgMar w:left="300" w:top="389" w:right="239" w:bottom="3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80"/>
        <w:spacing w:after="0"/>
        <w:rPr>
          <w:sz w:val="20"/>
          <w:szCs w:val="20"/>
          <w:color w:val="auto"/>
        </w:rPr>
      </w:pPr>
      <w:r>
        <w:rPr>
          <w:rFonts w:ascii="Courier New" w:cs="Courier New" w:eastAsia="Courier New" w:hAnsi="Courier New"/>
          <w:sz w:val="11"/>
          <w:szCs w:val="11"/>
          <w:color w:val="auto"/>
        </w:rPr>
        <w:t>Gross profit as a percent of sales</w:t>
      </w:r>
    </w:p>
    <w:p>
      <w:pPr>
        <w:spacing w:after="0" w:line="192" w:lineRule="exact"/>
        <w:rPr>
          <w:sz w:val="20"/>
          <w:szCs w:val="20"/>
          <w:color w:val="auto"/>
        </w:rPr>
      </w:pPr>
    </w:p>
    <w:p>
      <w:pPr>
        <w:ind w:left="500"/>
        <w:spacing w:after="0"/>
        <w:rPr>
          <w:sz w:val="20"/>
          <w:szCs w:val="20"/>
          <w:color w:val="auto"/>
        </w:rPr>
      </w:pPr>
      <w:r>
        <w:rPr>
          <w:sz w:val="1"/>
          <w:szCs w:val="1"/>
          <w:color w:val="auto"/>
        </w:rPr>
        <w:drawing>
          <wp:inline distT="0" distB="0" distL="0" distR="0">
            <wp:extent cx="5715" cy="171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 cy="171450"/>
                    </a:xfrm>
                    <a:prstGeom prst="rect">
                      <a:avLst/>
                    </a:prstGeom>
                    <a:noFill/>
                    <a:ln>
                      <a:noFill/>
                    </a:ln>
                  </pic:spPr>
                </pic:pic>
              </a:graphicData>
            </a:graphic>
          </wp:inline>
        </w:drawing>
        <w:drawing>
          <wp:inline distT="0" distB="0" distL="0" distR="0">
            <wp:extent cx="5715" cy="1771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 cy="177165"/>
                    </a:xfrm>
                    <a:prstGeom prst="rect">
                      <a:avLst/>
                    </a:prstGeom>
                    <a:noFill/>
                    <a:ln>
                      <a:noFill/>
                    </a:ln>
                  </pic:spPr>
                </pic:pic>
              </a:graphicData>
            </a:graphic>
          </wp:inline>
        </w:drawing>
      </w:r>
      <w:r>
        <w:rPr>
          <w:rFonts w:ascii="Courier New" w:cs="Courier New" w:eastAsia="Courier New" w:hAnsi="Courier New"/>
          <w:sz w:val="11"/>
          <w:szCs w:val="11"/>
          <w:color w:val="auto"/>
        </w:rPr>
        <w:t xml:space="preserve"> Average annual inventory turnover</w:t>
      </w:r>
    </w:p>
    <w:p>
      <w:pPr>
        <w:spacing w:after="0" w:line="83" w:lineRule="exact"/>
        <w:rPr>
          <w:sz w:val="20"/>
          <w:szCs w:val="20"/>
          <w:color w:val="auto"/>
        </w:rPr>
      </w:pPr>
    </w:p>
    <w:p>
      <w:pPr>
        <w:jc w:val="both"/>
        <w:ind w:left="580" w:right="360"/>
        <w:spacing w:after="0" w:line="236" w:lineRule="auto"/>
        <w:rPr>
          <w:sz w:val="20"/>
          <w:szCs w:val="20"/>
          <w:color w:val="auto"/>
        </w:rPr>
      </w:pPr>
      <w:r>
        <w:rPr>
          <w:rFonts w:ascii="Courier New" w:cs="Courier New" w:eastAsia="Courier New" w:hAnsi="Courier New"/>
          <w:sz w:val="12"/>
          <w:szCs w:val="12"/>
          <w:color w:val="auto"/>
        </w:rPr>
        <w:t>Inventory balance per average location as of the end of the 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420" w:type="dxa"/>
            <w:vAlign w:val="bottom"/>
          </w:tcPr>
          <w:p>
            <w:pPr>
              <w:jc w:val="right"/>
              <w:ind w:right="22"/>
              <w:spacing w:after="0"/>
              <w:rPr>
                <w:sz w:val="20"/>
                <w:szCs w:val="20"/>
                <w:color w:val="auto"/>
              </w:rPr>
            </w:pPr>
            <w:r>
              <w:rPr>
                <w:rFonts w:ascii="Courier New" w:cs="Courier New" w:eastAsia="Courier New" w:hAnsi="Courier New"/>
                <w:sz w:val="12"/>
                <w:szCs w:val="12"/>
                <w:color w:val="auto"/>
                <w:w w:val="88"/>
              </w:rPr>
              <w:t>10.3%</w:t>
            </w:r>
          </w:p>
        </w:tc>
        <w:tc>
          <w:tcPr>
            <w:tcW w:w="720" w:type="dxa"/>
            <w:vAlign w:val="bottom"/>
          </w:tcPr>
          <w:p>
            <w:pPr>
              <w:jc w:val="right"/>
              <w:ind w:right="2"/>
              <w:spacing w:after="0"/>
              <w:rPr>
                <w:sz w:val="20"/>
                <w:szCs w:val="20"/>
                <w:color w:val="auto"/>
              </w:rPr>
            </w:pPr>
            <w:r>
              <w:rPr>
                <w:rFonts w:ascii="Courier New" w:cs="Courier New" w:eastAsia="Courier New" w:hAnsi="Courier New"/>
                <w:sz w:val="12"/>
                <w:szCs w:val="12"/>
                <w:color w:val="auto"/>
              </w:rPr>
              <w:t>15.7%</w:t>
            </w:r>
          </w:p>
        </w:tc>
        <w:tc>
          <w:tcPr>
            <w:tcW w:w="940" w:type="dxa"/>
            <w:vAlign w:val="bottom"/>
            <w:gridSpan w:val="4"/>
          </w:tcPr>
          <w:p>
            <w:pPr>
              <w:jc w:val="right"/>
              <w:ind w:right="42"/>
              <w:spacing w:after="0"/>
              <w:rPr>
                <w:sz w:val="20"/>
                <w:szCs w:val="20"/>
                <w:color w:val="auto"/>
              </w:rPr>
            </w:pPr>
            <w:r>
              <w:rPr>
                <w:rFonts w:ascii="Courier New" w:cs="Courier New" w:eastAsia="Courier New" w:hAnsi="Courier New"/>
                <w:sz w:val="12"/>
                <w:szCs w:val="12"/>
                <w:color w:val="auto"/>
              </w:rPr>
              <w:t>(5.4</w:t>
            </w:r>
          </w:p>
        </w:tc>
        <w:tc>
          <w:tcPr>
            <w:tcW w:w="260" w:type="dxa"/>
            <w:vAlign w:val="bottom"/>
          </w:tcPr>
          <w:p>
            <w:pPr>
              <w:jc w:val="right"/>
              <w:ind w:right="22"/>
              <w:spacing w:after="0"/>
              <w:rPr>
                <w:sz w:val="20"/>
                <w:szCs w:val="20"/>
                <w:color w:val="auto"/>
              </w:rPr>
            </w:pPr>
            <w:r>
              <w:rPr>
                <w:rFonts w:ascii="Courier New" w:cs="Courier New" w:eastAsia="Courier New" w:hAnsi="Courier New"/>
                <w:sz w:val="12"/>
                <w:szCs w:val="12"/>
                <w:color w:val="auto"/>
              </w:rPr>
              <w:t>)</w:t>
            </w:r>
          </w:p>
        </w:tc>
      </w:tr>
      <w:tr>
        <w:trPr>
          <w:trHeight w:val="135"/>
        </w:trPr>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jc w:val="right"/>
              <w:ind w:right="22"/>
              <w:spacing w:after="0"/>
              <w:rPr>
                <w:sz w:val="20"/>
                <w:szCs w:val="20"/>
                <w:color w:val="auto"/>
              </w:rPr>
            </w:pPr>
            <w:r>
              <w:rPr>
                <w:rFonts w:ascii="Courier New" w:cs="Courier New" w:eastAsia="Courier New" w:hAnsi="Courier New"/>
                <w:sz w:val="12"/>
                <w:szCs w:val="12"/>
                <w:color w:val="auto"/>
              </w:rPr>
              <w:t>pts.</w:t>
            </w:r>
          </w:p>
        </w:tc>
      </w:tr>
      <w:tr>
        <w:trPr>
          <w:trHeight w:val="72"/>
        </w:trPr>
        <w:tc>
          <w:tcPr>
            <w:tcW w:w="4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r>
      <w:tr>
        <w:trPr>
          <w:trHeight w:val="196"/>
        </w:trPr>
        <w:tc>
          <w:tcPr>
            <w:tcW w:w="420" w:type="dxa"/>
            <w:vAlign w:val="bottom"/>
          </w:tcPr>
          <w:p>
            <w:pPr>
              <w:jc w:val="right"/>
              <w:ind w:right="22"/>
              <w:spacing w:after="0"/>
              <w:rPr>
                <w:sz w:val="20"/>
                <w:szCs w:val="20"/>
                <w:color w:val="auto"/>
              </w:rPr>
            </w:pPr>
            <w:r>
              <w:rPr>
                <w:rFonts w:ascii="Courier New" w:cs="Courier New" w:eastAsia="Courier New" w:hAnsi="Courier New"/>
                <w:sz w:val="12"/>
                <w:szCs w:val="12"/>
                <w:color w:val="auto"/>
              </w:rPr>
              <w:t>2.2x</w:t>
            </w:r>
          </w:p>
        </w:tc>
        <w:tc>
          <w:tcPr>
            <w:tcW w:w="720" w:type="dxa"/>
            <w:vAlign w:val="bottom"/>
          </w:tcPr>
          <w:p>
            <w:pPr>
              <w:jc w:val="right"/>
              <w:ind w:right="2"/>
              <w:spacing w:after="0"/>
              <w:rPr>
                <w:sz w:val="20"/>
                <w:szCs w:val="20"/>
                <w:color w:val="auto"/>
              </w:rPr>
            </w:pPr>
            <w:r>
              <w:rPr>
                <w:rFonts w:ascii="Courier New" w:cs="Courier New" w:eastAsia="Courier New" w:hAnsi="Courier New"/>
                <w:sz w:val="12"/>
                <w:szCs w:val="12"/>
                <w:color w:val="auto"/>
              </w:rPr>
              <w:t>2.4x</w:t>
            </w:r>
          </w:p>
        </w:tc>
        <w:tc>
          <w:tcPr>
            <w:tcW w:w="9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(0.2</w:t>
            </w:r>
          </w:p>
        </w:tc>
        <w:tc>
          <w:tcPr>
            <w:tcW w:w="260" w:type="dxa"/>
            <w:vAlign w:val="bottom"/>
          </w:tcPr>
          <w:p>
            <w:pPr>
              <w:jc w:val="right"/>
              <w:ind w:right="22"/>
              <w:spacing w:after="0"/>
              <w:rPr>
                <w:sz w:val="20"/>
                <w:szCs w:val="20"/>
                <w:color w:val="auto"/>
              </w:rPr>
            </w:pPr>
            <w:r>
              <w:rPr>
                <w:rFonts w:ascii="Courier New" w:cs="Courier New" w:eastAsia="Courier New" w:hAnsi="Courier New"/>
                <w:sz w:val="12"/>
                <w:szCs w:val="12"/>
                <w:color w:val="auto"/>
              </w:rPr>
              <w:t>)x</w:t>
            </w:r>
          </w:p>
        </w:tc>
      </w:tr>
      <w:tr>
        <w:trPr>
          <w:trHeight w:val="72"/>
        </w:trPr>
        <w:tc>
          <w:tcPr>
            <w:tcW w:w="4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r>
      <w:tr>
        <w:trPr>
          <w:trHeight w:val="196"/>
        </w:trPr>
        <w:tc>
          <w:tcPr>
            <w:tcW w:w="420" w:type="dxa"/>
            <w:vAlign w:val="bottom"/>
          </w:tcPr>
          <w:p>
            <w:pPr>
              <w:jc w:val="right"/>
              <w:ind w:right="22"/>
              <w:spacing w:after="0"/>
              <w:rPr>
                <w:sz w:val="20"/>
                <w:szCs w:val="20"/>
                <w:color w:val="auto"/>
              </w:rPr>
            </w:pPr>
            <w:r>
              <w:rPr>
                <w:rFonts w:ascii="Courier New" w:cs="Courier New" w:eastAsia="Courier New" w:hAnsi="Courier New"/>
                <w:sz w:val="12"/>
                <w:szCs w:val="12"/>
                <w:color w:val="auto"/>
              </w:rPr>
              <w:t>$183</w:t>
            </w:r>
          </w:p>
        </w:tc>
        <w:tc>
          <w:tcPr>
            <w:tcW w:w="720" w:type="dxa"/>
            <w:vAlign w:val="bottom"/>
          </w:tcPr>
          <w:p>
            <w:pPr>
              <w:jc w:val="right"/>
              <w:ind w:right="2"/>
              <w:spacing w:after="0"/>
              <w:rPr>
                <w:sz w:val="20"/>
                <w:szCs w:val="20"/>
                <w:color w:val="auto"/>
              </w:rPr>
            </w:pPr>
            <w:r>
              <w:rPr>
                <w:rFonts w:ascii="Courier New" w:cs="Courier New" w:eastAsia="Courier New" w:hAnsi="Courier New"/>
                <w:sz w:val="12"/>
                <w:szCs w:val="12"/>
                <w:color w:val="auto"/>
              </w:rPr>
              <w:t>$162</w:t>
            </w:r>
          </w:p>
        </w:tc>
        <w:tc>
          <w:tcPr>
            <w:tcW w:w="1200" w:type="dxa"/>
            <w:vAlign w:val="bottom"/>
            <w:gridSpan w:val="5"/>
          </w:tcPr>
          <w:p>
            <w:pPr>
              <w:jc w:val="right"/>
              <w:ind w:right="22"/>
              <w:spacing w:after="0"/>
              <w:rPr>
                <w:sz w:val="20"/>
                <w:szCs w:val="20"/>
                <w:color w:val="auto"/>
              </w:rPr>
            </w:pPr>
            <w:r>
              <w:rPr>
                <w:rFonts w:ascii="Courier New" w:cs="Courier New" w:eastAsia="Courier New" w:hAnsi="Courier New"/>
                <w:sz w:val="12"/>
                <w:szCs w:val="12"/>
                <w:color w:val="auto"/>
              </w:rPr>
              <w:t>13.0%</w:t>
            </w:r>
          </w:p>
        </w:tc>
      </w:tr>
    </w:tbl>
    <w:p>
      <w:pPr>
        <w:spacing w:after="0" w:line="422" w:lineRule="exact"/>
        <w:rPr>
          <w:sz w:val="20"/>
          <w:szCs w:val="20"/>
          <w:color w:val="auto"/>
        </w:rPr>
      </w:pPr>
    </w:p>
    <w:p>
      <w:pPr>
        <w:sectPr>
          <w:pgSz w:w="11900" w:h="16838" w:orient="portrait"/>
          <w:cols w:equalWidth="0" w:num="2">
            <w:col w:w="2980" w:space="340"/>
            <w:col w:w="8040"/>
          </w:cols>
          <w:pgMar w:left="300" w:top="389" w:right="239" w:bottom="339"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2"/>
                <w:szCs w:val="12"/>
                <w:color w:val="auto"/>
                <w:w w:val="92"/>
              </w:rPr>
              <w:t>Loan  balance  per  average  location</w:t>
            </w: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$140</w:t>
            </w:r>
          </w:p>
        </w:tc>
        <w:tc>
          <w:tcPr>
            <w:tcW w:w="720" w:type="dxa"/>
            <w:vAlign w:val="bottom"/>
            <w:gridSpan w:val="3"/>
          </w:tcPr>
          <w:p>
            <w:pPr>
              <w:jc w:val="right"/>
              <w:ind w:right="60"/>
              <w:spacing w:after="0"/>
              <w:rPr>
                <w:sz w:val="20"/>
                <w:szCs w:val="20"/>
                <w:color w:val="auto"/>
              </w:rPr>
            </w:pPr>
            <w:r>
              <w:rPr>
                <w:rFonts w:ascii="Courier New" w:cs="Courier New" w:eastAsia="Courier New" w:hAnsi="Courier New"/>
                <w:sz w:val="12"/>
                <w:szCs w:val="12"/>
                <w:color w:val="auto"/>
              </w:rPr>
              <w:t>$160</w:t>
            </w:r>
          </w:p>
        </w:tc>
        <w:tc>
          <w:tcPr>
            <w:tcW w:w="1200" w:type="dxa"/>
            <w:vAlign w:val="bottom"/>
            <w:gridSpan w:val="5"/>
          </w:tcPr>
          <w:p>
            <w:pPr>
              <w:jc w:val="right"/>
              <w:ind w:right="22"/>
              <w:spacing w:after="0"/>
              <w:rPr>
                <w:sz w:val="20"/>
                <w:szCs w:val="20"/>
                <w:color w:val="auto"/>
              </w:rPr>
            </w:pPr>
            <w:r>
              <w:rPr>
                <w:rFonts w:ascii="Courier New" w:cs="Courier New" w:eastAsia="Courier New" w:hAnsi="Courier New"/>
                <w:sz w:val="12"/>
                <w:szCs w:val="12"/>
                <w:color w:val="auto"/>
              </w:rPr>
              <w:t>(12.5 )%</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2"/>
                <w:szCs w:val="12"/>
                <w:color w:val="auto"/>
              </w:rPr>
              <w:t>as of the end of the quarter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2"/>
                <w:szCs w:val="12"/>
                <w:color w:val="auto"/>
              </w:rPr>
              <w:t>Average yield on loan portfolio</w:t>
            </w: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204%</w:t>
            </w:r>
          </w:p>
        </w:tc>
        <w:tc>
          <w:tcPr>
            <w:tcW w:w="720" w:type="dxa"/>
            <w:vAlign w:val="bottom"/>
            <w:gridSpan w:val="3"/>
          </w:tcPr>
          <w:p>
            <w:pPr>
              <w:jc w:val="right"/>
              <w:ind w:right="60"/>
              <w:spacing w:after="0"/>
              <w:rPr>
                <w:sz w:val="20"/>
                <w:szCs w:val="20"/>
                <w:color w:val="auto"/>
              </w:rPr>
            </w:pPr>
            <w:r>
              <w:rPr>
                <w:rFonts w:ascii="Courier New" w:cs="Courier New" w:eastAsia="Courier New" w:hAnsi="Courier New"/>
                <w:sz w:val="12"/>
                <w:szCs w:val="12"/>
                <w:color w:val="auto"/>
              </w:rPr>
              <w:t>209%</w:t>
            </w:r>
          </w:p>
        </w:tc>
        <w:tc>
          <w:tcPr>
            <w:tcW w:w="1200" w:type="dxa"/>
            <w:vAlign w:val="bottom"/>
            <w:gridSpan w:val="5"/>
          </w:tcPr>
          <w:p>
            <w:pPr>
              <w:jc w:val="right"/>
              <w:ind w:right="22"/>
              <w:spacing w:after="0"/>
              <w:rPr>
                <w:sz w:val="20"/>
                <w:szCs w:val="20"/>
                <w:color w:val="auto"/>
              </w:rPr>
            </w:pPr>
            <w:r>
              <w:rPr>
                <w:rFonts w:ascii="Courier New" w:cs="Courier New" w:eastAsia="Courier New" w:hAnsi="Courier New"/>
                <w:sz w:val="12"/>
                <w:szCs w:val="12"/>
                <w:color w:val="auto"/>
              </w:rPr>
              <w:t>(5.0 )</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jc w:val="right"/>
              <w:ind w:right="22"/>
              <w:spacing w:after="0"/>
              <w:rPr>
                <w:sz w:val="20"/>
                <w:szCs w:val="20"/>
                <w:color w:val="auto"/>
              </w:rPr>
            </w:pPr>
            <w:r>
              <w:rPr>
                <w:rFonts w:ascii="Courier New" w:cs="Courier New" w:eastAsia="Courier New" w:hAnsi="Courier New"/>
                <w:sz w:val="12"/>
                <w:szCs w:val="12"/>
                <w:color w:val="auto"/>
              </w:rPr>
              <w:t>pts.</w:t>
            </w:r>
          </w:p>
        </w:tc>
        <w:tc>
          <w:tcPr>
            <w:tcW w:w="0" w:type="dxa"/>
            <w:vAlign w:val="bottom"/>
          </w:tcPr>
          <w:p>
            <w:pPr>
              <w:spacing w:after="0"/>
              <w:rPr>
                <w:sz w:val="1"/>
                <w:szCs w:val="1"/>
                <w:color w:val="auto"/>
              </w:rPr>
            </w:pPr>
          </w:p>
        </w:tc>
      </w:tr>
      <w:tr>
        <w:trPr>
          <w:trHeight w:val="72"/>
        </w:trPr>
        <w:tc>
          <w:tcPr>
            <w:tcW w:w="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2"/>
                <w:szCs w:val="12"/>
                <w:color w:val="auto"/>
              </w:rPr>
              <w:t>Redemption rate</w:t>
            </w: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74%</w:t>
            </w:r>
          </w:p>
        </w:tc>
        <w:tc>
          <w:tcPr>
            <w:tcW w:w="720" w:type="dxa"/>
            <w:vAlign w:val="bottom"/>
            <w:gridSpan w:val="3"/>
          </w:tcPr>
          <w:p>
            <w:pPr>
              <w:jc w:val="right"/>
              <w:ind w:right="60"/>
              <w:spacing w:after="0"/>
              <w:rPr>
                <w:sz w:val="20"/>
                <w:szCs w:val="20"/>
                <w:color w:val="auto"/>
              </w:rPr>
            </w:pPr>
            <w:r>
              <w:rPr>
                <w:rFonts w:ascii="Courier New" w:cs="Courier New" w:eastAsia="Courier New" w:hAnsi="Courier New"/>
                <w:sz w:val="12"/>
                <w:szCs w:val="12"/>
                <w:color w:val="auto"/>
              </w:rPr>
              <w:t>75%</w:t>
            </w:r>
          </w:p>
        </w:tc>
        <w:tc>
          <w:tcPr>
            <w:tcW w:w="1200" w:type="dxa"/>
            <w:vAlign w:val="bottom"/>
            <w:gridSpan w:val="5"/>
          </w:tcPr>
          <w:p>
            <w:pPr>
              <w:jc w:val="right"/>
              <w:ind w:right="22"/>
              <w:spacing w:after="0"/>
              <w:rPr>
                <w:sz w:val="20"/>
                <w:szCs w:val="20"/>
                <w:color w:val="auto"/>
              </w:rPr>
            </w:pPr>
            <w:r>
              <w:rPr>
                <w:rFonts w:ascii="Courier New" w:cs="Courier New" w:eastAsia="Courier New" w:hAnsi="Courier New"/>
                <w:sz w:val="12"/>
                <w:szCs w:val="12"/>
                <w:color w:val="auto"/>
              </w:rPr>
              <w:t>(1.0 )</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jc w:val="right"/>
              <w:ind w:right="22"/>
              <w:spacing w:after="0"/>
              <w:rPr>
                <w:sz w:val="20"/>
                <w:szCs w:val="20"/>
                <w:color w:val="auto"/>
              </w:rPr>
            </w:pPr>
            <w:r>
              <w:rPr>
                <w:rFonts w:ascii="Courier New" w:cs="Courier New" w:eastAsia="Courier New" w:hAnsi="Courier New"/>
                <w:sz w:val="12"/>
                <w:szCs w:val="12"/>
                <w:color w:val="auto"/>
              </w:rPr>
              <w:t>pt.</w:t>
            </w: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Expenses as a Percent of Total Revenues: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2"/>
                <w:szCs w:val="12"/>
                <w:color w:val="auto"/>
              </w:rPr>
              <w:t>Operating</w:t>
            </w: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34.0%</w:t>
            </w:r>
          </w:p>
        </w:tc>
        <w:tc>
          <w:tcPr>
            <w:tcW w:w="720" w:type="dxa"/>
            <w:vAlign w:val="bottom"/>
            <w:gridSpan w:val="3"/>
          </w:tcPr>
          <w:p>
            <w:pPr>
              <w:jc w:val="right"/>
              <w:ind w:right="60"/>
              <w:spacing w:after="0"/>
              <w:rPr>
                <w:sz w:val="20"/>
                <w:szCs w:val="20"/>
                <w:color w:val="auto"/>
              </w:rPr>
            </w:pPr>
            <w:r>
              <w:rPr>
                <w:rFonts w:ascii="Courier New" w:cs="Courier New" w:eastAsia="Courier New" w:hAnsi="Courier New"/>
                <w:sz w:val="12"/>
                <w:szCs w:val="12"/>
                <w:color w:val="auto"/>
              </w:rPr>
              <w:t>33.3%</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22"/>
              <w:spacing w:after="0"/>
              <w:rPr>
                <w:sz w:val="20"/>
                <w:szCs w:val="20"/>
                <w:color w:val="auto"/>
              </w:rPr>
            </w:pPr>
            <w:r>
              <w:rPr>
                <w:rFonts w:ascii="Courier New" w:cs="Courier New" w:eastAsia="Courier New" w:hAnsi="Courier New"/>
                <w:sz w:val="12"/>
                <w:szCs w:val="12"/>
                <w:color w:val="auto"/>
              </w:rPr>
              <w:t>0.7 pt.</w:t>
            </w:r>
          </w:p>
        </w:tc>
        <w:tc>
          <w:tcPr>
            <w:tcW w:w="0" w:type="dxa"/>
            <w:vAlign w:val="bottom"/>
          </w:tcPr>
          <w:p>
            <w:pPr>
              <w:spacing w:after="0"/>
              <w:rPr>
                <w:sz w:val="1"/>
                <w:szCs w:val="1"/>
                <w:color w:val="auto"/>
              </w:rPr>
            </w:pPr>
          </w:p>
        </w:tc>
      </w:tr>
      <w:tr>
        <w:trPr>
          <w:trHeight w:val="72"/>
        </w:trPr>
        <w:tc>
          <w:tcPr>
            <w:tcW w:w="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2"/>
                <w:szCs w:val="12"/>
                <w:color w:val="auto"/>
              </w:rPr>
              <w:t>Administrative</w:t>
            </w: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6.7%</w:t>
            </w:r>
          </w:p>
        </w:tc>
        <w:tc>
          <w:tcPr>
            <w:tcW w:w="720" w:type="dxa"/>
            <w:vAlign w:val="bottom"/>
            <w:gridSpan w:val="3"/>
          </w:tcPr>
          <w:p>
            <w:pPr>
              <w:jc w:val="right"/>
              <w:ind w:right="60"/>
              <w:spacing w:after="0"/>
              <w:rPr>
                <w:sz w:val="20"/>
                <w:szCs w:val="20"/>
                <w:color w:val="auto"/>
              </w:rPr>
            </w:pPr>
            <w:r>
              <w:rPr>
                <w:rFonts w:ascii="Courier New" w:cs="Courier New" w:eastAsia="Courier New" w:hAnsi="Courier New"/>
                <w:sz w:val="12"/>
                <w:szCs w:val="12"/>
                <w:color w:val="auto"/>
              </w:rPr>
              <w:t>7.2%</w:t>
            </w:r>
          </w:p>
        </w:tc>
        <w:tc>
          <w:tcPr>
            <w:tcW w:w="10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(0.5</w:t>
            </w:r>
          </w:p>
        </w:tc>
        <w:tc>
          <w:tcPr>
            <w:tcW w:w="180" w:type="dxa"/>
            <w:vAlign w:val="bottom"/>
          </w:tcPr>
          <w:p>
            <w:pPr>
              <w:jc w:val="right"/>
              <w:ind w:right="22"/>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jc w:val="right"/>
              <w:ind w:right="22"/>
              <w:spacing w:after="0"/>
              <w:rPr>
                <w:sz w:val="20"/>
                <w:szCs w:val="20"/>
                <w:color w:val="auto"/>
              </w:rPr>
            </w:pPr>
            <w:r>
              <w:rPr>
                <w:rFonts w:ascii="Courier New" w:cs="Courier New" w:eastAsia="Courier New" w:hAnsi="Courier New"/>
                <w:sz w:val="12"/>
                <w:szCs w:val="12"/>
                <w:color w:val="auto"/>
              </w:rPr>
              <w:t>pt.</w:t>
            </w:r>
          </w:p>
        </w:tc>
        <w:tc>
          <w:tcPr>
            <w:tcW w:w="0" w:type="dxa"/>
            <w:vAlign w:val="bottom"/>
          </w:tcPr>
          <w:p>
            <w:pPr>
              <w:spacing w:after="0"/>
              <w:rPr>
                <w:sz w:val="1"/>
                <w:szCs w:val="1"/>
                <w:color w:val="auto"/>
              </w:rPr>
            </w:pPr>
          </w:p>
        </w:tc>
      </w:tr>
      <w:tr>
        <w:trPr>
          <w:trHeight w:val="72"/>
        </w:trPr>
        <w:tc>
          <w:tcPr>
            <w:tcW w:w="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2"/>
                <w:szCs w:val="12"/>
                <w:color w:val="auto"/>
              </w:rPr>
              <w:t>Depreciation and amortization</w:t>
            </w: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3.9%</w:t>
            </w:r>
          </w:p>
        </w:tc>
        <w:tc>
          <w:tcPr>
            <w:tcW w:w="720" w:type="dxa"/>
            <w:vAlign w:val="bottom"/>
            <w:gridSpan w:val="3"/>
          </w:tcPr>
          <w:p>
            <w:pPr>
              <w:jc w:val="right"/>
              <w:ind w:right="60"/>
              <w:spacing w:after="0"/>
              <w:rPr>
                <w:sz w:val="20"/>
                <w:szCs w:val="20"/>
                <w:color w:val="auto"/>
              </w:rPr>
            </w:pPr>
            <w:r>
              <w:rPr>
                <w:rFonts w:ascii="Courier New" w:cs="Courier New" w:eastAsia="Courier New" w:hAnsi="Courier New"/>
                <w:sz w:val="12"/>
                <w:szCs w:val="12"/>
                <w:color w:val="auto"/>
              </w:rPr>
              <w:t>3.8%</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22"/>
              <w:spacing w:after="0"/>
              <w:rPr>
                <w:sz w:val="20"/>
                <w:szCs w:val="20"/>
                <w:color w:val="auto"/>
              </w:rPr>
            </w:pPr>
            <w:r>
              <w:rPr>
                <w:rFonts w:ascii="Courier New" w:cs="Courier New" w:eastAsia="Courier New" w:hAnsi="Courier New"/>
                <w:sz w:val="12"/>
                <w:szCs w:val="12"/>
                <w:color w:val="auto"/>
              </w:rPr>
              <w:t>0.1 pt.</w:t>
            </w:r>
          </w:p>
        </w:tc>
        <w:tc>
          <w:tcPr>
            <w:tcW w:w="0" w:type="dxa"/>
            <w:vAlign w:val="bottom"/>
          </w:tcPr>
          <w:p>
            <w:pPr>
              <w:spacing w:after="0"/>
              <w:rPr>
                <w:sz w:val="1"/>
                <w:szCs w:val="1"/>
                <w:color w:val="auto"/>
              </w:rPr>
            </w:pPr>
          </w:p>
        </w:tc>
      </w:tr>
      <w:tr>
        <w:trPr>
          <w:trHeight w:val="72"/>
        </w:trPr>
        <w:tc>
          <w:tcPr>
            <w:tcW w:w="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2"/>
                <w:szCs w:val="12"/>
                <w:color w:val="auto"/>
              </w:rPr>
              <w:t>Interest, net</w:t>
            </w: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2.1%</w:t>
            </w:r>
          </w:p>
        </w:tc>
        <w:tc>
          <w:tcPr>
            <w:tcW w:w="720" w:type="dxa"/>
            <w:vAlign w:val="bottom"/>
            <w:gridSpan w:val="3"/>
          </w:tcPr>
          <w:p>
            <w:pPr>
              <w:jc w:val="right"/>
              <w:ind w:right="60"/>
              <w:spacing w:after="0"/>
              <w:rPr>
                <w:sz w:val="20"/>
                <w:szCs w:val="20"/>
                <w:color w:val="auto"/>
              </w:rPr>
            </w:pPr>
            <w:r>
              <w:rPr>
                <w:rFonts w:ascii="Courier New" w:cs="Courier New" w:eastAsia="Courier New" w:hAnsi="Courier New"/>
                <w:sz w:val="12"/>
                <w:szCs w:val="12"/>
                <w:color w:val="auto"/>
              </w:rPr>
              <w:t>1.4%</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22"/>
              <w:spacing w:after="0"/>
              <w:rPr>
                <w:sz w:val="20"/>
                <w:szCs w:val="20"/>
                <w:color w:val="auto"/>
              </w:rPr>
            </w:pPr>
            <w:r>
              <w:rPr>
                <w:rFonts w:ascii="Courier New" w:cs="Courier New" w:eastAsia="Courier New" w:hAnsi="Courier New"/>
                <w:sz w:val="12"/>
                <w:szCs w:val="12"/>
                <w:color w:val="auto"/>
              </w:rPr>
              <w:t>0.7 pt.</w:t>
            </w: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Locations in Operation: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2"/>
                <w:szCs w:val="12"/>
                <w:color w:val="auto"/>
              </w:rPr>
              <w:t>Beginning of period</w:t>
            </w: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331</w:t>
            </w:r>
          </w:p>
        </w:tc>
        <w:tc>
          <w:tcPr>
            <w:tcW w:w="720" w:type="dxa"/>
            <w:vAlign w:val="bottom"/>
            <w:gridSpan w:val="3"/>
          </w:tcPr>
          <w:p>
            <w:pPr>
              <w:jc w:val="right"/>
              <w:ind w:right="60"/>
              <w:spacing w:after="0"/>
              <w:rPr>
                <w:sz w:val="20"/>
                <w:szCs w:val="20"/>
                <w:color w:val="auto"/>
              </w:rPr>
            </w:pPr>
            <w:r>
              <w:rPr>
                <w:rFonts w:ascii="Courier New" w:cs="Courier New" w:eastAsia="Courier New" w:hAnsi="Courier New"/>
                <w:sz w:val="12"/>
                <w:szCs w:val="12"/>
                <w:color w:val="auto"/>
              </w:rPr>
              <w:t>286</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2"/>
                <w:szCs w:val="12"/>
                <w:color w:val="auto"/>
              </w:rPr>
              <w:t>Acquired</w:t>
            </w: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3"/>
          </w:tcPr>
          <w:p>
            <w:pPr>
              <w:jc w:val="right"/>
              <w:ind w:right="60"/>
              <w:spacing w:after="0"/>
              <w:rPr>
                <w:sz w:val="20"/>
                <w:szCs w:val="20"/>
                <w:color w:val="auto"/>
              </w:rPr>
            </w:pPr>
            <w:r>
              <w:rPr>
                <w:rFonts w:ascii="Courier New" w:cs="Courier New" w:eastAsia="Courier New" w:hAnsi="Courier New"/>
                <w:sz w:val="12"/>
                <w:szCs w:val="12"/>
                <w:color w:val="auto"/>
              </w:rPr>
              <w:t>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2"/>
                <w:szCs w:val="12"/>
                <w:color w:val="auto"/>
              </w:rPr>
              <w:t>Established</w:t>
            </w: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3</w:t>
            </w:r>
          </w:p>
        </w:tc>
        <w:tc>
          <w:tcPr>
            <w:tcW w:w="720" w:type="dxa"/>
            <w:vAlign w:val="bottom"/>
            <w:gridSpan w:val="3"/>
          </w:tcPr>
          <w:p>
            <w:pPr>
              <w:jc w:val="right"/>
              <w:ind w:right="60"/>
              <w:spacing w:after="0"/>
              <w:rPr>
                <w:sz w:val="20"/>
                <w:szCs w:val="20"/>
                <w:color w:val="auto"/>
              </w:rPr>
            </w:pPr>
            <w:r>
              <w:rPr>
                <w:rFonts w:ascii="Courier New" w:cs="Courier New" w:eastAsia="Courier New" w:hAnsi="Courier New"/>
                <w:sz w:val="12"/>
                <w:szCs w:val="12"/>
                <w:color w:val="auto"/>
              </w:rPr>
              <w:t>17</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2"/>
                <w:szCs w:val="12"/>
                <w:color w:val="auto"/>
              </w:rPr>
              <w:t>Sold, combined or closed</w:t>
            </w: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3"/>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5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top w:val="single" w:sz="8" w:color="auto"/>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top w:val="single" w:sz="8" w:color="auto"/>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ind w:left="60"/>
              <w:spacing w:after="0"/>
              <w:rPr>
                <w:sz w:val="20"/>
                <w:szCs w:val="20"/>
                <w:color w:val="auto"/>
              </w:rPr>
            </w:pPr>
            <w:r>
              <w:rPr>
                <w:rFonts w:ascii="Courier New" w:cs="Courier New" w:eastAsia="Courier New" w:hAnsi="Courier New"/>
                <w:sz w:val="12"/>
                <w:szCs w:val="12"/>
                <w:color w:val="auto"/>
              </w:rPr>
              <w:t>End of period</w:t>
            </w: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334</w:t>
            </w:r>
          </w:p>
        </w:tc>
        <w:tc>
          <w:tcPr>
            <w:tcW w:w="720" w:type="dxa"/>
            <w:vAlign w:val="bottom"/>
            <w:gridSpan w:val="3"/>
          </w:tcPr>
          <w:p>
            <w:pPr>
              <w:jc w:val="right"/>
              <w:ind w:right="60"/>
              <w:spacing w:after="0"/>
              <w:rPr>
                <w:sz w:val="20"/>
                <w:szCs w:val="20"/>
                <w:color w:val="auto"/>
              </w:rPr>
            </w:pPr>
            <w:r>
              <w:rPr>
                <w:rFonts w:ascii="Courier New" w:cs="Courier New" w:eastAsia="Courier New" w:hAnsi="Courier New"/>
                <w:sz w:val="12"/>
                <w:szCs w:val="12"/>
                <w:color w:val="auto"/>
              </w:rPr>
              <w:t>304</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3"/>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Average locations in operation during the</w:t>
            </w: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332.5</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060" w:type="dxa"/>
            <w:vAlign w:val="bottom"/>
            <w:gridSpan w:val="3"/>
          </w:tcPr>
          <w:p>
            <w:pPr>
              <w:ind w:left="80"/>
              <w:spacing w:after="0"/>
              <w:rPr>
                <w:sz w:val="20"/>
                <w:szCs w:val="20"/>
                <w:color w:val="auto"/>
              </w:rPr>
            </w:pPr>
            <w:r>
              <w:rPr>
                <w:rFonts w:ascii="Courier New" w:cs="Courier New" w:eastAsia="Courier New" w:hAnsi="Courier New"/>
                <w:sz w:val="12"/>
                <w:szCs w:val="12"/>
                <w:color w:val="auto"/>
              </w:rPr>
              <w:t>period</w:t>
            </w:r>
            <w:r>
              <w:rPr>
                <w:rFonts w:ascii="Courier New" w:cs="Courier New" w:eastAsia="Courier New" w:hAnsi="Courier New"/>
                <w:sz w:val="19"/>
                <w:szCs w:val="19"/>
                <w:color w:val="auto"/>
                <w:vertAlign w:val="superscript"/>
              </w:rPr>
              <w:t>c</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vMerge w:val="restart"/>
          </w:tcPr>
          <w:p>
            <w:pPr>
              <w:jc w:val="right"/>
              <w:ind w:right="60"/>
              <w:spacing w:after="0"/>
              <w:rPr>
                <w:sz w:val="20"/>
                <w:szCs w:val="20"/>
                <w:color w:val="auto"/>
              </w:rPr>
            </w:pPr>
            <w:r>
              <w:rPr>
                <w:rFonts w:ascii="Courier New" w:cs="Courier New" w:eastAsia="Courier New" w:hAnsi="Courier New"/>
                <w:sz w:val="12"/>
                <w:szCs w:val="12"/>
                <w:color w:val="auto"/>
              </w:rPr>
              <w:t>295.0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2"/>
        </w:trPr>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80" w:type="dxa"/>
            <w:vAlign w:val="bottom"/>
            <w:gridSpan w:val="5"/>
          </w:tcPr>
          <w:p>
            <w:pPr>
              <w:jc w:val="right"/>
              <w:ind w:right="80"/>
              <w:spacing w:after="0"/>
              <w:rPr>
                <w:sz w:val="20"/>
                <w:szCs w:val="20"/>
                <w:color w:val="auto"/>
              </w:rPr>
            </w:pPr>
            <w:r>
              <w:rPr>
                <w:rFonts w:ascii="Courier New" w:cs="Courier New" w:eastAsia="Courier New" w:hAnsi="Courier New"/>
                <w:sz w:val="12"/>
                <w:szCs w:val="12"/>
                <w:color w:val="auto"/>
              </w:rPr>
              <w:t>=====</w:t>
            </w:r>
          </w:p>
        </w:tc>
        <w:tc>
          <w:tcPr>
            <w:tcW w:w="720" w:type="dxa"/>
            <w:vAlign w:val="bottom"/>
            <w:gridSpan w:val="3"/>
          </w:tcPr>
          <w:p>
            <w:pPr>
              <w:jc w:val="right"/>
              <w:ind w:right="60"/>
              <w:spacing w:after="0"/>
              <w:rPr>
                <w:sz w:val="20"/>
                <w:szCs w:val="20"/>
                <w:color w:val="auto"/>
              </w:rPr>
            </w:pPr>
            <w:r>
              <w:rPr>
                <w:rFonts w:ascii="Courier New" w:cs="Courier New" w:eastAsia="Courier New" w:hAnsi="Courier New"/>
                <w:sz w:val="12"/>
                <w:szCs w:val="12"/>
                <w:color w:val="auto"/>
              </w:rPr>
              <w: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pacing w:after="0"/>
        <w:rPr>
          <w:sz w:val="20"/>
          <w:szCs w:val="20"/>
          <w:color w:val="auto"/>
        </w:rPr>
      </w:pPr>
      <w:r>
        <w:rPr>
          <w:sz w:val="1"/>
          <w:szCs w:val="1"/>
          <w:color w:val="auto"/>
        </w:rPr>
        <w:drawing>
          <wp:inline distT="0" distB="0" distL="0" distR="0">
            <wp:extent cx="5715" cy="1771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 cy="177165"/>
                    </a:xfrm>
                    <a:prstGeom prst="rect">
                      <a:avLst/>
                    </a:prstGeom>
                    <a:noFill/>
                    <a:ln>
                      <a:noFill/>
                    </a:ln>
                  </pic:spPr>
                </pic:pic>
              </a:graphicData>
            </a:graphic>
          </wp:inline>
        </w:drawing>
      </w:r>
      <w:r>
        <w:rPr>
          <w:rFonts w:ascii="Courier New" w:cs="Courier New" w:eastAsia="Courier New" w:hAnsi="Courier New"/>
          <w:sz w:val="12"/>
          <w:szCs w:val="12"/>
          <w:color w:val="auto"/>
        </w:rPr>
        <w:t xml:space="preserve"> a </w:t>
      </w:r>
      <w:r>
        <w:rPr>
          <w:sz w:val="1"/>
          <w:szCs w:val="1"/>
          <w:color w:val="auto"/>
        </w:rPr>
        <w:drawing>
          <wp:inline distT="0" distB="0" distL="0" distR="0">
            <wp:extent cx="5715" cy="171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5" cy="171450"/>
                    </a:xfrm>
                    <a:prstGeom prst="rect">
                      <a:avLst/>
                    </a:prstGeom>
                    <a:noFill/>
                    <a:ln>
                      <a:noFill/>
                    </a:ln>
                  </pic:spPr>
                </pic:pic>
              </a:graphicData>
            </a:graphic>
          </wp:inline>
        </w:drawing>
        <w:drawing>
          <wp:inline distT="0" distB="0" distL="0" distR="0">
            <wp:extent cx="5715" cy="17716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 cy="177165"/>
                    </a:xfrm>
                    <a:prstGeom prst="rect">
                      <a:avLst/>
                    </a:prstGeom>
                    <a:noFill/>
                    <a:ln>
                      <a:noFill/>
                    </a:ln>
                  </pic:spPr>
                </pic:pic>
              </a:graphicData>
            </a:graphic>
          </wp:inline>
        </w:drawing>
      </w:r>
      <w:r>
        <w:rPr>
          <w:rFonts w:ascii="Courier New" w:cs="Courier New" w:eastAsia="Courier New" w:hAnsi="Courier New"/>
          <w:sz w:val="12"/>
          <w:szCs w:val="12"/>
          <w:color w:val="auto"/>
        </w:rPr>
        <w:t xml:space="preserve"> In thousands, except percentages, inventory turnover and store count.</w:t>
      </w:r>
    </w:p>
    <w:p>
      <w:pPr>
        <w:spacing w:after="0" w:line="83" w:lineRule="exact"/>
        <w:rPr>
          <w:sz w:val="20"/>
          <w:szCs w:val="20"/>
          <w:color w:val="auto"/>
        </w:rPr>
      </w:pPr>
    </w:p>
    <w:p>
      <w:pPr>
        <w:jc w:val="both"/>
        <w:ind w:left="300" w:right="5780" w:hanging="218"/>
        <w:spacing w:after="0" w:line="236" w:lineRule="auto"/>
        <w:tabs>
          <w:tab w:leader="none" w:pos="30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comparing the period differences between dollar amounts or per store counts, a percentage change is used. In comparing the period differences between two percentages, a percentage point (pt.) change is used.</w:t>
      </w:r>
    </w:p>
    <w:p>
      <w:pPr>
        <w:spacing w:after="0" w:line="157" w:lineRule="exact"/>
        <w:rPr>
          <w:sz w:val="20"/>
          <w:szCs w:val="20"/>
          <w:color w:val="auto"/>
        </w:rPr>
      </w:pPr>
    </w:p>
    <w:p>
      <w:pPr>
        <w:jc w:val="both"/>
        <w:ind w:left="300" w:right="5780" w:hanging="218"/>
        <w:spacing w:after="0" w:line="273" w:lineRule="auto"/>
        <w:tabs>
          <w:tab w:leader="none" w:pos="300"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Average locations in operation during the period is calculated based on the average of the locations operating at the beginning and end of such period.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2"/>
          <w:szCs w:val="12"/>
          <w:b w:val="1"/>
          <w:bCs w:val="1"/>
          <w:color w:val="auto"/>
        </w:rPr>
        <w:t>SIGNATURE</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Pursuant to the requirements of the Securities Exchange Act of 1934, the registrant has duly caused this report to be signed on its behalf by the undersigned ther</w:t>
      </w:r>
    </w:p>
    <w:p>
      <w:pPr>
        <w:sectPr>
          <w:pgSz w:w="11900" w:h="16838" w:orient="portrait"/>
          <w:cols w:equalWidth="0" w:num="1">
            <w:col w:w="11360"/>
          </w:cols>
          <w:pgMar w:left="300" w:top="389" w:right="239" w:bottom="339" w:gutter="0" w:footer="0" w:header="0"/>
          <w:type w:val="continuous"/>
        </w:sectPr>
      </w:pPr>
    </w:p>
    <w:bookmarkStart w:id="9" w:name="page10"/>
    <w:bookmarkEnd w:id="9"/>
    <w:p>
      <w:pPr>
        <w:ind w:left="549"/>
        <w:spacing w:after="0"/>
        <w:tabs>
          <w:tab w:leader="none" w:pos="2409" w:val="left"/>
          <w:tab w:leader="none" w:pos="5129" w:val="left"/>
        </w:tabs>
        <w:rPr>
          <w:sz w:val="20"/>
          <w:szCs w:val="20"/>
          <w:color w:val="auto"/>
        </w:rPr>
      </w:pPr>
      <w:r>
        <w:rPr>
          <w:rFonts w:ascii="Courier New" w:cs="Courier New" w:eastAsia="Courier New" w:hAnsi="Courier New"/>
          <w:sz w:val="12"/>
          <w:szCs w:val="12"/>
          <w:color w:val="auto"/>
        </w:rPr>
        <w:t>Exhibit 27</w:t>
      </w:r>
      <w:r>
        <w:rPr>
          <w:sz w:val="20"/>
          <w:szCs w:val="20"/>
          <w:color w:val="auto"/>
        </w:rPr>
        <w:tab/>
      </w:r>
      <w:r>
        <w:rPr>
          <w:rFonts w:ascii="Courier New" w:cs="Courier New" w:eastAsia="Courier New" w:hAnsi="Courier New"/>
          <w:sz w:val="12"/>
          <w:szCs w:val="12"/>
          <w:color w:val="auto"/>
        </w:rPr>
        <w:t>Financial Data Schedule</w:t>
      </w:r>
      <w:r>
        <w:rPr>
          <w:sz w:val="20"/>
          <w:szCs w:val="20"/>
          <w:color w:val="auto"/>
        </w:rPr>
        <w:tab/>
      </w:r>
      <w:r>
        <w:rPr>
          <w:rFonts w:ascii="Courier New" w:cs="Courier New" w:eastAsia="Courier New" w:hAnsi="Courier New"/>
          <w:sz w:val="11"/>
          <w:szCs w:val="11"/>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9" w:hanging="549"/>
        <w:spacing w:after="0"/>
        <w:tabs>
          <w:tab w:leader="none" w:pos="549"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u w:val="single" w:color="auto"/>
          <w:color w:val="auto"/>
        </w:rPr>
        <w:t>Reports on Form 8-K</w:t>
      </w:r>
    </w:p>
    <w:p>
      <w:pPr>
        <w:spacing w:after="0" w:line="129" w:lineRule="exact"/>
        <w:rPr>
          <w:rFonts w:ascii="Courier New" w:cs="Courier New" w:eastAsia="Courier New" w:hAnsi="Courier New"/>
          <w:sz w:val="12"/>
          <w:szCs w:val="12"/>
          <w:color w:val="auto"/>
        </w:rPr>
      </w:pPr>
    </w:p>
    <w:p>
      <w:pPr>
        <w:ind w:left="549"/>
        <w:spacing w:after="0"/>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 has not filed any reports on Form 8-K for the quarter ended December 31, 1999.</w:t>
      </w:r>
    </w:p>
    <w:p>
      <w:pPr>
        <w:spacing w:after="0" w:line="132" w:lineRule="exact"/>
        <w:rPr>
          <w:sz w:val="20"/>
          <w:szCs w:val="20"/>
          <w:color w:val="auto"/>
        </w:rPr>
      </w:pPr>
    </w:p>
    <w:p>
      <w:pPr>
        <w:ind w:left="3629"/>
        <w:spacing w:after="0"/>
        <w:rPr>
          <w:sz w:val="20"/>
          <w:szCs w:val="20"/>
          <w:color w:val="auto"/>
        </w:rPr>
      </w:pPr>
      <w:r>
        <w:rPr>
          <w:rFonts w:ascii="Courier New" w:cs="Courier New" w:eastAsia="Courier New" w:hAnsi="Courier New"/>
          <w:sz w:val="12"/>
          <w:szCs w:val="12"/>
          <w:u w:val="single" w:color="auto"/>
          <w:color w:val="auto"/>
        </w:rPr>
        <w:t>EZCORP, INC.</w:t>
      </w:r>
    </w:p>
    <w:p>
      <w:pPr>
        <w:spacing w:after="0" w:line="125" w:lineRule="exact"/>
        <w:rPr>
          <w:sz w:val="20"/>
          <w:szCs w:val="20"/>
          <w:color w:val="auto"/>
        </w:rPr>
      </w:pPr>
    </w:p>
    <w:p>
      <w:pPr>
        <w:ind w:left="3629"/>
        <w:spacing w:after="0"/>
        <w:rPr>
          <w:sz w:val="20"/>
          <w:szCs w:val="20"/>
          <w:color w:val="auto"/>
        </w:rPr>
      </w:pPr>
      <w:r>
        <w:rPr>
          <w:rFonts w:ascii="Courier New" w:cs="Courier New" w:eastAsia="Courier New" w:hAnsi="Courier New"/>
          <w:sz w:val="12"/>
          <w:szCs w:val="12"/>
          <w:color w:val="auto"/>
        </w:rPr>
        <w:t>(Registrant)</w:t>
      </w:r>
    </w:p>
    <w:p>
      <w:pPr>
        <w:sectPr>
          <w:pgSz w:w="11900" w:h="16838" w:orient="portrait"/>
          <w:cols w:equalWidth="0" w:num="1">
            <w:col w:w="9528"/>
          </w:cols>
          <w:pgMar w:left="931" w:top="182" w:right="1440" w:bottom="1440" w:gutter="0" w:footer="0" w:header="0"/>
        </w:sectPr>
      </w:pPr>
    </w:p>
    <w:bookmarkStart w:id="10" w:name="page11"/>
    <w:bookmarkEnd w:id="10"/>
    <w:p>
      <w:pPr>
        <w:ind w:left="40"/>
        <w:spacing w:after="0"/>
        <w:rPr>
          <w:sz w:val="20"/>
          <w:szCs w:val="20"/>
          <w:color w:val="auto"/>
        </w:rPr>
      </w:pPr>
      <w:r>
        <w:rPr>
          <w:rFonts w:ascii="Courier New" w:cs="Courier New" w:eastAsia="Courier New" w:hAnsi="Courier New"/>
          <w:sz w:val="12"/>
          <w:szCs w:val="12"/>
          <w:color w:val="auto"/>
        </w:rPr>
        <w:t>5</w:t>
      </w:r>
    </w:p>
    <w:p>
      <w:pPr>
        <w:spacing w:after="0" w:line="139" w:lineRule="exact"/>
        <w:rPr>
          <w:sz w:val="20"/>
          <w:szCs w:val="20"/>
          <w:color w:val="auto"/>
        </w:rPr>
      </w:pPr>
    </w:p>
    <w:p>
      <w:pPr>
        <w:ind w:right="4539"/>
        <w:spacing w:after="0" w:line="236" w:lineRule="auto"/>
        <w:rPr>
          <w:sz w:val="20"/>
          <w:szCs w:val="20"/>
          <w:color w:val="auto"/>
        </w:rPr>
      </w:pPr>
      <w:r>
        <w:rPr>
          <w:rFonts w:ascii="Courier New" w:cs="Courier New" w:eastAsia="Courier New" w:hAnsi="Courier New"/>
          <w:sz w:val="12"/>
          <w:szCs w:val="12"/>
          <w:color w:val="auto"/>
        </w:rPr>
        <w:t>This schedule contains summary financial information extracted from SEC Form 10Q (Qtr 1 ending December 31, 1999) and is qualified in its entirety by reference to such financial statements.</w:t>
      </w:r>
    </w:p>
    <w:p>
      <w:pPr>
        <w:spacing w:after="0" w:line="135" w:lineRule="exact"/>
        <w:rPr>
          <w:sz w:val="20"/>
          <w:szCs w:val="20"/>
          <w:color w:val="auto"/>
        </w:rPr>
      </w:pPr>
    </w:p>
    <w:p>
      <w:pPr>
        <w:ind w:left="40"/>
        <w:spacing w:after="0"/>
        <w:rPr>
          <w:sz w:val="20"/>
          <w:szCs w:val="20"/>
          <w:color w:val="auto"/>
        </w:rPr>
      </w:pPr>
      <w:r>
        <w:rPr>
          <w:rFonts w:ascii="Courier New" w:cs="Courier New" w:eastAsia="Courier New" w:hAnsi="Courier New"/>
          <w:sz w:val="12"/>
          <w:szCs w:val="12"/>
          <w:color w:val="auto"/>
        </w:rPr>
        <w:t>1000</w:t>
      </w:r>
    </w:p>
    <w:p>
      <w:pPr>
        <w:spacing w:after="0" w:line="269" w:lineRule="exact"/>
        <w:rPr>
          <w:sz w:val="20"/>
          <w:szCs w:val="20"/>
          <w:color w:val="auto"/>
        </w:rPr>
      </w:pPr>
    </w:p>
    <w:p>
      <w:pPr>
        <w:ind w:left="1300"/>
        <w:spacing w:after="0"/>
        <w:rPr>
          <w:sz w:val="20"/>
          <w:szCs w:val="20"/>
          <w:color w:val="auto"/>
        </w:rPr>
      </w:pPr>
      <w:r>
        <w:rPr>
          <w:rFonts w:ascii="Courier New" w:cs="Courier New" w:eastAsia="Courier New" w:hAnsi="Courier New"/>
          <w:sz w:val="12"/>
          <w:szCs w:val="12"/>
          <w:color w:val="auto"/>
        </w:rPr>
        <w:t>3-MOS</w:t>
      </w:r>
    </w:p>
    <w:p>
      <w:pPr>
        <w:ind w:left="1800"/>
        <w:spacing w:after="0"/>
        <w:rPr>
          <w:sz w:val="20"/>
          <w:szCs w:val="20"/>
          <w:color w:val="auto"/>
        </w:rPr>
      </w:pPr>
      <w:r>
        <w:rPr>
          <w:rFonts w:ascii="Courier New" w:cs="Courier New" w:eastAsia="Courier New" w:hAnsi="Courier New"/>
          <w:sz w:val="12"/>
          <w:szCs w:val="12"/>
          <w:color w:val="auto"/>
        </w:rPr>
        <w:t>SEP-30-2000</w:t>
      </w:r>
    </w:p>
    <w:p>
      <w:pPr>
        <w:ind w:left="2140"/>
        <w:spacing w:after="0" w:line="236" w:lineRule="auto"/>
        <w:rPr>
          <w:sz w:val="20"/>
          <w:szCs w:val="20"/>
          <w:color w:val="auto"/>
        </w:rPr>
      </w:pPr>
      <w:r>
        <w:rPr>
          <w:rFonts w:ascii="Courier New" w:cs="Courier New" w:eastAsia="Courier New" w:hAnsi="Courier New"/>
          <w:sz w:val="12"/>
          <w:szCs w:val="12"/>
          <w:color w:val="auto"/>
        </w:rPr>
        <w:t>DEC-31-1999</w:t>
      </w:r>
    </w:p>
    <w:p>
      <w:pPr>
        <w:ind w:left="3000"/>
        <w:spacing w:after="0"/>
        <w:rPr>
          <w:sz w:val="20"/>
          <w:szCs w:val="20"/>
          <w:color w:val="auto"/>
        </w:rPr>
      </w:pPr>
      <w:r>
        <w:rPr>
          <w:rFonts w:ascii="Courier New" w:cs="Courier New" w:eastAsia="Courier New" w:hAnsi="Courier New"/>
          <w:sz w:val="12"/>
          <w:szCs w:val="12"/>
          <w:color w:val="auto"/>
        </w:rPr>
        <w:t>3,263</w:t>
      </w:r>
    </w:p>
    <w:p>
      <w:pPr>
        <w:ind w:left="2860"/>
        <w:spacing w:after="0" w:line="237" w:lineRule="auto"/>
        <w:rPr>
          <w:sz w:val="20"/>
          <w:szCs w:val="20"/>
          <w:color w:val="auto"/>
        </w:rPr>
      </w:pPr>
      <w:r>
        <w:rPr>
          <w:rFonts w:ascii="Courier New" w:cs="Courier New" w:eastAsia="Courier New" w:hAnsi="Courier New"/>
          <w:sz w:val="12"/>
          <w:szCs w:val="12"/>
          <w:color w:val="auto"/>
        </w:rPr>
        <w:t>0</w:t>
      </w:r>
    </w:p>
    <w:p>
      <w:pPr>
        <w:ind w:left="2420"/>
        <w:spacing w:after="0"/>
        <w:rPr>
          <w:sz w:val="20"/>
          <w:szCs w:val="20"/>
          <w:color w:val="auto"/>
        </w:rPr>
      </w:pPr>
      <w:r>
        <w:rPr>
          <w:rFonts w:ascii="Courier New" w:cs="Courier New" w:eastAsia="Courier New" w:hAnsi="Courier New"/>
          <w:sz w:val="12"/>
          <w:szCs w:val="12"/>
          <w:color w:val="auto"/>
        </w:rPr>
        <w:t>61,583</w:t>
      </w:r>
    </w:p>
    <w:p>
      <w:pPr>
        <w:ind w:left="2860"/>
        <w:spacing w:after="0" w:line="237" w:lineRule="auto"/>
        <w:rPr>
          <w:sz w:val="20"/>
          <w:szCs w:val="20"/>
          <w:color w:val="auto"/>
        </w:rPr>
      </w:pPr>
      <w:r>
        <w:rPr>
          <w:rFonts w:ascii="Courier New" w:cs="Courier New" w:eastAsia="Courier New" w:hAnsi="Courier New"/>
          <w:sz w:val="12"/>
          <w:szCs w:val="12"/>
          <w:color w:val="auto"/>
        </w:rPr>
        <w:t>0</w:t>
      </w:r>
    </w:p>
    <w:p>
      <w:pPr>
        <w:ind w:left="2560"/>
        <w:spacing w:after="0"/>
        <w:rPr>
          <w:sz w:val="20"/>
          <w:szCs w:val="20"/>
          <w:color w:val="auto"/>
        </w:rPr>
      </w:pPr>
      <w:r>
        <w:rPr>
          <w:rFonts w:ascii="Courier New" w:cs="Courier New" w:eastAsia="Courier New" w:hAnsi="Courier New"/>
          <w:sz w:val="12"/>
          <w:szCs w:val="12"/>
          <w:color w:val="auto"/>
        </w:rPr>
        <w:t>61,032</w:t>
      </w:r>
    </w:p>
    <w:p>
      <w:pPr>
        <w:ind w:left="2140"/>
        <w:spacing w:after="0" w:line="236" w:lineRule="auto"/>
        <w:rPr>
          <w:sz w:val="20"/>
          <w:szCs w:val="20"/>
          <w:color w:val="auto"/>
        </w:rPr>
      </w:pPr>
      <w:r>
        <w:rPr>
          <w:rFonts w:ascii="Courier New" w:cs="Courier New" w:eastAsia="Courier New" w:hAnsi="Courier New"/>
          <w:sz w:val="12"/>
          <w:szCs w:val="12"/>
          <w:color w:val="auto"/>
        </w:rPr>
        <w:t>131,483</w:t>
      </w:r>
    </w:p>
    <w:p>
      <w:pPr>
        <w:ind w:left="2860"/>
        <w:spacing w:after="0"/>
        <w:rPr>
          <w:sz w:val="20"/>
          <w:szCs w:val="20"/>
          <w:color w:val="auto"/>
        </w:rPr>
      </w:pPr>
      <w:r>
        <w:rPr>
          <w:rFonts w:ascii="Courier New" w:cs="Courier New" w:eastAsia="Courier New" w:hAnsi="Courier New"/>
          <w:sz w:val="12"/>
          <w:szCs w:val="12"/>
          <w:color w:val="auto"/>
        </w:rPr>
        <w:t>101,624</w:t>
      </w:r>
    </w:p>
    <w:tbl>
      <w:tblPr>
        <w:tblLayout w:type="fixed"/>
        <w:tblInd w:w="40" w:type="dxa"/>
        <w:tblCellMar>
          <w:top w:w="0" w:type="dxa"/>
          <w:left w:w="0" w:type="dxa"/>
          <w:bottom w:w="0" w:type="dxa"/>
          <w:right w:w="0" w:type="dxa"/>
        </w:tblCellMar>
      </w:tblPr>
      <w:tr>
        <w:trPr>
          <w:trHeight w:val="135"/>
        </w:trPr>
        <w:tc>
          <w:tcPr>
            <w:tcW w:w="1260" w:type="dxa"/>
            <w:vAlign w:val="bottom"/>
          </w:tcPr>
          <w:p>
            <w:pPr>
              <w:spacing w:after="0"/>
              <w:rPr>
                <w:sz w:val="11"/>
                <w:szCs w:val="11"/>
                <w:color w:val="auto"/>
              </w:rPr>
            </w:pPr>
          </w:p>
        </w:tc>
        <w:tc>
          <w:tcPr>
            <w:tcW w:w="2620" w:type="dxa"/>
            <w:vAlign w:val="bottom"/>
          </w:tcPr>
          <w:p>
            <w:pPr>
              <w:jc w:val="right"/>
              <w:ind w:right="1082"/>
              <w:spacing w:after="0" w:line="135" w:lineRule="exact"/>
              <w:rPr>
                <w:sz w:val="20"/>
                <w:szCs w:val="20"/>
                <w:color w:val="auto"/>
              </w:rPr>
            </w:pPr>
            <w:r>
              <w:rPr>
                <w:rFonts w:ascii="Courier New" w:cs="Courier New" w:eastAsia="Courier New" w:hAnsi="Courier New"/>
                <w:sz w:val="12"/>
                <w:szCs w:val="12"/>
                <w:color w:val="auto"/>
              </w:rPr>
              <w:t>39,596</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1082"/>
              <w:spacing w:after="0"/>
              <w:rPr>
                <w:sz w:val="20"/>
                <w:szCs w:val="20"/>
                <w:color w:val="auto"/>
              </w:rPr>
            </w:pPr>
            <w:r>
              <w:rPr>
                <w:rFonts w:ascii="Courier New" w:cs="Courier New" w:eastAsia="Courier New" w:hAnsi="Courier New"/>
                <w:sz w:val="12"/>
                <w:szCs w:val="12"/>
                <w:color w:val="auto"/>
              </w:rPr>
              <w:t>227,937</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1582"/>
              <w:spacing w:after="0"/>
              <w:rPr>
                <w:sz w:val="20"/>
                <w:szCs w:val="20"/>
                <w:color w:val="auto"/>
              </w:rPr>
            </w:pPr>
            <w:r>
              <w:rPr>
                <w:rFonts w:ascii="Courier New" w:cs="Courier New" w:eastAsia="Courier New" w:hAnsi="Courier New"/>
                <w:sz w:val="12"/>
                <w:szCs w:val="12"/>
                <w:color w:val="auto"/>
              </w:rPr>
              <w:t>14,622</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582"/>
              <w:spacing w:after="0"/>
              <w:rPr>
                <w:sz w:val="20"/>
                <w:szCs w:val="20"/>
                <w:color w:val="auto"/>
              </w:rPr>
            </w:pPr>
            <w:r>
              <w:rPr>
                <w:rFonts w:ascii="Courier New" w:cs="Courier New" w:eastAsia="Courier New" w:hAnsi="Courier New"/>
                <w:sz w:val="12"/>
                <w:szCs w:val="12"/>
                <w:color w:val="auto"/>
              </w:rPr>
              <w:t>0</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ind w:left="920"/>
              <w:spacing w:after="0"/>
              <w:rPr>
                <w:sz w:val="20"/>
                <w:szCs w:val="20"/>
                <w:color w:val="auto"/>
              </w:rPr>
            </w:pPr>
            <w:r>
              <w:rPr>
                <w:rFonts w:ascii="Courier New" w:cs="Courier New" w:eastAsia="Courier New" w:hAnsi="Courier New"/>
                <w:sz w:val="12"/>
                <w:szCs w:val="12"/>
                <w:color w:val="auto"/>
              </w:rPr>
              <w:t>0</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862"/>
              <w:spacing w:after="0"/>
              <w:rPr>
                <w:sz w:val="20"/>
                <w:szCs w:val="20"/>
                <w:color w:val="auto"/>
              </w:rPr>
            </w:pPr>
            <w:r>
              <w:rPr>
                <w:rFonts w:ascii="Courier New" w:cs="Courier New" w:eastAsia="Courier New" w:hAnsi="Courier New"/>
                <w:sz w:val="12"/>
                <w:szCs w:val="12"/>
                <w:color w:val="auto"/>
              </w:rPr>
              <w:t>0</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ind w:left="1700"/>
              <w:spacing w:after="0"/>
              <w:rPr>
                <w:sz w:val="20"/>
                <w:szCs w:val="20"/>
                <w:color w:val="auto"/>
              </w:rPr>
            </w:pPr>
            <w:r>
              <w:rPr>
                <w:rFonts w:ascii="Courier New" w:cs="Courier New" w:eastAsia="Courier New" w:hAnsi="Courier New"/>
                <w:sz w:val="12"/>
                <w:szCs w:val="12"/>
                <w:color w:val="auto"/>
              </w:rPr>
              <w:t>120</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ind w:left="1260"/>
              <w:spacing w:after="0"/>
              <w:rPr>
                <w:sz w:val="20"/>
                <w:szCs w:val="20"/>
                <w:color w:val="auto"/>
              </w:rPr>
            </w:pPr>
            <w:r>
              <w:rPr>
                <w:rFonts w:ascii="Courier New" w:cs="Courier New" w:eastAsia="Courier New" w:hAnsi="Courier New"/>
                <w:sz w:val="12"/>
                <w:szCs w:val="12"/>
                <w:color w:val="auto"/>
              </w:rPr>
              <w:t>135,898</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2062"/>
              <w:spacing w:after="0"/>
              <w:rPr>
                <w:sz w:val="20"/>
                <w:szCs w:val="20"/>
                <w:color w:val="auto"/>
              </w:rPr>
            </w:pPr>
            <w:r>
              <w:rPr>
                <w:rFonts w:ascii="Courier New" w:cs="Courier New" w:eastAsia="Courier New" w:hAnsi="Courier New"/>
                <w:sz w:val="12"/>
                <w:szCs w:val="12"/>
                <w:color w:val="auto"/>
                <w:w w:val="95"/>
              </w:rPr>
              <w:t>227,937</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582"/>
              <w:spacing w:after="0"/>
              <w:rPr>
                <w:sz w:val="20"/>
                <w:szCs w:val="20"/>
                <w:color w:val="auto"/>
              </w:rPr>
            </w:pPr>
            <w:r>
              <w:rPr>
                <w:rFonts w:ascii="Courier New" w:cs="Courier New" w:eastAsia="Courier New" w:hAnsi="Courier New"/>
                <w:sz w:val="12"/>
                <w:szCs w:val="12"/>
                <w:color w:val="auto"/>
              </w:rPr>
              <w:t>38,090</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ind w:left="920"/>
              <w:spacing w:after="0"/>
              <w:rPr>
                <w:sz w:val="20"/>
                <w:szCs w:val="20"/>
                <w:color w:val="auto"/>
              </w:rPr>
            </w:pPr>
            <w:r>
              <w:rPr>
                <w:rFonts w:ascii="Courier New" w:cs="Courier New" w:eastAsia="Courier New" w:hAnsi="Courier New"/>
                <w:sz w:val="12"/>
                <w:szCs w:val="12"/>
                <w:color w:val="auto"/>
              </w:rPr>
              <w:t>64,229</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ind w:left="1700"/>
              <w:spacing w:after="0"/>
              <w:rPr>
                <w:sz w:val="20"/>
                <w:szCs w:val="20"/>
                <w:color w:val="auto"/>
              </w:rPr>
            </w:pPr>
            <w:r>
              <w:rPr>
                <w:rFonts w:ascii="Courier New" w:cs="Courier New" w:eastAsia="Courier New" w:hAnsi="Courier New"/>
                <w:sz w:val="12"/>
                <w:szCs w:val="12"/>
                <w:color w:val="auto"/>
              </w:rPr>
              <w:t>34,170</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1002"/>
              <w:spacing w:after="0"/>
              <w:rPr>
                <w:sz w:val="20"/>
                <w:szCs w:val="20"/>
                <w:color w:val="auto"/>
              </w:rPr>
            </w:pPr>
            <w:r>
              <w:rPr>
                <w:rFonts w:ascii="Courier New" w:cs="Courier New" w:eastAsia="Courier New" w:hAnsi="Courier New"/>
                <w:sz w:val="12"/>
                <w:szCs w:val="12"/>
                <w:color w:val="auto"/>
              </w:rPr>
              <w:t>62,826</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ind w:left="1260"/>
              <w:spacing w:after="0"/>
              <w:rPr>
                <w:sz w:val="20"/>
                <w:szCs w:val="20"/>
                <w:color w:val="auto"/>
              </w:rPr>
            </w:pPr>
            <w:r>
              <w:rPr>
                <w:rFonts w:ascii="Courier New" w:cs="Courier New" w:eastAsia="Courier New" w:hAnsi="Courier New"/>
                <w:sz w:val="12"/>
                <w:szCs w:val="12"/>
                <w:color w:val="auto"/>
              </w:rPr>
              <w:t>0</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ind w:left="1260"/>
              <w:spacing w:after="0"/>
              <w:rPr>
                <w:sz w:val="20"/>
                <w:szCs w:val="20"/>
                <w:color w:val="auto"/>
              </w:rPr>
            </w:pPr>
            <w:r>
              <w:rPr>
                <w:rFonts w:ascii="Courier New" w:cs="Courier New" w:eastAsia="Courier New" w:hAnsi="Courier New"/>
                <w:sz w:val="12"/>
                <w:szCs w:val="12"/>
                <w:color w:val="auto"/>
              </w:rPr>
              <w:t>0</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1362"/>
              <w:spacing w:after="0"/>
              <w:rPr>
                <w:sz w:val="20"/>
                <w:szCs w:val="20"/>
                <w:color w:val="auto"/>
              </w:rPr>
            </w:pPr>
            <w:r>
              <w:rPr>
                <w:rFonts w:ascii="Courier New" w:cs="Courier New" w:eastAsia="Courier New" w:hAnsi="Courier New"/>
                <w:sz w:val="12"/>
                <w:szCs w:val="12"/>
                <w:color w:val="auto"/>
              </w:rPr>
              <w:t>1,332</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1162"/>
              <w:spacing w:after="0"/>
              <w:rPr>
                <w:sz w:val="20"/>
                <w:szCs w:val="20"/>
                <w:color w:val="auto"/>
              </w:rPr>
            </w:pPr>
            <w:r>
              <w:rPr>
                <w:rFonts w:ascii="Courier New" w:cs="Courier New" w:eastAsia="Courier New" w:hAnsi="Courier New"/>
                <w:sz w:val="12"/>
                <w:szCs w:val="12"/>
                <w:color w:val="auto"/>
              </w:rPr>
              <w:t>715</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942"/>
              <w:spacing w:after="0"/>
              <w:rPr>
                <w:sz w:val="20"/>
                <w:szCs w:val="20"/>
                <w:color w:val="auto"/>
              </w:rPr>
            </w:pPr>
            <w:r>
              <w:rPr>
                <w:rFonts w:ascii="Courier New" w:cs="Courier New" w:eastAsia="Courier New" w:hAnsi="Courier New"/>
                <w:sz w:val="12"/>
                <w:szCs w:val="12"/>
                <w:color w:val="auto"/>
              </w:rPr>
              <w:t>265</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ind w:left="920"/>
              <w:spacing w:after="0"/>
              <w:rPr>
                <w:sz w:val="20"/>
                <w:szCs w:val="20"/>
                <w:color w:val="auto"/>
              </w:rPr>
            </w:pPr>
            <w:r>
              <w:rPr>
                <w:rFonts w:ascii="Courier New" w:cs="Courier New" w:eastAsia="Courier New" w:hAnsi="Courier New"/>
                <w:sz w:val="12"/>
                <w:szCs w:val="12"/>
                <w:color w:val="auto"/>
              </w:rPr>
              <w:t>450</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1082"/>
              <w:spacing w:after="0"/>
              <w:rPr>
                <w:sz w:val="20"/>
                <w:szCs w:val="20"/>
                <w:color w:val="auto"/>
              </w:rPr>
            </w:pPr>
            <w:r>
              <w:rPr>
                <w:rFonts w:ascii="Courier New" w:cs="Courier New" w:eastAsia="Courier New" w:hAnsi="Courier New"/>
                <w:sz w:val="12"/>
                <w:szCs w:val="12"/>
                <w:color w:val="auto"/>
              </w:rPr>
              <w:t>0</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1162"/>
              <w:spacing w:after="0"/>
              <w:rPr>
                <w:sz w:val="20"/>
                <w:szCs w:val="20"/>
                <w:color w:val="auto"/>
              </w:rPr>
            </w:pPr>
            <w:r>
              <w:rPr>
                <w:rFonts w:ascii="Courier New" w:cs="Courier New" w:eastAsia="Courier New" w:hAnsi="Courier New"/>
                <w:sz w:val="12"/>
                <w:szCs w:val="12"/>
                <w:color w:val="auto"/>
              </w:rPr>
              <w:t>0</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722"/>
              <w:spacing w:after="0"/>
              <w:rPr>
                <w:sz w:val="20"/>
                <w:szCs w:val="20"/>
                <w:color w:val="auto"/>
              </w:rPr>
            </w:pPr>
            <w:r>
              <w:rPr>
                <w:rFonts w:ascii="Courier New" w:cs="Courier New" w:eastAsia="Courier New" w:hAnsi="Courier New"/>
                <w:sz w:val="12"/>
                <w:szCs w:val="12"/>
                <w:color w:val="auto"/>
              </w:rPr>
              <w:t>0</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942"/>
              <w:spacing w:after="0"/>
              <w:rPr>
                <w:sz w:val="20"/>
                <w:szCs w:val="20"/>
                <w:color w:val="auto"/>
              </w:rPr>
            </w:pPr>
            <w:r>
              <w:rPr>
                <w:rFonts w:ascii="Courier New" w:cs="Courier New" w:eastAsia="Courier New" w:hAnsi="Courier New"/>
                <w:sz w:val="12"/>
                <w:szCs w:val="12"/>
                <w:color w:val="auto"/>
              </w:rPr>
              <w:t>450</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862"/>
              <w:spacing w:after="0"/>
              <w:rPr>
                <w:sz w:val="20"/>
                <w:szCs w:val="20"/>
                <w:color w:val="auto"/>
              </w:rPr>
            </w:pPr>
            <w:r>
              <w:rPr>
                <w:rFonts w:ascii="Courier New" w:cs="Courier New" w:eastAsia="Courier New" w:hAnsi="Courier New"/>
                <w:sz w:val="12"/>
                <w:szCs w:val="12"/>
                <w:color w:val="auto"/>
              </w:rPr>
              <w:t>.04</w:t>
            </w:r>
          </w:p>
        </w:tc>
        <w:tc>
          <w:tcPr>
            <w:tcW w:w="1540" w:type="dxa"/>
            <w:vAlign w:val="bottom"/>
          </w:tcPr>
          <w:p>
            <w:pPr>
              <w:spacing w:after="0"/>
              <w:rPr>
                <w:sz w:val="11"/>
                <w:szCs w:val="11"/>
                <w:color w:val="auto"/>
              </w:rPr>
            </w:pPr>
          </w:p>
        </w:tc>
      </w:tr>
      <w:tr>
        <w:trPr>
          <w:trHeight w:val="135"/>
        </w:trPr>
        <w:tc>
          <w:tcPr>
            <w:tcW w:w="1260" w:type="dxa"/>
            <w:vAlign w:val="bottom"/>
          </w:tcPr>
          <w:p>
            <w:pPr>
              <w:spacing w:after="0"/>
              <w:rPr>
                <w:sz w:val="11"/>
                <w:szCs w:val="11"/>
                <w:color w:val="auto"/>
              </w:rPr>
            </w:pPr>
          </w:p>
        </w:tc>
        <w:tc>
          <w:tcPr>
            <w:tcW w:w="2620" w:type="dxa"/>
            <w:vAlign w:val="bottom"/>
          </w:tcPr>
          <w:p>
            <w:pPr>
              <w:jc w:val="right"/>
              <w:ind w:right="1002"/>
              <w:spacing w:after="0"/>
              <w:rPr>
                <w:sz w:val="20"/>
                <w:szCs w:val="20"/>
                <w:color w:val="auto"/>
              </w:rPr>
            </w:pPr>
            <w:r>
              <w:rPr>
                <w:rFonts w:ascii="Courier New" w:cs="Courier New" w:eastAsia="Courier New" w:hAnsi="Courier New"/>
                <w:sz w:val="12"/>
                <w:szCs w:val="12"/>
                <w:color w:val="auto"/>
              </w:rPr>
              <w:t>.04</w:t>
            </w:r>
          </w:p>
        </w:tc>
        <w:tc>
          <w:tcPr>
            <w:tcW w:w="1540" w:type="dxa"/>
            <w:vAlign w:val="bottom"/>
          </w:tcPr>
          <w:p>
            <w:pPr>
              <w:spacing w:after="0"/>
              <w:rPr>
                <w:sz w:val="11"/>
                <w:szCs w:val="11"/>
                <w:color w:val="auto"/>
              </w:rPr>
            </w:pPr>
          </w:p>
        </w:tc>
      </w:tr>
      <w:tr>
        <w:trPr>
          <w:trHeight w:val="695"/>
        </w:trPr>
        <w:tc>
          <w:tcPr>
            <w:tcW w:w="1260" w:type="dxa"/>
            <w:vAlign w:val="bottom"/>
          </w:tcPr>
          <w:p>
            <w:pPr>
              <w:spacing w:after="0"/>
              <w:rPr>
                <w:sz w:val="20"/>
                <w:szCs w:val="20"/>
                <w:color w:val="auto"/>
              </w:rPr>
            </w:pPr>
            <w:r>
              <w:rPr>
                <w:rFonts w:ascii="Courier New" w:cs="Courier New" w:eastAsia="Courier New" w:hAnsi="Courier New"/>
                <w:sz w:val="12"/>
                <w:szCs w:val="12"/>
                <w:color w:val="auto"/>
                <w:w w:val="95"/>
              </w:rPr>
              <w:t>Date: February 11,</w:t>
            </w:r>
          </w:p>
        </w:tc>
        <w:tc>
          <w:tcPr>
            <w:tcW w:w="2620" w:type="dxa"/>
            <w:vAlign w:val="bottom"/>
          </w:tcPr>
          <w:p>
            <w:pPr>
              <w:spacing w:after="0"/>
              <w:rPr>
                <w:sz w:val="24"/>
                <w:szCs w:val="24"/>
                <w:color w:val="auto"/>
              </w:rPr>
            </w:pPr>
          </w:p>
        </w:tc>
        <w:tc>
          <w:tcPr>
            <w:tcW w:w="1540" w:type="dxa"/>
            <w:vAlign w:val="bottom"/>
            <w:tcBorders>
              <w:bottom w:val="single" w:sz="8" w:color="auto"/>
            </w:tcBorders>
          </w:tcPr>
          <w:p>
            <w:pPr>
              <w:spacing w:after="0"/>
              <w:rPr>
                <w:sz w:val="20"/>
                <w:szCs w:val="20"/>
                <w:color w:val="auto"/>
              </w:rPr>
            </w:pPr>
            <w:r>
              <w:rPr>
                <w:rFonts w:ascii="Courier New" w:cs="Courier New" w:eastAsia="Courier New" w:hAnsi="Courier New"/>
                <w:sz w:val="12"/>
                <w:szCs w:val="12"/>
                <w:color w:val="auto"/>
                <w:w w:val="95"/>
              </w:rPr>
              <w:t>By:/s/ DAN N. TONISSEN</w:t>
            </w:r>
          </w:p>
        </w:tc>
      </w:tr>
    </w:tbl>
    <w:p>
      <w:pPr>
        <w:spacing w:after="0" w:line="15" w:lineRule="exact"/>
        <w:rPr>
          <w:sz w:val="20"/>
          <w:szCs w:val="20"/>
          <w:color w:val="auto"/>
        </w:rPr>
      </w:pPr>
    </w:p>
    <w:p>
      <w:pPr>
        <w:ind w:left="40"/>
        <w:spacing w:after="0"/>
        <w:rPr>
          <w:sz w:val="20"/>
          <w:szCs w:val="20"/>
          <w:color w:val="auto"/>
        </w:rPr>
      </w:pPr>
      <w:r>
        <w:rPr>
          <w:rFonts w:ascii="Courier New" w:cs="Courier New" w:eastAsia="Courier New" w:hAnsi="Courier New"/>
          <w:sz w:val="12"/>
          <w:szCs w:val="12"/>
          <w:color w:val="auto"/>
        </w:rPr>
        <w:t>2000</w:t>
      </w:r>
    </w:p>
    <w:p>
      <w:pPr>
        <w:spacing w:after="0" w:line="125" w:lineRule="exact"/>
        <w:rPr>
          <w:sz w:val="20"/>
          <w:szCs w:val="20"/>
          <w:color w:val="auto"/>
        </w:rPr>
      </w:pPr>
    </w:p>
    <w:p>
      <w:pPr>
        <w:ind w:left="4300"/>
        <w:spacing w:after="0"/>
        <w:rPr>
          <w:sz w:val="20"/>
          <w:szCs w:val="20"/>
          <w:color w:val="auto"/>
        </w:rPr>
      </w:pPr>
      <w:r>
        <w:rPr>
          <w:rFonts w:ascii="Courier New" w:cs="Courier New" w:eastAsia="Courier New" w:hAnsi="Courier New"/>
          <w:sz w:val="12"/>
          <w:szCs w:val="12"/>
          <w:color w:val="auto"/>
        </w:rPr>
        <w:t>(Signature)</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2"/>
          <w:szCs w:val="12"/>
          <w:color w:val="auto"/>
        </w:rPr>
        <w:t>Daniel N. Tonissen</w:t>
      </w:r>
    </w:p>
    <w:p>
      <w:pPr>
        <w:spacing w:after="0" w:line="116" w:lineRule="exact"/>
        <w:rPr>
          <w:sz w:val="20"/>
          <w:szCs w:val="20"/>
          <w:color w:val="auto"/>
        </w:rPr>
      </w:pPr>
    </w:p>
    <w:p>
      <w:pPr>
        <w:ind w:left="4120"/>
        <w:spacing w:after="0"/>
        <w:rPr>
          <w:sz w:val="20"/>
          <w:szCs w:val="20"/>
          <w:color w:val="auto"/>
        </w:rPr>
      </w:pPr>
      <w:r>
        <w:rPr>
          <w:rFonts w:ascii="Courier New" w:cs="Courier New" w:eastAsia="Courier New" w:hAnsi="Courier New"/>
          <w:sz w:val="12"/>
          <w:szCs w:val="12"/>
          <w:color w:val="auto"/>
        </w:rPr>
        <w:t>Senior Vice</w:t>
      </w:r>
    </w:p>
    <w:p>
      <w:pPr>
        <w:ind w:left="4120"/>
        <w:spacing w:after="0"/>
        <w:rPr>
          <w:sz w:val="20"/>
          <w:szCs w:val="20"/>
          <w:color w:val="auto"/>
        </w:rPr>
      </w:pPr>
      <w:r>
        <w:rPr>
          <w:rFonts w:ascii="Courier New" w:cs="Courier New" w:eastAsia="Courier New" w:hAnsi="Courier New"/>
          <w:sz w:val="12"/>
          <w:szCs w:val="12"/>
          <w:color w:val="auto"/>
        </w:rPr>
        <w:t>President,</w:t>
      </w:r>
    </w:p>
    <w:p>
      <w:pPr>
        <w:spacing w:after="0" w:line="115" w:lineRule="exact"/>
        <w:rPr>
          <w:sz w:val="20"/>
          <w:szCs w:val="20"/>
          <w:color w:val="auto"/>
        </w:rPr>
      </w:pPr>
    </w:p>
    <w:p>
      <w:pPr>
        <w:ind w:left="4120"/>
        <w:spacing w:after="0"/>
        <w:rPr>
          <w:sz w:val="20"/>
          <w:szCs w:val="20"/>
          <w:color w:val="auto"/>
        </w:rPr>
      </w:pPr>
      <w:r>
        <w:rPr>
          <w:rFonts w:ascii="Courier New" w:cs="Courier New" w:eastAsia="Courier New" w:hAnsi="Courier New"/>
          <w:sz w:val="12"/>
          <w:szCs w:val="12"/>
          <w:color w:val="auto"/>
        </w:rPr>
        <w:t>Chief Financial</w:t>
      </w:r>
    </w:p>
    <w:p>
      <w:pPr>
        <w:ind w:left="4120"/>
        <w:spacing w:after="0"/>
        <w:rPr>
          <w:sz w:val="20"/>
          <w:szCs w:val="20"/>
          <w:color w:val="auto"/>
        </w:rPr>
      </w:pPr>
      <w:r>
        <w:rPr>
          <w:rFonts w:ascii="Courier New" w:cs="Courier New" w:eastAsia="Courier New" w:hAnsi="Courier New"/>
          <w:sz w:val="12"/>
          <w:szCs w:val="12"/>
          <w:color w:val="auto"/>
        </w:rPr>
        <w:t>Officer &amp;</w:t>
      </w:r>
    </w:p>
    <w:p>
      <w:pPr>
        <w:spacing w:after="0" w:line="115" w:lineRule="exact"/>
        <w:rPr>
          <w:sz w:val="20"/>
          <w:szCs w:val="20"/>
          <w:color w:val="auto"/>
        </w:rPr>
      </w:pPr>
    </w:p>
    <w:p>
      <w:pPr>
        <w:ind w:left="4120"/>
        <w:spacing w:after="0"/>
        <w:rPr>
          <w:sz w:val="20"/>
          <w:szCs w:val="20"/>
          <w:color w:val="auto"/>
        </w:rPr>
      </w:pPr>
      <w:r>
        <w:rPr>
          <w:rFonts w:ascii="Courier New" w:cs="Courier New" w:eastAsia="Courier New" w:hAnsi="Courier New"/>
          <w:sz w:val="12"/>
          <w:szCs w:val="12"/>
          <w:color w:val="auto"/>
        </w:rPr>
        <w:t>Director</w:t>
      </w:r>
    </w:p>
    <w:sectPr>
      <w:pgSz w:w="11900" w:h="16838" w:orient="portrait"/>
      <w:cols w:equalWidth="0" w:num="1">
        <w:col w:w="10139"/>
      </w:cols>
      <w:pgMar w:left="320" w:top="4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b"/>
      <w:numFmt w:val="bullet"/>
      <w:start w:val="1"/>
    </w:lvl>
  </w:abstractNum>
  <w:abstractNum w:abstractNumId="3">
    <w:nsid w:val="238E1F29"/>
    <w:multiLevelType w:val="hybridMultilevel"/>
    <w:lvl w:ilvl="0">
      <w:lvlJc w:val="left"/>
      <w:lvlText w:val="c"/>
      <w:numFmt w:val="bullet"/>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2020-10-05T20:08:45Z</dcterms:created>
  <dcterms:modified xsi:type="dcterms:W3CDTF">2020-10-05T20:08:45Z</dcterms:modified>
</cp:coreProperties>
</file>