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3, 2023</w:t>
      </w:r>
    </w:p>
    <w:p>
      <w:pPr>
        <w:pStyle w:val="TextBody"/>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 </w:t>
      </w:r>
    </w:p>
    <w:p>
      <w:pPr>
        <w:pStyle w:val="TextBody"/>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EZCORP,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_______________________________________________________ </w:t>
      </w:r>
    </w:p>
    <w:tbl>
      <w:tblPr>
        <w:tblW w:w="5271" w:type="dxa"/>
        <w:jc w:val="center"/>
        <w:tblInd w:w="0" w:type="dxa"/>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0-19424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74-2540145</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2500 Bee Cave Road, Bldg One, Suite 200, Rollingwood, Texas 78746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(512) 314-3400 </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center"/>
        <w:tblInd w:w="0" w:type="dxa"/>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r>
      <w:tr>
        <w:trPr/>
        <w:tc>
          <w:tcPr>
            <w:tcW w:w="39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Non-voting Common Stock, par value $.01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EZPW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NASDAQ Stock Market</w:t>
            </w:r>
          </w:p>
        </w:tc>
        <w:tc>
          <w:tcPr>
            <w:tcW w:w="23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16"/>
              </w:rPr>
              <w:t>(NASDAQ Global Select Market)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On May 3, 2023, EZCORP, Inc. ("EZCORP") issued a press release announcing its results of operations and financial condition for the full year and quarter ended March 31, 2023. A copy of that press release is attached as Exhibit 99.1.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 copy of the presentation materials that management will review during the Company’s earnings conference call (to be held on May 4, 2023) will be posted in the Investor Relations section of the company’s website at www.ezcorp.com.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tbl>
      <w:tblPr>
        <w:tblW w:w="1231" w:type="dxa"/>
        <w:jc w:val="left"/>
        <w:tblInd w:w="0" w:type="dxa"/>
        <w:tblCellMar>
          <w:top w:w="28" w:type="dxa"/>
          <w:left w:w="28" w:type="dxa"/>
          <w:bottom w:w="28" w:type="dxa"/>
          <w:right w:w="28" w:type="dxa"/>
        </w:tblCellMar>
      </w:tblPr>
      <w:tblGrid>
        <w:gridCol w:w="125"/>
        <w:gridCol w:w="110"/>
        <w:gridCol w:w="110"/>
        <w:gridCol w:w="259"/>
        <w:gridCol w:w="259"/>
        <w:gridCol w:w="368"/>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left"/>
        <w:tblInd w:w="0" w:type="dxa"/>
        <w:tblCellMar>
          <w:top w:w="28" w:type="dxa"/>
          <w:left w:w="28" w:type="dxa"/>
          <w:bottom w:w="28" w:type="dxa"/>
          <w:right w:w="28" w:type="dxa"/>
        </w:tblCellMar>
      </w:tblPr>
      <w:tblGrid>
        <w:gridCol w:w="174"/>
        <w:gridCol w:w="153"/>
        <w:gridCol w:w="154"/>
        <w:gridCol w:w="2848"/>
        <w:gridCol w:w="2838"/>
        <w:gridCol w:w="403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848" w:type="dxa"/>
            <w:tcBorders/>
            <w:shd w:fill="auto" w:val="clear"/>
            <w:vAlign w:val="center"/>
          </w:tcPr>
          <w:p>
            <w:pPr>
              <w:pStyle w:val="TableContents"/>
              <w:spacing w:before="0" w:after="283"/>
              <w:rPr>
                <w:sz w:val="4"/>
                <w:szCs w:val="4"/>
              </w:rPr>
            </w:pPr>
            <w:r>
              <w:rPr>
                <w:sz w:val="4"/>
                <w:szCs w:val="4"/>
              </w:rPr>
            </w:r>
          </w:p>
        </w:tc>
        <w:tc>
          <w:tcPr>
            <w:tcW w:w="2838" w:type="dxa"/>
            <w:tcBorders/>
            <w:shd w:fill="auto" w:val="clear"/>
            <w:vAlign w:val="center"/>
          </w:tcPr>
          <w:p>
            <w:pPr>
              <w:pStyle w:val="TableContents"/>
              <w:spacing w:before="0" w:after="283"/>
              <w:rPr>
                <w:sz w:val="4"/>
                <w:szCs w:val="4"/>
              </w:rPr>
            </w:pPr>
            <w:r>
              <w:rPr>
                <w:sz w:val="4"/>
                <w:szCs w:val="4"/>
              </w:rPr>
            </w:r>
          </w:p>
        </w:tc>
        <w:tc>
          <w:tcPr>
            <w:tcW w:w="4038"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7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q2pressreleaseex991.htm">
              <w:r>
                <w:rPr>
                  <w:rStyle w:val="InternetLink"/>
                  <w:rFonts w:ascii="Times New Roman;sans-serif" w:hAnsi="Times New Roman;sans-serif"/>
                  <w:b w:val="false"/>
                  <w:color w:val="0000FF"/>
                  <w:sz w:val="20"/>
                  <w:u w:val="single"/>
                </w:rPr>
                <w:t>Press Release, dated May 2, 2023, announcing EZCORP, Inc.’s results of operations and financial condition for the quarter ended March 31, 2023.</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614"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09"/>
        <w:gridCol w:w="109"/>
        <w:gridCol w:w="109"/>
        <w:gridCol w:w="109"/>
        <w:gridCol w:w="109"/>
        <w:gridCol w:w="109"/>
        <w:gridCol w:w="145"/>
        <w:gridCol w:w="145"/>
        <w:gridCol w:w="145"/>
        <w:gridCol w:w="145"/>
        <w:gridCol w:w="145"/>
        <w:gridCol w:w="145"/>
        <w:gridCol w:w="604"/>
        <w:gridCol w:w="604"/>
        <w:gridCol w:w="861"/>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3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120"/>
        <w:jc w:val="center"/>
        <w:rPr/>
      </w:pPr>
      <w:r>
        <w:rPr/>
        <w:drawing>
          <wp:inline distT="0" distB="63500" distL="0" distR="0">
            <wp:extent cx="22288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180" w:after="283"/>
        <w:jc w:val="center"/>
        <w:rPr>
          <w:rFonts w:ascii="Arial Narrow;sans-serif" w:hAnsi="Arial Narrow;sans-serif"/>
          <w:b/>
          <w:color w:val="000000"/>
          <w:sz w:val="28"/>
        </w:rPr>
      </w:pPr>
      <w:r>
        <w:rPr>
          <w:rFonts w:ascii="Arial Narrow;sans-serif" w:hAnsi="Arial Narrow;sans-serif"/>
          <w:b/>
          <w:color w:val="000000"/>
          <w:sz w:val="28"/>
        </w:rPr>
        <w:t>EZCORP Reports Second Quarter Fiscal 2023 Results</w:t>
      </w:r>
    </w:p>
    <w:p>
      <w:pPr>
        <w:pStyle w:val="TextBody"/>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Record Second Quarter Pawn Loans Outstanding and Sales Driving Strong Revenue Growth</w:t>
      </w:r>
    </w:p>
    <w:p>
      <w:pPr>
        <w:pStyle w:val="TextBody"/>
        <w:spacing w:lineRule="auto" w:line="288" w:before="240" w:after="283"/>
        <w:rPr/>
      </w:pPr>
      <w:r>
        <w:rPr>
          <w:rFonts w:ascii="Arial Narrow;sans-serif" w:hAnsi="Arial Narrow;sans-serif"/>
          <w:b/>
          <w:color w:val="000000"/>
          <w:sz w:val="20"/>
        </w:rPr>
        <w:t xml:space="preserve">Austin, Texas (May 3, 2023) — </w:t>
      </w:r>
      <w:r>
        <w:rPr>
          <w:rFonts w:ascii="Arial Narrow;sans-serif" w:hAnsi="Arial Narrow;sans-serif"/>
          <w:b w:val="false"/>
          <w:color w:val="000000"/>
          <w:sz w:val="20"/>
        </w:rPr>
        <w:t>EZCORP, Inc. (NASDAQ: EZPW), a leading provider of pawn transactions in the United States and Latin America, today announced results for its second quarter ended March 31, 2023.</w:t>
      </w:r>
    </w:p>
    <w:p>
      <w:pPr>
        <w:pStyle w:val="TextBody"/>
        <w:spacing w:lineRule="auto" w:line="288" w:before="180" w:after="283"/>
        <w:rPr>
          <w:rFonts w:ascii="Arial Narrow;sans-serif" w:hAnsi="Arial Narrow;sans-serif"/>
          <w:b w:val="false"/>
          <w:i/>
          <w:color w:val="000000"/>
          <w:sz w:val="18"/>
        </w:rPr>
      </w:pPr>
      <w:r>
        <w:rPr>
          <w:rFonts w:ascii="Arial Narrow;sans-serif" w:hAnsi="Arial Narrow;sans-serif"/>
          <w:b w:val="false"/>
          <w:i/>
          <w:color w:val="000000"/>
          <w:sz w:val="18"/>
        </w:rPr>
        <w:t>Unless otherwise noted, all amounts in this release are in conformity with U.S. generally accepted accounting principles ("GAAP") and comparisons shown are to the same period in the prior year.</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SECOND QUARTER HIGHLIGHTS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 xml:space="preserve">Pawn loans outstanding (PLO) up 19% to $206.1 million.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Total revenue increased 20%, and gross profit increased 16%.</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Merchandise sales gross margin remains within our targeted range at 36%.</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 xml:space="preserve">Net loss of $6.8 million, was down from Net Income of $14.9 million, primarily driven by our $25.6 million share of the one-time, non-cash goodwill impairment and discrete adjustments recognized by Cash Converters International in its half-year period ended December 31, 2022.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Diluted loss per share of $0.12 was down from diluted earnings per share of $0.20. On an adjusted basis</w:t>
      </w:r>
      <w:r>
        <w:rPr>
          <w:rFonts w:ascii="Arial Narrow;sans-serif" w:hAnsi="Arial Narrow;sans-serif"/>
          <w:b w:val="false"/>
          <w:color w:val="000000"/>
          <w:sz w:val="13"/>
        </w:rPr>
        <w:t>1</w:t>
      </w:r>
      <w:r>
        <w:rPr>
          <w:rFonts w:ascii="Arial Narrow;sans-serif" w:hAnsi="Arial Narrow;sans-serif"/>
          <w:b w:val="false"/>
          <w:color w:val="000000"/>
          <w:sz w:val="20"/>
        </w:rPr>
        <w:t xml:space="preserve">, diluted earnings per share was $0.23, compared to $0.22 in the prior-year quarter.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Return on earning assets (ROEA) remains strong at 165%.</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 xml:space="preserve">CEO COMMENTARY AND OUTLOOK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Lachie Given, Chief Executive Officer, stated, "We achieved record second quarter PLO and merchandise sales as we continue to execute our three-year plan, put in place at the end of fiscal 2020. The macro-economic environment continues to support increased core demand for our products and services, including providing our environmentally conscious consumers with a more sustainable way to shop. Our team's relentless commitment to serving our customers with passion and respect and to operational excellence in all that we do, continues to drive our strong operating and financial results.</w:t>
      </w:r>
    </w:p>
    <w:p>
      <w:pPr>
        <w:pStyle w:val="TextBody"/>
        <w:spacing w:before="0" w:after="0"/>
        <w:rPr/>
      </w:pPr>
      <w:r>
        <w:rPr/>
      </w:r>
    </w:p>
    <w:p>
      <w:pPr>
        <w:pStyle w:val="TextBody"/>
        <w:spacing w:lineRule="auto" w:line="268" w:before="0" w:after="0"/>
        <w:rPr>
          <w:rFonts w:ascii="Arial Narrow;sans-serif" w:hAnsi="Arial Narrow;sans-serif"/>
          <w:b w:val="false"/>
          <w:color w:val="000000"/>
          <w:sz w:val="20"/>
        </w:rPr>
      </w:pPr>
      <w:r>
        <w:rPr>
          <w:rFonts w:ascii="Arial Narrow;sans-serif" w:hAnsi="Arial Narrow;sans-serif"/>
          <w:b w:val="false"/>
          <w:color w:val="000000"/>
          <w:sz w:val="20"/>
        </w:rPr>
        <w:t xml:space="preserve">"During the second quarter, we expanded our store footprint, opening 13 de novo stores. Two of these stores were opened in Las Vegas, the first under our newly acquired luxury brand Max Pawn, and the other under the core EZPAWN brand. We are very excited to be growing our presence in this important pawn market. The other 11 new stores were opened across LatAm – 8 in Mexico and 3 in Guatemala, where we are extending our market leadership, with 103 stores there. </w:t>
      </w:r>
    </w:p>
    <w:p>
      <w:pPr>
        <w:pStyle w:val="TextBody"/>
        <w:spacing w:before="0" w:after="0"/>
        <w:rPr/>
      </w:pPr>
      <w:r>
        <w:rPr/>
      </w:r>
    </w:p>
    <w:p>
      <w:pPr>
        <w:pStyle w:val="TextBody"/>
        <w:spacing w:lineRule="auto" w:line="268" w:before="0" w:after="0"/>
        <w:rPr>
          <w:color w:val="000000"/>
        </w:rPr>
      </w:pPr>
      <w:r>
        <w:rPr>
          <w:color w:val="000000"/>
        </w:rPr>
        <w:t>“</w:t>
      </w:r>
      <w:r>
        <w:rPr>
          <w:rFonts w:ascii="Arial Narrow;sans-serif" w:hAnsi="Arial Narrow;sans-serif"/>
          <w:b w:val="false"/>
          <w:color w:val="000000"/>
          <w:sz w:val="20"/>
        </w:rPr>
        <w:t>EZ+ Rewards, our loyalty program, continues to be very well received by our customers and has grown to 2.9 million members globally, an increase of 17% over the first quarter of 2023. We are extremely happy with the increases here and are working hard on strategies to win and retain more customers in all of the local communities in which we operate.</w:t>
      </w:r>
    </w:p>
    <w:p>
      <w:pPr>
        <w:pStyle w:val="TextBody"/>
        <w:spacing w:before="0" w:after="0"/>
        <w:rPr/>
      </w:pPr>
      <w:r>
        <w:rPr/>
      </w:r>
    </w:p>
    <w:p>
      <w:pPr>
        <w:pStyle w:val="TextBody"/>
        <w:spacing w:lineRule="auto" w:line="268" w:before="0" w:after="0"/>
        <w:rPr>
          <w:rFonts w:ascii="Arial Narrow;sans-serif" w:hAnsi="Arial Narrow;sans-serif"/>
          <w:b w:val="false"/>
          <w:color w:val="000000"/>
          <w:sz w:val="20"/>
        </w:rPr>
      </w:pPr>
      <w:r>
        <w:rPr>
          <w:rFonts w:ascii="Arial Narrow;sans-serif" w:hAnsi="Arial Narrow;sans-serif"/>
          <w:b w:val="false"/>
          <w:color w:val="000000"/>
          <w:sz w:val="20"/>
        </w:rPr>
        <w:t>"We continue to believe that investing in our teams and technology is essential. To ensure the continuous improvement of our Field Teams' bench strength, we completed talent and succession processes for all global operations. In Latin America we are enhancing recruiting strategies and implementing development programs for Lead Pawnbrokers and Store Managers. In the US we launched a new SharePoint in store communications program, to enhance our daily program execution and performance management strategies across all stores. We have deployed store system and network upgrades to support digital initiatives and are building out our e-commerce capabilities in a disciplined way.</w:t>
      </w:r>
    </w:p>
    <w:p>
      <w:pPr>
        <w:pStyle w:val="TextBody"/>
        <w:spacing w:before="0" w:after="0"/>
        <w:rPr/>
      </w:pPr>
      <w:r>
        <w:rPr/>
      </w:r>
    </w:p>
    <w:p>
      <w:pPr>
        <w:pStyle w:val="TextBody"/>
        <w:spacing w:lineRule="auto" w:line="268" w:before="0" w:after="0"/>
        <w:rPr>
          <w:rFonts w:ascii="Arial Narrow;sans-serif" w:hAnsi="Arial Narrow;sans-serif"/>
          <w:b w:val="false"/>
          <w:color w:val="000000"/>
          <w:sz w:val="20"/>
        </w:rPr>
      </w:pPr>
      <w:r>
        <w:rPr>
          <w:rFonts w:ascii="Arial Narrow;sans-serif" w:hAnsi="Arial Narrow;sans-serif"/>
          <w:b w:val="false"/>
          <w:color w:val="000000"/>
          <w:sz w:val="20"/>
        </w:rPr>
        <w:t xml:space="preserve">"During the quarter, we repurchased $3.9 million worth of EZCORP shares as part of the up to $50 million share repurchase program announced in the second quarter of fiscal 2022.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Arial Narrow;sans-serif" w:hAnsi="Arial Narrow;sans-serif"/>
          <w:b w:val="false"/>
          <w:color w:val="000000"/>
          <w:sz w:val="20"/>
        </w:rPr>
      </w:pPr>
      <w:r>
        <w:rPr>
          <w:rFonts w:ascii="Arial Narrow;sans-serif" w:hAnsi="Arial Narrow;sans-serif"/>
          <w:b w:val="false"/>
          <w:color w:val="000000"/>
          <w:sz w:val="20"/>
        </w:rPr>
        <w:t>"Our focus on People, Pawn, and Passion, along with the disciplined execution of our enhanced operating model has yielded another quarter of strong results for our shareholders. We will continue to invest in our people and technology with the goal of serving more customers, more frequently, across more locations, in an environmentally sustainable way, to ultimately drive value to our shareholders," Given concluded.</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CONSOLIDATED RESULTS</w:t>
      </w:r>
    </w:p>
    <w:tbl>
      <w:tblPr>
        <w:tblW w:w="6630" w:type="dxa"/>
        <w:jc w:val="left"/>
        <w:tblInd w:w="0" w:type="dxa"/>
        <w:tblCellMar>
          <w:top w:w="28" w:type="dxa"/>
          <w:left w:w="28" w:type="dxa"/>
          <w:bottom w:w="28" w:type="dxa"/>
          <w:right w:w="28" w:type="dxa"/>
        </w:tblCellMar>
      </w:tblPr>
      <w:tblGrid>
        <w:gridCol w:w="889"/>
        <w:gridCol w:w="783"/>
        <w:gridCol w:w="788"/>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889"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Three Months Ended March 31</w:t>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income before tax</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(loss) earnings per share </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180" w:after="283"/>
        <w:ind w:left="0" w:right="0" w:hanging="360"/>
        <w:rPr/>
      </w:pPr>
      <w:r>
        <w:rPr>
          <w:color w:val="000000"/>
        </w:rPr>
        <w:t>•</w:t>
      </w:r>
      <w:r>
        <w:rPr>
          <w:rFonts w:ascii="Arial Narrow;sans-serif" w:hAnsi="Arial Narrow;sans-serif"/>
          <w:b w:val="false"/>
          <w:color w:val="000000"/>
          <w:sz w:val="20"/>
        </w:rPr>
        <w:t xml:space="preserve">Diluted loss per share was $0.12, down from diluted earnings per share of $0.20. On an adjusted basis, diluted earnings per share were $0.23, up from $0.22. The primary difference between GAAP and Adjusted financial results is attributable to our share of the previously announced one-time, non-cash goodwill impairment recognized by Cash Converters International in its half-year period ended December 31 2022.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Loss before taxes was $7.3 million, down from profit before taxes of $20.1 million, while adjusted EBITDA increased 4% to $33.3 million.</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PLO increased 19% to $206.1 million, up $32.5 million. On a same-store basis</w:t>
      </w:r>
      <w:r>
        <w:rPr>
          <w:rFonts w:ascii="Arial Narrow;sans-serif" w:hAnsi="Arial Narrow;sans-serif"/>
          <w:b w:val="false"/>
          <w:color w:val="000000"/>
          <w:sz w:val="13"/>
        </w:rPr>
        <w:t>2</w:t>
      </w:r>
      <w:r>
        <w:rPr>
          <w:rFonts w:ascii="Arial Narrow;sans-serif" w:hAnsi="Arial Narrow;sans-serif"/>
          <w:b w:val="false"/>
          <w:color w:val="000000"/>
          <w:sz w:val="20"/>
        </w:rPr>
        <w:t xml:space="preserve">, PLO increased 16% due to increased loan demand, reflecting continuing growth.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 xml:space="preserve">Total revenues increased 20% and gross profit increased 16%, reflecting improved pawn service charge (PSC) revenue, merchandise sales and merchandise sales gross profit.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PSC increased 21% as a result of higher average PLO and yields.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Merchandise sales gross margin remains within our targeted range at 36%. Aged general merchandise has increased to 2.2% of total general merchandise inventory.</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Net inventory increased 25%, reflecting a return towards normalized inventory levels. Inventory turnover remained strong at 2.8x for the quarter, down from 2.9x.</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Store expenses increased 18%, primarily due to increased labor in-line with store activity, higher store count and, to a lesser extent, expenses related to our loyalty program. On a same-store basis, store expenses increased 12%. General and administrative expenses increased 28%, primarily due to the reversal of incentive compensation for the departed CEO in the prior period and, to a lesser extent, increase in accrued incentive compensation.</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Cash and cash equivalents at the end of the quarter was $243.1 million, down 5% year-over-year. The decrease was primarily due to the increase in PLO and inventory, the acquisition of new stores, and strategic investments, partially offset by the net cash proceeds associated with the convertible debt refinancing.</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SEGMENT RESULTS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U.S. Pawn</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PLO ended the quarter at $157.0 million, up 18% or 14% on a same store basis.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Total revenue was up 16% and gross profit increased 11%, reflecting increased PSC and higher merchandise sales.</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PSC increased 19% as a result of higher average PLO.</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Merchandise sales gross margin decreased to 38% from 41%, reflecting a more normalized operating environment. Aged general merchandise increased to 1.4% of total general merchandise inventory primarily driven by recent acquisitions.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 xml:space="preserve">Net inventory increased 20% reflecting a return towards normalized inventory levels. Inventory turnover remained flat at 2.6x.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Store expenses increased 12%, primarily due to increased labor in-line with store activity, higher store count and, to a lesser extent, expenses related to our loyalty program.</w:t>
      </w:r>
    </w:p>
    <w:p>
      <w:pPr>
        <w:pStyle w:val="TextBody"/>
        <w:spacing w:lineRule="auto" w:line="288" w:before="180" w:after="283"/>
        <w:ind w:left="0" w:right="0" w:hanging="360"/>
        <w:rPr/>
      </w:pPr>
      <w:r>
        <w:rPr>
          <w:color w:val="000000"/>
          <w:highlight w:val="white"/>
        </w:rPr>
        <w:t>•</w:t>
      </w:r>
      <w:r>
        <w:rPr>
          <w:rFonts w:ascii="Arial Narrow;sans-serif" w:hAnsi="Arial Narrow;sans-serif"/>
          <w:b w:val="false"/>
          <w:color w:val="000000"/>
          <w:sz w:val="20"/>
        </w:rPr>
        <w:t xml:space="preserve">Segment contribution increased 12% to $37.8 million.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Segment store count increased by 2 de novo stores during the quarter.</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Latin America Pawn</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PLO improved to $49.1 million, up 22% (14% on constant currency basis). On a same store basis, PLO increased 19% (12% on a constant currency basis).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 xml:space="preserve">Total revenue was up 30% (22% on constant currency basis) and gross profit increased 32% (23% on a constant currency basis), reflecting increased PSC, higher merchandise sales and improved merchandise sales gross profit.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PSC increased 29% (21% on a constant currency basis) as a result of higher average PLO and yield.</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Merchandise sales gross margin increased from 29% to 32%. Aged general merchandise inventory increased to 3.2% from 1.0% of total merchandise inventory.</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Net inventory increased 44% (33% on a constant currency basis), reflecting a return towards normalized inventory levels. Inventory turnover remains strong at 3.5x, down from 3.8x.</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 xml:space="preserve">Store expenses increased 38% (29% on a constant currency basis), primarily due to increased labor in-line with store activity and higher store count. Same-store expenses increased 32% (24% on a constant currency basis). </w:t>
      </w:r>
    </w:p>
    <w:p>
      <w:pPr>
        <w:pStyle w:val="TextBody"/>
        <w:spacing w:lineRule="auto" w:line="288" w:before="180" w:after="283"/>
        <w:ind w:left="0" w:right="0" w:hanging="360"/>
        <w:rPr/>
      </w:pPr>
      <w:r>
        <w:rPr>
          <w:color w:val="000000"/>
          <w:highlight w:val="white"/>
        </w:rPr>
        <w:t>•</w:t>
      </w:r>
      <w:r>
        <w:rPr>
          <w:rFonts w:ascii="Arial Narrow;sans-serif" w:hAnsi="Arial Narrow;sans-serif"/>
          <w:b w:val="false"/>
          <w:color w:val="000000"/>
          <w:sz w:val="20"/>
        </w:rPr>
        <w:t xml:space="preserve">Segment contribution increased 68% (57% on a constant currency basis) to $8.0 million. On an adjusted basis, segment contribution was up 10% to $5.4 million, with the primary adjustment being the reversal of contingent consideration liability in connection with a previously completed acquisition.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Segment store count increased by 11 de novo stores during the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FORM 10-Q</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EZCORP’s Quarterly Report on Form 10-Q for the quarter ended March 31, 2023 has been filed with the Securities and Exchange Commission. The report is available in the Investor Relations section of the Company’s website at http://investors.ezcorp.com.</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CONFERENCE CALL</w:t>
      </w:r>
    </w:p>
    <w:p>
      <w:pPr>
        <w:pStyle w:val="TextBody"/>
        <w:spacing w:lineRule="auto" w:line="288" w:before="180" w:after="283"/>
        <w:rPr/>
      </w:pPr>
      <w:r>
        <w:rPr>
          <w:rFonts w:ascii="Arial Narrow;sans-serif" w:hAnsi="Arial Narrow;sans-serif"/>
          <w:b w:val="false"/>
          <w:color w:val="000000"/>
          <w:sz w:val="20"/>
        </w:rPr>
        <w:t>EZCORP will host a conference call on Thursday, May 4, 2023, at 8:00 am Central Time to discuss Second Quarter Fiscal 2023 results. Analysts and institutional investors may participate on the conference call by dialing (833) 470-1428, Conference ID: 721380, or internationally by dialing (404) 975-4839. The conference call will be webcast simultaneously to the public through this link: </w:t>
      </w:r>
      <w:r>
        <w:rPr>
          <w:rFonts w:ascii="Arial Narrow;sans-serif" w:hAnsi="Arial Narrow;sans-serif"/>
          <w:b w:val="false"/>
          <w:color w:val="000000"/>
          <w:sz w:val="20"/>
          <w:u w:val="single"/>
        </w:rPr>
        <w:t>http://investors.ezcorp.com/</w:t>
      </w:r>
      <w:r>
        <w:rPr>
          <w:rFonts w:ascii="Arial Narrow;sans-serif" w:hAnsi="Arial Narrow;sans-serif"/>
          <w:b w:val="false"/>
          <w:color w:val="000000"/>
          <w:sz w:val="20"/>
        </w:rPr>
        <w:t>. A replay of the conference call will be available online at </w:t>
      </w:r>
      <w:r>
        <w:rPr>
          <w:rFonts w:ascii="Arial Narrow;sans-serif" w:hAnsi="Arial Narrow;sans-serif"/>
          <w:b w:val="false"/>
          <w:color w:val="000000"/>
          <w:sz w:val="20"/>
          <w:u w:val="single"/>
        </w:rPr>
        <w:t>http://investors.ezcorp.com/</w:t>
      </w:r>
      <w:r>
        <w:rPr>
          <w:color w:val="000000"/>
        </w:rPr>
        <w:t> </w:t>
      </w:r>
      <w:r>
        <w:rPr>
          <w:rFonts w:ascii="Arial Narrow;sans-serif" w:hAnsi="Arial Narrow;sans-serif"/>
          <w:b w:val="false"/>
          <w:color w:val="000000"/>
          <w:sz w:val="20"/>
        </w:rPr>
        <w:t>shortly after the end of the call.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ABOUT EZCORP</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Follow us on social media:</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rPr>
          <w:rFonts w:ascii="Arial Narrow;sans-serif" w:hAnsi="Arial Narrow;sans-serif"/>
          <w:b w:val="false"/>
          <w:color w:val="000000"/>
          <w:sz w:val="20"/>
        </w:rPr>
      </w:pPr>
      <w:r>
        <w:rPr>
          <w:rFonts w:ascii="Arial Narrow;sans-serif" w:hAnsi="Arial Narrow;sans-serif"/>
          <w:b w:val="false"/>
          <w:color w:val="000000"/>
          <w:sz w:val="20"/>
        </w:rPr>
        <w:t>Facebook EZPAWN Official https://www.facebook.com/EZPAWN/</w:t>
      </w:r>
    </w:p>
    <w:p>
      <w:pPr>
        <w:pStyle w:val="TextBody"/>
        <w:spacing w:lineRule="auto" w:line="288" w:before="120" w:after="283"/>
        <w:rPr>
          <w:rFonts w:ascii="Arial Narrow;sans-serif" w:hAnsi="Arial Narrow;sans-serif"/>
          <w:b w:val="false"/>
          <w:color w:val="000000"/>
          <w:sz w:val="20"/>
        </w:rPr>
      </w:pPr>
      <w:r>
        <w:rPr>
          <w:rFonts w:ascii="Arial Narrow;sans-serif" w:hAnsi="Arial Narrow;sans-serif"/>
          <w:b w:val="false"/>
          <w:color w:val="000000"/>
          <w:sz w:val="20"/>
        </w:rPr>
        <w:t>EZPAWN Instagram Official https://www.instagram.com/ezpawnofficial/</w:t>
      </w:r>
    </w:p>
    <w:p>
      <w:pPr>
        <w:pStyle w:val="TextBody"/>
        <w:spacing w:lineRule="auto" w:line="288" w:before="120" w:after="283"/>
        <w:rPr>
          <w:rFonts w:ascii="Arial Narrow;sans-serif" w:hAnsi="Arial Narrow;sans-serif"/>
          <w:b w:val="false"/>
          <w:color w:val="000000"/>
          <w:sz w:val="20"/>
        </w:rPr>
      </w:pPr>
      <w:r>
        <w:rPr>
          <w:rFonts w:ascii="Arial Narrow;sans-serif" w:hAnsi="Arial Narrow;sans-serif"/>
          <w:b w:val="false"/>
          <w:color w:val="000000"/>
          <w:sz w:val="20"/>
        </w:rPr>
        <w:t>EZCORP Linked In https://www.linkedin.com/company/ezcorp/</w:t>
      </w:r>
    </w:p>
    <w:p>
      <w:pPr>
        <w:pStyle w:val="TextBody"/>
        <w:spacing w:before="0" w:after="0"/>
        <w:rPr/>
      </w:pPr>
      <w:r>
        <w:rPr/>
      </w:r>
    </w:p>
    <w:p>
      <w:pPr>
        <w:pStyle w:val="TextBody"/>
        <w:spacing w:lineRule="auto" w:line="288" w:before="0" w:after="0"/>
        <w:rPr>
          <w:rFonts w:ascii="Arial Narrow;sans-serif" w:hAnsi="Arial Narrow;sans-serif"/>
          <w:b/>
          <w:color w:val="000000"/>
          <w:sz w:val="20"/>
        </w:rPr>
      </w:pPr>
      <w:r>
        <w:rPr>
          <w:rFonts w:ascii="Arial Narrow;sans-serif" w:hAnsi="Arial Narrow;sans-serif"/>
          <w:b/>
          <w:color w:val="000000"/>
          <w:sz w:val="20"/>
        </w:rPr>
        <w:t>FORWARD LOOKING STATEMENTS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Contact:</w:t>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Email: Investor_Relations@ezcorp.com</w:t>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Phone: (512) 314-2220</w:t>
      </w:r>
    </w:p>
    <w:p>
      <w:pPr>
        <w:pStyle w:val="TextBody"/>
        <w:spacing w:before="0" w:after="0"/>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lineRule="auto" w:line="288" w:before="180" w:after="283"/>
        <w:rPr/>
      </w:pPr>
      <w:r>
        <w:rPr>
          <w:rFonts w:ascii="Times New Roman;sans-serif" w:hAnsi="Times New Roman;sans-serif"/>
          <w:b w:val="false"/>
          <w:i/>
          <w:color w:val="000000"/>
          <w:sz w:val="16"/>
        </w:rPr>
        <w:t>Note: Percentages are calculated from the underlying numbers in thousands and, as a result, may not agree to the percentages calculated from numbers in millions.</w:t>
        <w:br/>
      </w:r>
      <w:r>
        <w:rPr>
          <w:rFonts w:ascii="Times New Roman;sans-serif" w:hAnsi="Times New Roman;sans-serif"/>
          <w:b w:val="false"/>
          <w:i/>
          <w:color w:val="000000"/>
          <w:sz w:val="10"/>
        </w:rPr>
        <w:t>1</w:t>
      </w:r>
      <w:r>
        <w:rPr>
          <w:color w:val="000000"/>
        </w:rPr>
        <w:t>“</w:t>
      </w:r>
      <w:r>
        <w:rPr>
          <w:rFonts w:ascii="Times New Roman;sans-serif" w:hAnsi="Times New Roman;sans-serif"/>
          <w:b w:val="false"/>
          <w:i/>
          <w:color w:val="000000"/>
          <w:sz w:val="16"/>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 For additional information about these calculations, as well as a reconciliation to the most comparable GAAP financial measures, see “Non-GAAP Financial Information” at the end of this release.</w:t>
      </w:r>
    </w:p>
    <w:p>
      <w:pPr>
        <w:pStyle w:val="TextBody"/>
        <w:spacing w:lineRule="auto" w:line="276" w:before="0" w:after="0"/>
        <w:rPr/>
      </w:pPr>
      <w:r>
        <w:rPr>
          <w:rFonts w:ascii="Times New Roman;sans-serif" w:hAnsi="Times New Roman;sans-serif"/>
          <w:b w:val="false"/>
          <w:i/>
          <w:color w:val="000000"/>
          <w:sz w:val="10"/>
        </w:rPr>
        <w:t>2</w:t>
      </w:r>
      <w:r>
        <w:rPr>
          <w:color w:val="000000"/>
        </w:rPr>
        <w:t>“</w:t>
      </w:r>
      <w:r>
        <w:rPr>
          <w:rFonts w:ascii="Times New Roman;sans-serif" w:hAnsi="Times New Roman;sans-serif"/>
          <w:b w:val="false"/>
          <w:i/>
          <w:color w:val="000000"/>
          <w:sz w:val="16"/>
        </w:rPr>
        <w:t>Same Store” basis, which is a financial measure, includes stores open the entirety of the comparable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w:t>
      </w:r>
    </w:p>
    <w:p>
      <w:pPr>
        <w:pStyle w:val="TextBody"/>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8131" w:type="dxa"/>
        <w:jc w:val="left"/>
        <w:tblInd w:w="0" w:type="dxa"/>
        <w:tblCellMar>
          <w:top w:w="28" w:type="dxa"/>
          <w:left w:w="28" w:type="dxa"/>
          <w:bottom w:w="28" w:type="dxa"/>
          <w:right w:w="28" w:type="dxa"/>
        </w:tblCellMar>
      </w:tblPr>
      <w:tblGrid>
        <w:gridCol w:w="1061"/>
        <w:gridCol w:w="930"/>
        <w:gridCol w:w="934"/>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54"/>
      </w:tblGrid>
      <w:tr>
        <w:trPr/>
        <w:tc>
          <w:tcPr>
            <w:tcW w:w="1061"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133,556 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271,276 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76,683 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258,423 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215,982 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522,750 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436,976 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97,339 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165,357 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149,182 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128,928 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301,679 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261,039 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202,072 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122,449 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104,723 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246,700 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214,618 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26,733 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24,205 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54,979 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46,421 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income before income taxes</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(7,340)</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20,123 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17,198 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41,470 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(benefit) tax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(loss) income </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30,608 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share </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82,407 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CellMar>
          <w:top w:w="28" w:type="dxa"/>
          <w:left w:w="28" w:type="dxa"/>
          <w:bottom w:w="28" w:type="dxa"/>
          <w:right w:w="28" w:type="dxa"/>
        </w:tblCellMar>
      </w:tblPr>
      <w:tblGrid>
        <w:gridCol w:w="2392"/>
        <w:gridCol w:w="1961"/>
        <w:gridCol w:w="1968"/>
        <w:gridCol w:w="181"/>
        <w:gridCol w:w="766"/>
        <w:gridCol w:w="109"/>
        <w:gridCol w:w="109"/>
        <w:gridCol w:w="109"/>
        <w:gridCol w:w="109"/>
        <w:gridCol w:w="181"/>
        <w:gridCol w:w="766"/>
        <w:gridCol w:w="109"/>
        <w:gridCol w:w="109"/>
        <w:gridCol w:w="109"/>
        <w:gridCol w:w="109"/>
        <w:gridCol w:w="183"/>
        <w:gridCol w:w="776"/>
        <w:gridCol w:w="159"/>
      </w:tblGrid>
      <w:tr>
        <w:trPr/>
        <w:tc>
          <w:tcPr>
            <w:tcW w:w="2392" w:type="dxa"/>
            <w:tcBorders/>
            <w:shd w:fill="auto" w:val="clear"/>
            <w:vAlign w:val="center"/>
          </w:tcPr>
          <w:p>
            <w:pPr>
              <w:pStyle w:val="TableContents"/>
              <w:spacing w:before="0" w:after="283"/>
              <w:rPr>
                <w:sz w:val="4"/>
                <w:szCs w:val="4"/>
              </w:rPr>
            </w:pPr>
            <w:r>
              <w:rPr>
                <w:sz w:val="4"/>
                <w:szCs w:val="4"/>
              </w:rPr>
            </w:r>
          </w:p>
        </w:tc>
        <w:tc>
          <w:tcPr>
            <w:tcW w:w="1961"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br/>
              <w:t>2022</w:t>
            </w:r>
          </w:p>
        </w:tc>
      </w:tr>
      <w:tr>
        <w:trPr/>
        <w:tc>
          <w:tcPr>
            <w:tcW w:w="6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45" w:type="dxa"/>
            <w:gridSpan w:val="6"/>
            <w:tcBorders/>
            <w:shd w:fill="auto" w:val="clea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254,964 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206,028 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8,341 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173,618 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210,009 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33,476 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27,267 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34,694 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686,652 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612,771 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644,163 </w:t>
            </w:r>
          </w:p>
        </w:tc>
        <w:tc>
          <w:tcPr>
            <w:tcW w:w="15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37,733 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 net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234,287 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204,343 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221,405 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286,214 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286,828 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62,145 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56,819 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 net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6,625 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1,420,532 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1,299,996 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72,695 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69,695 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84,509 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16,023 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52,334 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145,377 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137,187 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152,866 </w:t>
            </w:r>
          </w:p>
        </w:tc>
        <w:tc>
          <w:tcPr>
            <w:tcW w:w="15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359,287 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312,168 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312,903 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191,874 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180,756 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8,749 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707,944 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624,980 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655,647 </w:t>
            </w:r>
          </w:p>
        </w:tc>
        <w:tc>
          <w:tcPr>
            <w:tcW w:w="15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$0.01per share; shares authorized: 100 million; issued and outstanding: 52,561,071 as of March 31, 2023; 53,685,333 as of March 31, 2022; and 53,454,885 as of September 30, 2022</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534 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343,088 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341,913 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345,330 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405,961 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384,246 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402,006 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(37,017)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(55,669)</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712,588 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675,016 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692,231 </w:t>
            </w:r>
          </w:p>
        </w:tc>
        <w:tc>
          <w:tcPr>
            <w:tcW w:w="15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1" w:type="dxa"/>
            <w:gridSpan w:val="3"/>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1,420,532 </w:t>
            </w:r>
          </w:p>
        </w:tc>
        <w:tc>
          <w:tcPr>
            <w:tcW w:w="109" w:type="dxa"/>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1,299,996 </w:t>
            </w:r>
          </w:p>
        </w:tc>
        <w:tc>
          <w:tcPr>
            <w:tcW w:w="109" w:type="dxa"/>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83" w:type="dxa"/>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9" w:type="dxa"/>
            <w:tcBorders>
              <w:top w:val="single" w:sz="4" w:space="0" w:color="000000"/>
              <w:bottom w:val="single" w:sz="1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786" w:type="dxa"/>
        <w:jc w:val="left"/>
        <w:tblInd w:w="0" w:type="dxa"/>
        <w:tblCellMar>
          <w:top w:w="28" w:type="dxa"/>
          <w:left w:w="28" w:type="dxa"/>
          <w:bottom w:w="28" w:type="dxa"/>
          <w:right w:w="28" w:type="dxa"/>
        </w:tblCellMar>
      </w:tblPr>
      <w:tblGrid>
        <w:gridCol w:w="1926"/>
        <w:gridCol w:w="1697"/>
        <w:gridCol w:w="1701"/>
        <w:gridCol w:w="181"/>
        <w:gridCol w:w="646"/>
        <w:gridCol w:w="109"/>
        <w:gridCol w:w="109"/>
        <w:gridCol w:w="109"/>
        <w:gridCol w:w="109"/>
        <w:gridCol w:w="181"/>
        <w:gridCol w:w="646"/>
        <w:gridCol w:w="109"/>
        <w:gridCol w:w="109"/>
        <w:gridCol w:w="154"/>
      </w:tblGrid>
      <w:tr>
        <w:trPr/>
        <w:tc>
          <w:tcPr>
            <w:tcW w:w="1926"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on extinguishment of debt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Service charges and fees receivable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(43,969)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(50,258)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46,827 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30,575 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(378,717)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(329,459)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199,836 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171,504 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129,311 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(18,439)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(12,968)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notes receivable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(40,649)</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(31,887)</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on extinguishment of debt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(178,488)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Repurchase of common stock</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(10,978)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29,976 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37,210 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at beginning of period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at end of period</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251,579 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263,677 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OPERATING SEGMENT RESULTS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805"/>
        <w:gridCol w:w="648"/>
        <w:gridCol w:w="622"/>
        <w:gridCol w:w="181"/>
        <w:gridCol w:w="646"/>
        <w:gridCol w:w="109"/>
        <w:gridCol w:w="109"/>
        <w:gridCol w:w="109"/>
        <w:gridCol w:w="109"/>
        <w:gridCol w:w="253"/>
        <w:gridCol w:w="799"/>
        <w:gridCol w:w="152"/>
        <w:gridCol w:w="109"/>
        <w:gridCol w:w="109"/>
        <w:gridCol w:w="109"/>
        <w:gridCol w:w="244"/>
        <w:gridCol w:w="772"/>
        <w:gridCol w:w="148"/>
        <w:gridCol w:w="109"/>
        <w:gridCol w:w="109"/>
        <w:gridCol w:w="109"/>
        <w:gridCol w:w="206"/>
        <w:gridCol w:w="738"/>
        <w:gridCol w:w="124"/>
        <w:gridCol w:w="109"/>
        <w:gridCol w:w="109"/>
        <w:gridCol w:w="109"/>
        <w:gridCol w:w="213"/>
        <w:gridCol w:w="708"/>
        <w:gridCol w:w="128"/>
        <w:gridCol w:w="109"/>
        <w:gridCol w:w="109"/>
        <w:gridCol w:w="109"/>
        <w:gridCol w:w="196"/>
        <w:gridCol w:w="701"/>
        <w:gridCol w:w="177"/>
      </w:tblGrid>
      <w:tr>
        <w:trPr/>
        <w:tc>
          <w:tcPr>
            <w:tcW w:w="805"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0"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2023</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108,740 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43,767 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152,507 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152,507 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12,825 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12,825 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23,085 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93,030 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93,030 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188,531 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69,882 </w:t>
            </w:r>
          </w:p>
        </w:tc>
        <w:tc>
          <w:tcPr>
            <w:tcW w:w="15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258,423 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258,423 </w:t>
            </w:r>
          </w:p>
        </w:tc>
        <w:tc>
          <w:tcPr>
            <w:tcW w:w="177"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67,643 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29,696 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97,339 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97,339 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3,352 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11,902 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11,902 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cost of revenues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112,338 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36,834 </w:t>
            </w:r>
          </w:p>
        </w:tc>
        <w:tc>
          <w:tcPr>
            <w:tcW w:w="15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149,182 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149,182 </w:t>
            </w:r>
          </w:p>
        </w:tc>
        <w:tc>
          <w:tcPr>
            <w:tcW w:w="177"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29,323 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101,269 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101,269 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2,332 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4,892 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3,071 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7,963 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loss on sale or disposal of assets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(1,599)</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(1,898)</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37,752 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7,996 </w:t>
            </w:r>
          </w:p>
        </w:tc>
        <w:tc>
          <w:tcPr>
            <w:tcW w:w="15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2"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(32,497)</w:t>
            </w:r>
          </w:p>
        </w:tc>
        <w:tc>
          <w:tcPr>
            <w:tcW w:w="14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13,251 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06"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13,251 </w:t>
            </w:r>
          </w:p>
        </w:tc>
        <w:tc>
          <w:tcPr>
            <w:tcW w:w="124"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13"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(20,591)</w:t>
            </w:r>
          </w:p>
        </w:tc>
        <w:tc>
          <w:tcPr>
            <w:tcW w:w="128"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(7,340)</w:t>
            </w:r>
          </w:p>
        </w:tc>
        <w:tc>
          <w:tcPr>
            <w:tcW w:w="177"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100" w:after="283"/>
        <w:rPr/>
      </w:pPr>
      <w:r>
        <w:rPr/>
      </w:r>
    </w:p>
    <w:p>
      <w:pPr>
        <w:pStyle w:val="TextBody"/>
        <w:spacing w:before="10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823"/>
        <w:gridCol w:w="660"/>
        <w:gridCol w:w="632"/>
        <w:gridCol w:w="181"/>
        <w:gridCol w:w="646"/>
        <w:gridCol w:w="109"/>
        <w:gridCol w:w="109"/>
        <w:gridCol w:w="109"/>
        <w:gridCol w:w="109"/>
        <w:gridCol w:w="250"/>
        <w:gridCol w:w="789"/>
        <w:gridCol w:w="150"/>
        <w:gridCol w:w="109"/>
        <w:gridCol w:w="109"/>
        <w:gridCol w:w="109"/>
        <w:gridCol w:w="265"/>
        <w:gridCol w:w="728"/>
        <w:gridCol w:w="160"/>
        <w:gridCol w:w="109"/>
        <w:gridCol w:w="109"/>
        <w:gridCol w:w="109"/>
        <w:gridCol w:w="205"/>
        <w:gridCol w:w="734"/>
        <w:gridCol w:w="123"/>
        <w:gridCol w:w="109"/>
        <w:gridCol w:w="109"/>
        <w:gridCol w:w="109"/>
        <w:gridCol w:w="212"/>
        <w:gridCol w:w="702"/>
        <w:gridCol w:w="128"/>
        <w:gridCol w:w="109"/>
        <w:gridCol w:w="109"/>
        <w:gridCol w:w="109"/>
        <w:gridCol w:w="196"/>
        <w:gridCol w:w="701"/>
        <w:gridCol w:w="176"/>
      </w:tblGrid>
      <w:tr>
        <w:trPr/>
        <w:tc>
          <w:tcPr>
            <w:tcW w:w="823"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0"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2022</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33,492 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133,556 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133,556 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5,690 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5,690 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17,911 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76,683 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76,683 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162,340 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53,613 </w:t>
            </w:r>
          </w:p>
        </w:tc>
        <w:tc>
          <w:tcPr>
            <w:tcW w:w="15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6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215,982 </w:t>
            </w:r>
          </w:p>
        </w:tc>
        <w:tc>
          <w:tcPr>
            <w:tcW w:w="12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215,982 </w:t>
            </w:r>
          </w:p>
        </w:tc>
        <w:tc>
          <w:tcPr>
            <w:tcW w:w="176"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23,633 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82,246 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82,246 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4,808 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4,808 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100,929 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27,970 </w:t>
            </w:r>
          </w:p>
        </w:tc>
        <w:tc>
          <w:tcPr>
            <w:tcW w:w="15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6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128,928 </w:t>
            </w:r>
          </w:p>
        </w:tc>
        <w:tc>
          <w:tcPr>
            <w:tcW w:w="12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128,928 </w:t>
            </w:r>
          </w:p>
        </w:tc>
        <w:tc>
          <w:tcPr>
            <w:tcW w:w="176"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85,743 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85,743 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4,516 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2,934 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of disposal of assets and other</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33,812 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4,758 </w:t>
            </w:r>
          </w:p>
        </w:tc>
        <w:tc>
          <w:tcPr>
            <w:tcW w:w="15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(1,418)</w:t>
            </w:r>
          </w:p>
        </w:tc>
        <w:tc>
          <w:tcPr>
            <w:tcW w:w="16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37,152 </w:t>
            </w:r>
          </w:p>
        </w:tc>
        <w:tc>
          <w:tcPr>
            <w:tcW w:w="12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37,152 </w:t>
            </w:r>
          </w:p>
        </w:tc>
        <w:tc>
          <w:tcPr>
            <w:tcW w:w="123"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12"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(17,029)</w:t>
            </w:r>
          </w:p>
        </w:tc>
        <w:tc>
          <w:tcPr>
            <w:tcW w:w="128"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20,123 </w:t>
            </w:r>
          </w:p>
        </w:tc>
        <w:tc>
          <w:tcPr>
            <w:tcW w:w="176"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280" w:after="283"/>
        <w:rPr/>
      </w:pPr>
      <w:r>
        <w:rPr/>
      </w:r>
    </w:p>
    <w:p>
      <w:pPr>
        <w:pStyle w:val="TextBody"/>
        <w:spacing w:before="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808"/>
        <w:gridCol w:w="644"/>
        <w:gridCol w:w="618"/>
        <w:gridCol w:w="181"/>
        <w:gridCol w:w="646"/>
        <w:gridCol w:w="109"/>
        <w:gridCol w:w="109"/>
        <w:gridCol w:w="109"/>
        <w:gridCol w:w="109"/>
        <w:gridCol w:w="253"/>
        <w:gridCol w:w="800"/>
        <w:gridCol w:w="152"/>
        <w:gridCol w:w="109"/>
        <w:gridCol w:w="109"/>
        <w:gridCol w:w="109"/>
        <w:gridCol w:w="244"/>
        <w:gridCol w:w="772"/>
        <w:gridCol w:w="148"/>
        <w:gridCol w:w="109"/>
        <w:gridCol w:w="109"/>
        <w:gridCol w:w="109"/>
        <w:gridCol w:w="206"/>
        <w:gridCol w:w="739"/>
        <w:gridCol w:w="124"/>
        <w:gridCol w:w="109"/>
        <w:gridCol w:w="109"/>
        <w:gridCol w:w="109"/>
        <w:gridCol w:w="214"/>
        <w:gridCol w:w="709"/>
        <w:gridCol w:w="129"/>
        <w:gridCol w:w="109"/>
        <w:gridCol w:w="109"/>
        <w:gridCol w:w="109"/>
        <w:gridCol w:w="196"/>
        <w:gridCol w:w="701"/>
        <w:gridCol w:w="177"/>
      </w:tblGrid>
      <w:tr>
        <w:trPr/>
        <w:tc>
          <w:tcPr>
            <w:tcW w:w="808"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5"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2023</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227,054 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89,240 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316,294 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316,294 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3,719 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20,709 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20,709 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46,368 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185,623 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185,623 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383,356 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139,362 </w:t>
            </w:r>
          </w:p>
        </w:tc>
        <w:tc>
          <w:tcPr>
            <w:tcW w:w="15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4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522,750 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522,750 </w:t>
            </w:r>
          </w:p>
        </w:tc>
        <w:tc>
          <w:tcPr>
            <w:tcW w:w="177"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140,899 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61,317 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202,216 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202,216 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4,089 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18,855 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18,855 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227,691 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73,956 </w:t>
            </w:r>
          </w:p>
        </w:tc>
        <w:tc>
          <w:tcPr>
            <w:tcW w:w="15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4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301,679 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301,679 </w:t>
            </w:r>
          </w:p>
        </w:tc>
        <w:tc>
          <w:tcPr>
            <w:tcW w:w="177"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145,250 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56,822 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202,072 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202,072 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31,088 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31,085 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4,547 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9,862 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6,089 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15,951 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charges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(2,094)</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(2,562)</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extinguishment of debt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77,043 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15,525 </w:t>
            </w:r>
          </w:p>
        </w:tc>
        <w:tc>
          <w:tcPr>
            <w:tcW w:w="152"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2"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(30,895)</w:t>
            </w:r>
          </w:p>
        </w:tc>
        <w:tc>
          <w:tcPr>
            <w:tcW w:w="14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61,673 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06"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61,673 </w:t>
            </w:r>
          </w:p>
        </w:tc>
        <w:tc>
          <w:tcPr>
            <w:tcW w:w="124"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14"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(44,475)</w:t>
            </w:r>
          </w:p>
        </w:tc>
        <w:tc>
          <w:tcPr>
            <w:tcW w:w="129"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17,198 </w:t>
            </w:r>
          </w:p>
        </w:tc>
        <w:tc>
          <w:tcPr>
            <w:tcW w:w="177"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823"/>
        <w:gridCol w:w="660"/>
        <w:gridCol w:w="632"/>
        <w:gridCol w:w="181"/>
        <w:gridCol w:w="646"/>
        <w:gridCol w:w="109"/>
        <w:gridCol w:w="109"/>
        <w:gridCol w:w="109"/>
        <w:gridCol w:w="109"/>
        <w:gridCol w:w="250"/>
        <w:gridCol w:w="789"/>
        <w:gridCol w:w="150"/>
        <w:gridCol w:w="109"/>
        <w:gridCol w:w="109"/>
        <w:gridCol w:w="109"/>
        <w:gridCol w:w="300"/>
        <w:gridCol w:w="673"/>
        <w:gridCol w:w="181"/>
        <w:gridCol w:w="109"/>
        <w:gridCol w:w="109"/>
        <w:gridCol w:w="109"/>
        <w:gridCol w:w="205"/>
        <w:gridCol w:w="734"/>
        <w:gridCol w:w="123"/>
        <w:gridCol w:w="109"/>
        <w:gridCol w:w="109"/>
        <w:gridCol w:w="109"/>
        <w:gridCol w:w="212"/>
        <w:gridCol w:w="702"/>
        <w:gridCol w:w="128"/>
        <w:gridCol w:w="109"/>
        <w:gridCol w:w="109"/>
        <w:gridCol w:w="109"/>
        <w:gridCol w:w="196"/>
        <w:gridCol w:w="701"/>
        <w:gridCol w:w="175"/>
      </w:tblGrid>
      <w:tr>
        <w:trPr/>
        <w:tc>
          <w:tcPr>
            <w:tcW w:w="823"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0"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2022</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202,142 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69,134 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3"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271,276 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271,276 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12,634 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12,634 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37,379 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152,708 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152,708 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325,977 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110,927 </w:t>
            </w:r>
          </w:p>
        </w:tc>
        <w:tc>
          <w:tcPr>
            <w:tcW w:w="15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436,976 </w:t>
            </w:r>
          </w:p>
        </w:tc>
        <w:tc>
          <w:tcPr>
            <w:tcW w:w="12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436,976 </w:t>
            </w:r>
          </w:p>
        </w:tc>
        <w:tc>
          <w:tcPr>
            <w:tcW w:w="175"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48,912 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165,357 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165,357 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3,807 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10,580 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10,580 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202,759 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58,208 </w:t>
            </w:r>
          </w:p>
        </w:tc>
        <w:tc>
          <w:tcPr>
            <w:tcW w:w="15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261,039 </w:t>
            </w:r>
          </w:p>
        </w:tc>
        <w:tc>
          <w:tcPr>
            <w:tcW w:w="12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261,039 </w:t>
            </w:r>
          </w:p>
        </w:tc>
        <w:tc>
          <w:tcPr>
            <w:tcW w:w="175"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43,333 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172,514 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172,514 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27,772 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27,772 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9,166 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15,024 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 and other</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Charges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68,283 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11,245 </w:t>
            </w:r>
          </w:p>
        </w:tc>
        <w:tc>
          <w:tcPr>
            <w:tcW w:w="15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79,303 </w:t>
            </w:r>
          </w:p>
        </w:tc>
        <w:tc>
          <w:tcPr>
            <w:tcW w:w="12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79,303 </w:t>
            </w:r>
          </w:p>
        </w:tc>
        <w:tc>
          <w:tcPr>
            <w:tcW w:w="123"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12"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(37,833)</w:t>
            </w:r>
          </w:p>
        </w:tc>
        <w:tc>
          <w:tcPr>
            <w:tcW w:w="128"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41,470 </w:t>
            </w:r>
          </w:p>
        </w:tc>
        <w:tc>
          <w:tcPr>
            <w:tcW w:w="175"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EZCORP, Inc.</w:t>
      </w:r>
    </w:p>
    <w:p>
      <w:pPr>
        <w:pStyle w:val="TextBody"/>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STORE COUNT ACTIVITY</w:t>
      </w:r>
    </w:p>
    <w:p>
      <w:pPr>
        <w:pStyle w:val="TextBody"/>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6170" w:type="dxa"/>
        <w:jc w:val="center"/>
        <w:tblInd w:w="0" w:type="dxa"/>
        <w:tblCellMar>
          <w:top w:w="28" w:type="dxa"/>
          <w:left w:w="28" w:type="dxa"/>
          <w:bottom w:w="28" w:type="dxa"/>
          <w:right w:w="28" w:type="dxa"/>
        </w:tblCellMar>
      </w:tblPr>
      <w:tblGrid>
        <w:gridCol w:w="629"/>
        <w:gridCol w:w="553"/>
        <w:gridCol w:w="557"/>
        <w:gridCol w:w="280"/>
        <w:gridCol w:w="280"/>
        <w:gridCol w:w="280"/>
        <w:gridCol w:w="171"/>
        <w:gridCol w:w="171"/>
        <w:gridCol w:w="171"/>
        <w:gridCol w:w="499"/>
        <w:gridCol w:w="499"/>
        <w:gridCol w:w="501"/>
        <w:gridCol w:w="171"/>
        <w:gridCol w:w="171"/>
        <w:gridCol w:w="171"/>
        <w:gridCol w:w="312"/>
        <w:gridCol w:w="312"/>
        <w:gridCol w:w="442"/>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1"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2023</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2022</w:t>
            </w:r>
          </w:p>
        </w:tc>
        <w:tc>
          <w:tcPr>
            <w:tcW w:w="5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661 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1,186 </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2023</w:t>
            </w:r>
          </w:p>
        </w:tc>
        <w:tc>
          <w:tcPr>
            <w:tcW w:w="560" w:type="dxa"/>
            <w:gridSpan w:val="2"/>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527 </w:t>
            </w:r>
          </w:p>
        </w:tc>
        <w:tc>
          <w:tcPr>
            <w:tcW w:w="280" w:type="dxa"/>
            <w:tcBorders>
              <w:bottom w:val="single" w:sz="1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13"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98" w:type="dxa"/>
            <w:gridSpan w:val="2"/>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501" w:type="dxa"/>
            <w:tcBorders>
              <w:bottom w:val="single" w:sz="1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13"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24" w:type="dxa"/>
            <w:gridSpan w:val="2"/>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1,199 </w:t>
            </w:r>
          </w:p>
        </w:tc>
        <w:tc>
          <w:tcPr>
            <w:tcW w:w="442" w:type="dxa"/>
            <w:tcBorders>
              <w:bottom w:val="single" w:sz="1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tbl>
      <w:tblPr>
        <w:tblW w:w="6170" w:type="dxa"/>
        <w:jc w:val="left"/>
        <w:tblInd w:w="0" w:type="dxa"/>
        <w:tblCellMar>
          <w:top w:w="28" w:type="dxa"/>
          <w:left w:w="28" w:type="dxa"/>
          <w:bottom w:w="28" w:type="dxa"/>
          <w:right w:w="28" w:type="dxa"/>
        </w:tblCellMar>
      </w:tblPr>
      <w:tblGrid>
        <w:gridCol w:w="629"/>
        <w:gridCol w:w="553"/>
        <w:gridCol w:w="557"/>
        <w:gridCol w:w="280"/>
        <w:gridCol w:w="280"/>
        <w:gridCol w:w="280"/>
        <w:gridCol w:w="171"/>
        <w:gridCol w:w="171"/>
        <w:gridCol w:w="171"/>
        <w:gridCol w:w="499"/>
        <w:gridCol w:w="499"/>
        <w:gridCol w:w="501"/>
        <w:gridCol w:w="171"/>
        <w:gridCol w:w="171"/>
        <w:gridCol w:w="171"/>
        <w:gridCol w:w="312"/>
        <w:gridCol w:w="312"/>
        <w:gridCol w:w="442"/>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1"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2022</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2021</w:t>
            </w:r>
          </w:p>
        </w:tc>
        <w:tc>
          <w:tcPr>
            <w:tcW w:w="5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1,149 </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2022</w:t>
            </w:r>
          </w:p>
        </w:tc>
        <w:tc>
          <w:tcPr>
            <w:tcW w:w="560" w:type="dxa"/>
            <w:gridSpan w:val="2"/>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0" w:type="dxa"/>
            <w:tcBorders>
              <w:bottom w:val="single" w:sz="1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13"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98" w:type="dxa"/>
            <w:gridSpan w:val="2"/>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636 </w:t>
            </w:r>
          </w:p>
        </w:tc>
        <w:tc>
          <w:tcPr>
            <w:tcW w:w="501" w:type="dxa"/>
            <w:tcBorders>
              <w:bottom w:val="single" w:sz="1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13"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24" w:type="dxa"/>
            <w:gridSpan w:val="2"/>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1,152 </w:t>
            </w:r>
          </w:p>
        </w:tc>
        <w:tc>
          <w:tcPr>
            <w:tcW w:w="442" w:type="dxa"/>
            <w:tcBorders>
              <w:bottom w:val="single" w:sz="1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148" w:type="dxa"/>
        <w:jc w:val="center"/>
        <w:tblInd w:w="0" w:type="dxa"/>
        <w:tblCellMar>
          <w:top w:w="28" w:type="dxa"/>
          <w:left w:w="28" w:type="dxa"/>
          <w:bottom w:w="28" w:type="dxa"/>
          <w:right w:w="28" w:type="dxa"/>
        </w:tblCellMar>
      </w:tblPr>
      <w:tblGrid>
        <w:gridCol w:w="843"/>
        <w:gridCol w:w="740"/>
        <w:gridCol w:w="74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843"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48" w:type="dxa"/>
            <w:gridSpan w:val="1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2023</w:t>
            </w:r>
          </w:p>
        </w:tc>
        <w:tc>
          <w:tcPr>
            <w:tcW w:w="1175" w:type="dxa"/>
            <w:gridSpan w:val="4"/>
            <w:tcBorders/>
            <w:shd w:fill="auto" w:val="clea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2022</w:t>
            </w:r>
          </w:p>
        </w:tc>
        <w:tc>
          <w:tcPr>
            <w:tcW w:w="5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sold, combined or closed</w:t>
            </w:r>
          </w:p>
        </w:tc>
        <w:tc>
          <w:tcPr>
            <w:tcW w:w="5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2023</w:t>
            </w:r>
          </w:p>
        </w:tc>
        <w:tc>
          <w:tcPr>
            <w:tcW w:w="560" w:type="dxa"/>
            <w:gridSpan w:val="2"/>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527 </w:t>
            </w:r>
          </w:p>
        </w:tc>
        <w:tc>
          <w:tcPr>
            <w:tcW w:w="280"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50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1,199 </w:t>
            </w:r>
          </w:p>
        </w:tc>
        <w:tc>
          <w:tcPr>
            <w:tcW w:w="442"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149" w:type="dxa"/>
        <w:jc w:val="center"/>
        <w:tblInd w:w="0" w:type="dxa"/>
        <w:tblCellMar>
          <w:top w:w="28" w:type="dxa"/>
          <w:left w:w="28" w:type="dxa"/>
          <w:bottom w:w="28" w:type="dxa"/>
          <w:right w:w="28" w:type="dxa"/>
        </w:tblCellMar>
      </w:tblPr>
      <w:tblGrid>
        <w:gridCol w:w="647"/>
        <w:gridCol w:w="568"/>
        <w:gridCol w:w="570"/>
        <w:gridCol w:w="279"/>
        <w:gridCol w:w="279"/>
        <w:gridCol w:w="281"/>
        <w:gridCol w:w="160"/>
        <w:gridCol w:w="160"/>
        <w:gridCol w:w="160"/>
        <w:gridCol w:w="499"/>
        <w:gridCol w:w="499"/>
        <w:gridCol w:w="501"/>
        <w:gridCol w:w="160"/>
        <w:gridCol w:w="160"/>
        <w:gridCol w:w="160"/>
        <w:gridCol w:w="312"/>
        <w:gridCol w:w="312"/>
        <w:gridCol w:w="442"/>
      </w:tblGrid>
      <w:tr>
        <w:trPr/>
        <w:tc>
          <w:tcPr>
            <w:tcW w:w="64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4"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2022</w:t>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2021</w:t>
            </w:r>
          </w:p>
        </w:tc>
        <w:tc>
          <w:tcPr>
            <w:tcW w:w="5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1,148 </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4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2022</w:t>
            </w:r>
          </w:p>
        </w:tc>
        <w:tc>
          <w:tcPr>
            <w:tcW w:w="55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9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636 </w:t>
            </w:r>
          </w:p>
        </w:tc>
        <w:tc>
          <w:tcPr>
            <w:tcW w:w="50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24"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1,152 </w:t>
            </w:r>
          </w:p>
        </w:tc>
        <w:tc>
          <w:tcPr>
            <w:tcW w:w="442"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Non-GAAP Financial Information (Unaudited)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six months ended March 31, 2023 and 2022 were as follows:</w:t>
      </w:r>
    </w:p>
    <w:tbl>
      <w:tblPr>
        <w:tblW w:w="7158" w:type="dxa"/>
        <w:jc w:val="left"/>
        <w:tblInd w:w="0" w:type="dxa"/>
        <w:tblCellMar>
          <w:top w:w="28" w:type="dxa"/>
          <w:left w:w="28" w:type="dxa"/>
          <w:bottom w:w="28" w:type="dxa"/>
          <w:right w:w="28" w:type="dxa"/>
        </w:tblCellMar>
      </w:tblPr>
      <w:tblGrid>
        <w:gridCol w:w="499"/>
        <w:gridCol w:w="438"/>
        <w:gridCol w:w="442"/>
        <w:gridCol w:w="109"/>
        <w:gridCol w:w="109"/>
        <w:gridCol w:w="109"/>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14"/>
        <w:gridCol w:w="207"/>
        <w:gridCol w:w="151"/>
        <w:gridCol w:w="151"/>
        <w:gridCol w:w="151"/>
        <w:gridCol w:w="151"/>
        <w:gridCol w:w="214"/>
        <w:gridCol w:w="207"/>
        <w:gridCol w:w="214"/>
      </w:tblGrid>
      <w:tr>
        <w:trPr/>
        <w:tc>
          <w:tcPr>
            <w:tcW w:w="49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51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45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Miscellaneous Non-GAAP Financial Measures</w:t>
      </w:r>
    </w:p>
    <w:tbl>
      <w:tblPr>
        <w:tblW w:w="4180" w:type="dxa"/>
        <w:jc w:val="left"/>
        <w:tblInd w:w="0" w:type="dxa"/>
        <w:tblCellMar>
          <w:top w:w="28" w:type="dxa"/>
          <w:left w:w="28" w:type="dxa"/>
          <w:bottom w:w="28" w:type="dxa"/>
          <w:right w:w="28" w:type="dxa"/>
        </w:tblCellMar>
      </w:tblPr>
      <w:tblGrid>
        <w:gridCol w:w="717"/>
        <w:gridCol w:w="630"/>
        <w:gridCol w:w="633"/>
        <w:gridCol w:w="181"/>
        <w:gridCol w:w="391"/>
        <w:gridCol w:w="109"/>
        <w:gridCol w:w="109"/>
        <w:gridCol w:w="109"/>
        <w:gridCol w:w="109"/>
        <w:gridCol w:w="181"/>
        <w:gridCol w:w="421"/>
        <w:gridCol w:w="109"/>
        <w:gridCol w:w="109"/>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millions)</w:t>
            </w:r>
          </w:p>
        </w:tc>
        <w:tc>
          <w:tcPr>
            <w:tcW w:w="6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8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09"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29.8 </w:t>
            </w:r>
          </w:p>
        </w:tc>
        <w:tc>
          <w:tcPr>
            <w:tcW w:w="109"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57"/>
        <w:gridCol w:w="226"/>
        <w:gridCol w:w="226"/>
        <w:gridCol w:w="226"/>
        <w:gridCol w:w="226"/>
        <w:gridCol w:w="226"/>
        <w:gridCol w:w="226"/>
        <w:gridCol w:w="226"/>
        <w:gridCol w:w="226"/>
        <w:gridCol w:w="231"/>
        <w:gridCol w:w="634"/>
        <w:gridCol w:w="139"/>
        <w:gridCol w:w="109"/>
        <w:gridCol w:w="109"/>
        <w:gridCol w:w="109"/>
        <w:gridCol w:w="204"/>
        <w:gridCol w:w="561"/>
        <w:gridCol w:w="123"/>
        <w:gridCol w:w="109"/>
        <w:gridCol w:w="109"/>
        <w:gridCol w:w="109"/>
        <w:gridCol w:w="284"/>
        <w:gridCol w:w="661"/>
        <w:gridCol w:w="171"/>
        <w:gridCol w:w="109"/>
        <w:gridCol w:w="109"/>
        <w:gridCol w:w="109"/>
        <w:gridCol w:w="205"/>
        <w:gridCol w:w="392"/>
        <w:gridCol w:w="123"/>
        <w:gridCol w:w="109"/>
        <w:gridCol w:w="109"/>
        <w:gridCol w:w="109"/>
        <w:gridCol w:w="207"/>
        <w:gridCol w:w="482"/>
        <w:gridCol w:w="124"/>
        <w:gridCol w:w="109"/>
        <w:gridCol w:w="109"/>
        <w:gridCol w:w="109"/>
        <w:gridCol w:w="210"/>
        <w:gridCol w:w="522"/>
        <w:gridCol w:w="126"/>
        <w:gridCol w:w="109"/>
        <w:gridCol w:w="109"/>
        <w:gridCol w:w="109"/>
        <w:gridCol w:w="183"/>
        <w:gridCol w:w="426"/>
        <w:gridCol w:w="170"/>
      </w:tblGrid>
      <w:tr>
        <w:trPr/>
        <w:tc>
          <w:tcPr>
            <w:tcW w:w="25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06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206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2023 Q2 Reported</w:t>
            </w:r>
          </w:p>
        </w:tc>
        <w:tc>
          <w:tcPr>
            <w:tcW w:w="2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CCV Impairment and discrete adjustments</w:t>
            </w:r>
          </w:p>
        </w:tc>
        <w:tc>
          <w:tcPr>
            <w:tcW w:w="8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Contingent consideration liability </w:t>
            </w:r>
          </w:p>
        </w:tc>
        <w:tc>
          <w:tcPr>
            <w:tcW w:w="8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Impact of dilutive instruments*</w:t>
            </w:r>
          </w:p>
        </w:tc>
        <w:tc>
          <w:tcPr>
            <w:tcW w:w="8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0.08 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8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9"/>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impact</w:t>
            </w:r>
          </w:p>
        </w:tc>
        <w:tc>
          <w:tcPr>
            <w:tcW w:w="8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9"/>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2023 Q2 Adjusted</w:t>
            </w:r>
          </w:p>
        </w:tc>
        <w:tc>
          <w:tcPr>
            <w:tcW w:w="23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253.8 </w:t>
            </w:r>
          </w:p>
        </w:tc>
        <w:tc>
          <w:tcPr>
            <w:tcW w:w="13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146.7 </w:t>
            </w:r>
          </w:p>
        </w:tc>
        <w:tc>
          <w:tcPr>
            <w:tcW w:w="12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171"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2"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7.0 </w:t>
            </w:r>
          </w:p>
        </w:tc>
        <w:tc>
          <w:tcPr>
            <w:tcW w:w="12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2"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17.0 </w:t>
            </w:r>
          </w:p>
        </w:tc>
        <w:tc>
          <w:tcPr>
            <w:tcW w:w="12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2"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0.23 </w:t>
            </w:r>
          </w:p>
        </w:tc>
        <w:tc>
          <w:tcPr>
            <w:tcW w:w="126"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33.3 </w:t>
            </w:r>
          </w:p>
        </w:tc>
        <w:tc>
          <w:tcPr>
            <w:tcW w:w="17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5"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Arial Narrow;sans-serif" w:hAnsi="Arial Narrow;sans-serif"/>
          <w:b w:val="false"/>
          <w:color w:val="000000"/>
          <w:sz w:val="20"/>
        </w:rPr>
      </w:pPr>
      <w:r>
        <w:rPr>
          <w:rFonts w:ascii="Arial Narrow;sans-serif" w:hAnsi="Arial Narrow;sans-serif"/>
          <w:b w:val="false"/>
          <w:color w:val="000000"/>
          <w:sz w:val="20"/>
        </w:rPr>
        <w:t xml:space="preserve">*Q2 Reported Diluted EPS calculated based on 55.6 million weighted average diluted shares outstanding and Q2 Adjusted Diluted EPS calculated based on weighted average diluted shares outstanding of 87.1 million </w:t>
      </w:r>
    </w:p>
    <w:tbl>
      <w:tblPr>
        <w:tblW w:w="9948" w:type="dxa"/>
        <w:jc w:val="left"/>
        <w:tblInd w:w="0" w:type="dxa"/>
        <w:tblCellMar>
          <w:top w:w="28" w:type="dxa"/>
          <w:left w:w="28" w:type="dxa"/>
          <w:bottom w:w="28" w:type="dxa"/>
          <w:right w:w="28" w:type="dxa"/>
        </w:tblCellMar>
      </w:tblPr>
      <w:tblGrid>
        <w:gridCol w:w="158"/>
        <w:gridCol w:w="139"/>
        <w:gridCol w:w="139"/>
        <w:gridCol w:w="139"/>
        <w:gridCol w:w="139"/>
        <w:gridCol w:w="139"/>
        <w:gridCol w:w="139"/>
        <w:gridCol w:w="139"/>
        <w:gridCol w:w="139"/>
        <w:gridCol w:w="266"/>
        <w:gridCol w:w="729"/>
        <w:gridCol w:w="160"/>
        <w:gridCol w:w="109"/>
        <w:gridCol w:w="109"/>
        <w:gridCol w:w="109"/>
        <w:gridCol w:w="221"/>
        <w:gridCol w:w="606"/>
        <w:gridCol w:w="133"/>
        <w:gridCol w:w="109"/>
        <w:gridCol w:w="109"/>
        <w:gridCol w:w="109"/>
        <w:gridCol w:w="355"/>
        <w:gridCol w:w="826"/>
        <w:gridCol w:w="214"/>
        <w:gridCol w:w="109"/>
        <w:gridCol w:w="109"/>
        <w:gridCol w:w="109"/>
        <w:gridCol w:w="222"/>
        <w:gridCol w:w="424"/>
        <w:gridCol w:w="133"/>
        <w:gridCol w:w="109"/>
        <w:gridCol w:w="109"/>
        <w:gridCol w:w="109"/>
        <w:gridCol w:w="181"/>
        <w:gridCol w:w="421"/>
        <w:gridCol w:w="109"/>
        <w:gridCol w:w="109"/>
        <w:gridCol w:w="109"/>
        <w:gridCol w:w="109"/>
        <w:gridCol w:w="244"/>
        <w:gridCol w:w="569"/>
        <w:gridCol w:w="147"/>
        <w:gridCol w:w="109"/>
        <w:gridCol w:w="109"/>
        <w:gridCol w:w="109"/>
        <w:gridCol w:w="181"/>
        <w:gridCol w:w="421"/>
        <w:gridCol w:w="154"/>
      </w:tblGrid>
      <w:tr>
        <w:trPr/>
        <w:tc>
          <w:tcPr>
            <w:tcW w:w="15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EBITDA</w:t>
            </w:r>
          </w:p>
        </w:tc>
      </w:tr>
      <w:tr>
        <w:trPr/>
        <w:tc>
          <w:tcPr>
            <w:tcW w:w="127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0"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2022 Q2 Reported</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216.0 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128.9 </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CCV Adjustment</w:t>
            </w:r>
          </w:p>
        </w:tc>
        <w:tc>
          <w:tcPr>
            <w:tcW w:w="9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83" w:type="dxa"/>
            <w:gridSpan w:val="6"/>
            <w:tcBorders/>
            <w:shd w:fill="auto" w:val="clear"/>
          </w:tcPr>
          <w:p>
            <w:pPr>
              <w:pStyle w:val="TableContents"/>
              <w:spacing w:before="0" w:after="283"/>
              <w:rPr>
                <w:sz w:val="4"/>
                <w:szCs w:val="4"/>
              </w:rPr>
            </w:pPr>
            <w:r>
              <w:rPr>
                <w:sz w:val="4"/>
                <w:szCs w:val="4"/>
              </w:rPr>
            </w:r>
          </w:p>
        </w:tc>
      </w:tr>
      <w:tr>
        <w:trPr/>
        <w:tc>
          <w:tcPr>
            <w:tcW w:w="436"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83" w:type="dxa"/>
            <w:gridSpan w:val="6"/>
            <w:tcBorders/>
            <w:shd w:fill="auto" w:val="clear"/>
          </w:tcPr>
          <w:p>
            <w:pPr>
              <w:pStyle w:val="TableContents"/>
              <w:spacing w:before="0" w:after="283"/>
              <w:rPr>
                <w:sz w:val="4"/>
                <w:szCs w:val="4"/>
              </w:rPr>
            </w:pPr>
            <w:r>
              <w:rPr>
                <w:sz w:val="4"/>
                <w:szCs w:val="4"/>
              </w:rPr>
            </w:r>
          </w:p>
        </w:tc>
      </w:tr>
      <w:tr>
        <w:trPr/>
        <w:tc>
          <w:tcPr>
            <w:tcW w:w="436"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83" w:type="dxa"/>
            <w:gridSpan w:val="6"/>
            <w:tcBorders/>
            <w:shd w:fill="auto" w:val="clear"/>
          </w:tcPr>
          <w:p>
            <w:pPr>
              <w:pStyle w:val="TableContents"/>
              <w:spacing w:before="0" w:after="283"/>
              <w:rPr>
                <w:sz w:val="4"/>
                <w:szCs w:val="4"/>
              </w:rPr>
            </w:pPr>
            <w:r>
              <w:rPr>
                <w:sz w:val="4"/>
                <w:szCs w:val="4"/>
              </w:rPr>
            </w:r>
          </w:p>
        </w:tc>
      </w:tr>
      <w:tr>
        <w:trPr/>
        <w:tc>
          <w:tcPr>
            <w:tcW w:w="1270" w:type="dxa"/>
            <w:gridSpan w:val="9"/>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 cash Interest</w:t>
            </w:r>
          </w:p>
        </w:tc>
        <w:tc>
          <w:tcPr>
            <w:tcW w:w="9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0" w:type="dxa"/>
            <w:gridSpan w:val="9"/>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2022 Q2 Adjusted</w:t>
            </w:r>
          </w:p>
        </w:tc>
        <w:tc>
          <w:tcPr>
            <w:tcW w:w="26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216.0 </w:t>
            </w:r>
          </w:p>
        </w:tc>
        <w:tc>
          <w:tcPr>
            <w:tcW w:w="160"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128.9 </w:t>
            </w:r>
          </w:p>
        </w:tc>
        <w:tc>
          <w:tcPr>
            <w:tcW w:w="13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21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3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0.22 </w:t>
            </w:r>
          </w:p>
        </w:tc>
        <w:tc>
          <w:tcPr>
            <w:tcW w:w="147"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32.1 </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0"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30"/>
        <w:gridCol w:w="1079"/>
        <w:gridCol w:w="1097"/>
        <w:gridCol w:w="300"/>
        <w:gridCol w:w="821"/>
        <w:gridCol w:w="179"/>
        <w:gridCol w:w="109"/>
        <w:gridCol w:w="109"/>
        <w:gridCol w:w="109"/>
        <w:gridCol w:w="374"/>
        <w:gridCol w:w="374"/>
        <w:gridCol w:w="833"/>
        <w:gridCol w:w="109"/>
        <w:gridCol w:w="109"/>
        <w:gridCol w:w="109"/>
        <w:gridCol w:w="299"/>
        <w:gridCol w:w="821"/>
        <w:gridCol w:w="179"/>
        <w:gridCol w:w="109"/>
        <w:gridCol w:w="109"/>
        <w:gridCol w:w="109"/>
        <w:gridCol w:w="351"/>
        <w:gridCol w:w="351"/>
        <w:gridCol w:w="936"/>
      </w:tblGrid>
      <w:tr>
        <w:trPr/>
        <w:tc>
          <w:tcPr>
            <w:tcW w:w="1230"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r>
      <w:tr>
        <w:trPr/>
        <w:tc>
          <w:tcPr>
            <w:tcW w:w="3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Three Months Ended </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 2023</w:t>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w:t>
            </w:r>
          </w:p>
        </w:tc>
        <w:tc>
          <w:tcPr>
            <w:tcW w:w="130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r>
      <w:tr>
        <w:trPr/>
        <w:tc>
          <w:tcPr>
            <w:tcW w:w="3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revenue </w:t>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8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522.8 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9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revenue</w:t>
            </w:r>
          </w:p>
        </w:tc>
        <w:tc>
          <w:tcPr>
            <w:tcW w:w="30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253.8 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83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3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gross profit </w:t>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8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301.7 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9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gross profit</w:t>
            </w:r>
          </w:p>
        </w:tc>
        <w:tc>
          <w:tcPr>
            <w:tcW w:w="30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83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297.9 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93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inventory</w:t>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150.3 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8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150.3 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9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net inventory</w:t>
            </w:r>
          </w:p>
        </w:tc>
        <w:tc>
          <w:tcPr>
            <w:tcW w:w="30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147.5 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83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147.5 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93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gross profit </w:t>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8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9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gross profit </w:t>
            </w:r>
          </w:p>
        </w:tc>
        <w:tc>
          <w:tcPr>
            <w:tcW w:w="30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83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93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PLO</w:t>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8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9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PLO</w:t>
            </w:r>
          </w:p>
        </w:tc>
        <w:tc>
          <w:tcPr>
            <w:tcW w:w="30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83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93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PSC revenues </w:t>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8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9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PSC revenues </w:t>
            </w:r>
          </w:p>
        </w:tc>
        <w:tc>
          <w:tcPr>
            <w:tcW w:w="30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83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3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merchandise sales </w:t>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8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9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merchandise sales </w:t>
            </w:r>
          </w:p>
        </w:tc>
        <w:tc>
          <w:tcPr>
            <w:tcW w:w="300"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833"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84.2 </w:t>
            </w:r>
          </w:p>
        </w:tc>
        <w:tc>
          <w:tcPr>
            <w:tcW w:w="17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93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segment profit before tax</w:t>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8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9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6" w:type="dxa"/>
            <w:gridSpan w:val="3"/>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segment profit before tax</w:t>
            </w:r>
          </w:p>
        </w:tc>
        <w:tc>
          <w:tcPr>
            <w:tcW w:w="300"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9"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833"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99"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14.8 </w:t>
            </w:r>
          </w:p>
        </w:tc>
        <w:tc>
          <w:tcPr>
            <w:tcW w:w="179"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936" w:type="dxa"/>
            <w:tcBorders>
              <w:top w:val="single" w:sz="4"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Narrow">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5380</Words>
  <CharactersWithSpaces>34903</CharactersWithSpaces>
  <Paragraphs>1736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