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303" w:lineRule="exact"/>
        <w:rPr>
          <w:sz w:val="24"/>
          <w:szCs w:val="24"/>
          <w:color w:val="auto"/>
        </w:rPr>
      </w:pPr>
    </w:p>
    <w:p>
      <w:pPr>
        <w:ind w:left="3220"/>
        <w:spacing w:after="0"/>
        <w:rPr>
          <w:sz w:val="20"/>
          <w:szCs w:val="20"/>
          <w:color w:val="auto"/>
        </w:rPr>
      </w:pPr>
      <w:r>
        <w:rPr>
          <w:rFonts w:ascii="Arial" w:cs="Arial" w:eastAsia="Arial" w:hAnsi="Arial"/>
          <w:sz w:val="18"/>
          <w:szCs w:val="18"/>
          <w:color w:val="auto"/>
        </w:rPr>
        <w:t>_______________________________________________________</w:t>
      </w:r>
    </w:p>
    <w:p>
      <w:pPr>
        <w:spacing w:after="0" w:line="77"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91" w:lineRule="exact"/>
        <w:rPr>
          <w:sz w:val="24"/>
          <w:szCs w:val="24"/>
          <w:color w:val="auto"/>
        </w:rPr>
      </w:pPr>
    </w:p>
    <w:p>
      <w:pPr>
        <w:ind w:left="3220"/>
        <w:spacing w:after="0"/>
        <w:rPr>
          <w:sz w:val="20"/>
          <w:szCs w:val="20"/>
          <w:color w:val="auto"/>
        </w:rPr>
      </w:pPr>
      <w:r>
        <w:rPr>
          <w:rFonts w:ascii="Arial" w:cs="Arial" w:eastAsia="Arial" w:hAnsi="Arial"/>
          <w:sz w:val="18"/>
          <w:szCs w:val="18"/>
          <w:color w:val="auto"/>
        </w:rPr>
        <w:t>_______________________________________________________</w:t>
      </w:r>
    </w:p>
    <w:p>
      <w:pPr>
        <w:spacing w:after="0" w:line="365"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CURRENT REPORT</w:t>
      </w:r>
    </w:p>
    <w:p>
      <w:pPr>
        <w:spacing w:after="0" w:line="18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EXCHANGE ACT OF 1934</w:t>
      </w:r>
    </w:p>
    <w:p>
      <w:pPr>
        <w:spacing w:after="0" w:line="14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Date of Report (Date of earliest event reported): February 4, 2019 (February 4, 2019)</w:t>
      </w:r>
    </w:p>
    <w:p>
      <w:pPr>
        <w:spacing w:after="0" w:line="71" w:lineRule="exact"/>
        <w:rPr>
          <w:sz w:val="24"/>
          <w:szCs w:val="24"/>
          <w:color w:val="auto"/>
        </w:rPr>
      </w:pPr>
    </w:p>
    <w:p>
      <w:pPr>
        <w:ind w:left="3600"/>
        <w:spacing w:after="0"/>
        <w:rPr>
          <w:sz w:val="20"/>
          <w:szCs w:val="20"/>
          <w:color w:val="auto"/>
        </w:rPr>
      </w:pPr>
      <w:r>
        <w:rPr>
          <w:rFonts w:ascii="Arial" w:cs="Arial" w:eastAsia="Arial" w:hAnsi="Arial"/>
          <w:sz w:val="18"/>
          <w:szCs w:val="18"/>
          <w:color w:val="auto"/>
        </w:rPr>
        <w:t>_______________________________________________</w:t>
      </w:r>
    </w:p>
    <w:p>
      <w:pPr>
        <w:spacing w:after="0" w:line="75"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EZCORP,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61" w:lineRule="exact"/>
        <w:rPr>
          <w:sz w:val="24"/>
          <w:szCs w:val="24"/>
          <w:color w:val="auto"/>
        </w:rPr>
      </w:pPr>
    </w:p>
    <w:p>
      <w:pPr>
        <w:ind w:left="3240"/>
        <w:spacing w:after="0"/>
        <w:rPr>
          <w:sz w:val="20"/>
          <w:szCs w:val="20"/>
          <w:color w:val="auto"/>
        </w:rPr>
      </w:pPr>
      <w:r>
        <w:rPr>
          <w:rFonts w:ascii="Arial" w:cs="Arial" w:eastAsia="Arial" w:hAnsi="Arial"/>
          <w:sz w:val="18"/>
          <w:szCs w:val="18"/>
          <w:color w:val="auto"/>
        </w:rPr>
        <w:t>_______________________________________________________</w:t>
      </w:r>
    </w:p>
    <w:p>
      <w:pPr>
        <w:spacing w:after="0" w:line="200" w:lineRule="exact"/>
        <w:rPr>
          <w:sz w:val="24"/>
          <w:szCs w:val="24"/>
          <w:color w:val="auto"/>
        </w:rPr>
      </w:pPr>
    </w:p>
    <w:p>
      <w:pPr>
        <w:spacing w:after="0" w:line="251" w:lineRule="exact"/>
        <w:rPr>
          <w:sz w:val="24"/>
          <w:szCs w:val="24"/>
          <w:color w:val="auto"/>
        </w:rPr>
      </w:pPr>
    </w:p>
    <w:tbl>
      <w:tblPr>
        <w:tblLayout w:type="fixed"/>
        <w:tblInd w:w="1020" w:type="dxa"/>
        <w:tblCellMar>
          <w:top w:w="0" w:type="dxa"/>
          <w:left w:w="0" w:type="dxa"/>
          <w:bottom w:w="0" w:type="dxa"/>
          <w:right w:w="0" w:type="dxa"/>
        </w:tblCellMar>
      </w:tblPr>
      <w:tr>
        <w:trPr>
          <w:trHeight w:val="234"/>
        </w:trPr>
        <w:tc>
          <w:tcPr>
            <w:tcW w:w="1860" w:type="dxa"/>
            <w:vAlign w:val="bottom"/>
          </w:tcPr>
          <w:p>
            <w:pPr>
              <w:jc w:val="center"/>
              <w:ind w:right="142"/>
              <w:spacing w:after="0"/>
              <w:rPr>
                <w:sz w:val="20"/>
                <w:szCs w:val="20"/>
                <w:color w:val="auto"/>
              </w:rPr>
            </w:pPr>
            <w:r>
              <w:rPr>
                <w:rFonts w:ascii="Arial" w:cs="Arial" w:eastAsia="Arial" w:hAnsi="Arial"/>
                <w:sz w:val="18"/>
                <w:szCs w:val="18"/>
                <w:b w:val="1"/>
                <w:bCs w:val="1"/>
                <w:color w:val="auto"/>
                <w:w w:val="91"/>
              </w:rPr>
              <w:t>Delaware</w:t>
            </w:r>
          </w:p>
        </w:tc>
        <w:tc>
          <w:tcPr>
            <w:tcW w:w="5780" w:type="dxa"/>
            <w:vAlign w:val="bottom"/>
          </w:tcPr>
          <w:p>
            <w:pPr>
              <w:jc w:val="center"/>
              <w:ind w:right="98"/>
              <w:spacing w:after="0"/>
              <w:rPr>
                <w:sz w:val="20"/>
                <w:szCs w:val="20"/>
                <w:color w:val="auto"/>
              </w:rPr>
            </w:pPr>
            <w:r>
              <w:rPr>
                <w:rFonts w:ascii="Arial" w:cs="Arial" w:eastAsia="Arial" w:hAnsi="Arial"/>
                <w:sz w:val="18"/>
                <w:szCs w:val="18"/>
                <w:b w:val="1"/>
                <w:bCs w:val="1"/>
                <w:color w:val="auto"/>
                <w:w w:val="90"/>
              </w:rPr>
              <w:t>0-19424</w:t>
            </w:r>
          </w:p>
        </w:tc>
        <w:tc>
          <w:tcPr>
            <w:tcW w:w="1440" w:type="dxa"/>
            <w:vAlign w:val="bottom"/>
          </w:tcPr>
          <w:p>
            <w:pPr>
              <w:jc w:val="center"/>
              <w:ind w:left="242"/>
              <w:spacing w:after="0"/>
              <w:rPr>
                <w:sz w:val="20"/>
                <w:szCs w:val="20"/>
                <w:color w:val="auto"/>
              </w:rPr>
            </w:pPr>
            <w:r>
              <w:rPr>
                <w:rFonts w:ascii="Arial" w:cs="Arial" w:eastAsia="Arial" w:hAnsi="Arial"/>
                <w:sz w:val="18"/>
                <w:szCs w:val="18"/>
                <w:b w:val="1"/>
                <w:bCs w:val="1"/>
                <w:color w:val="auto"/>
                <w:w w:val="91"/>
              </w:rPr>
              <w:t>74-2540145</w:t>
            </w:r>
          </w:p>
        </w:tc>
      </w:tr>
      <w:tr>
        <w:trPr>
          <w:trHeight w:val="180"/>
        </w:trPr>
        <w:tc>
          <w:tcPr>
            <w:tcW w:w="1860" w:type="dxa"/>
            <w:vAlign w:val="bottom"/>
          </w:tcPr>
          <w:p>
            <w:pPr>
              <w:jc w:val="center"/>
              <w:ind w:right="142"/>
              <w:spacing w:after="0"/>
              <w:rPr>
                <w:sz w:val="20"/>
                <w:szCs w:val="20"/>
                <w:color w:val="auto"/>
              </w:rPr>
            </w:pPr>
            <w:r>
              <w:rPr>
                <w:rFonts w:ascii="Arial" w:cs="Arial" w:eastAsia="Arial" w:hAnsi="Arial"/>
                <w:sz w:val="14"/>
                <w:szCs w:val="14"/>
                <w:b w:val="1"/>
                <w:bCs w:val="1"/>
                <w:color w:val="auto"/>
                <w:w w:val="93"/>
              </w:rPr>
              <w:t>(State or other jurisdiction</w:t>
            </w:r>
          </w:p>
        </w:tc>
        <w:tc>
          <w:tcPr>
            <w:tcW w:w="5780" w:type="dxa"/>
            <w:vAlign w:val="bottom"/>
          </w:tcPr>
          <w:p>
            <w:pPr>
              <w:jc w:val="center"/>
              <w:ind w:right="118"/>
              <w:spacing w:after="0"/>
              <w:rPr>
                <w:sz w:val="20"/>
                <w:szCs w:val="20"/>
                <w:color w:val="auto"/>
              </w:rPr>
            </w:pPr>
            <w:r>
              <w:rPr>
                <w:rFonts w:ascii="Arial" w:cs="Arial" w:eastAsia="Arial" w:hAnsi="Arial"/>
                <w:sz w:val="14"/>
                <w:szCs w:val="14"/>
                <w:b w:val="1"/>
                <w:bCs w:val="1"/>
                <w:color w:val="auto"/>
                <w:w w:val="92"/>
              </w:rPr>
              <w:t>(Commission</w:t>
            </w:r>
          </w:p>
        </w:tc>
        <w:tc>
          <w:tcPr>
            <w:tcW w:w="1440" w:type="dxa"/>
            <w:vAlign w:val="bottom"/>
          </w:tcPr>
          <w:p>
            <w:pPr>
              <w:jc w:val="center"/>
              <w:ind w:left="242"/>
              <w:spacing w:after="0"/>
              <w:rPr>
                <w:sz w:val="20"/>
                <w:szCs w:val="20"/>
                <w:color w:val="auto"/>
              </w:rPr>
            </w:pPr>
            <w:r>
              <w:rPr>
                <w:rFonts w:ascii="Arial" w:cs="Arial" w:eastAsia="Arial" w:hAnsi="Arial"/>
                <w:sz w:val="14"/>
                <w:szCs w:val="14"/>
                <w:b w:val="1"/>
                <w:bCs w:val="1"/>
                <w:color w:val="auto"/>
                <w:w w:val="96"/>
              </w:rPr>
              <w:t>(IRS Employer</w:t>
            </w:r>
          </w:p>
        </w:tc>
      </w:tr>
      <w:tr>
        <w:trPr>
          <w:trHeight w:val="180"/>
        </w:trPr>
        <w:tc>
          <w:tcPr>
            <w:tcW w:w="1860" w:type="dxa"/>
            <w:vAlign w:val="bottom"/>
          </w:tcPr>
          <w:p>
            <w:pPr>
              <w:jc w:val="center"/>
              <w:ind w:right="142"/>
              <w:spacing w:after="0"/>
              <w:rPr>
                <w:sz w:val="20"/>
                <w:szCs w:val="20"/>
                <w:color w:val="auto"/>
              </w:rPr>
            </w:pPr>
            <w:r>
              <w:rPr>
                <w:rFonts w:ascii="Arial" w:cs="Arial" w:eastAsia="Arial" w:hAnsi="Arial"/>
                <w:sz w:val="14"/>
                <w:szCs w:val="14"/>
                <w:b w:val="1"/>
                <w:bCs w:val="1"/>
                <w:color w:val="auto"/>
                <w:w w:val="92"/>
              </w:rPr>
              <w:t>of incorporation)</w:t>
            </w:r>
          </w:p>
        </w:tc>
        <w:tc>
          <w:tcPr>
            <w:tcW w:w="5780" w:type="dxa"/>
            <w:vAlign w:val="bottom"/>
          </w:tcPr>
          <w:p>
            <w:pPr>
              <w:jc w:val="center"/>
              <w:ind w:right="118"/>
              <w:spacing w:after="0"/>
              <w:rPr>
                <w:sz w:val="20"/>
                <w:szCs w:val="20"/>
                <w:color w:val="auto"/>
              </w:rPr>
            </w:pPr>
            <w:r>
              <w:rPr>
                <w:rFonts w:ascii="Arial" w:cs="Arial" w:eastAsia="Arial" w:hAnsi="Arial"/>
                <w:sz w:val="14"/>
                <w:szCs w:val="14"/>
                <w:b w:val="1"/>
                <w:bCs w:val="1"/>
                <w:color w:val="auto"/>
                <w:w w:val="95"/>
              </w:rPr>
              <w:t>File Number)</w:t>
            </w:r>
          </w:p>
        </w:tc>
        <w:tc>
          <w:tcPr>
            <w:tcW w:w="1440" w:type="dxa"/>
            <w:vAlign w:val="bottom"/>
          </w:tcPr>
          <w:p>
            <w:pPr>
              <w:jc w:val="center"/>
              <w:ind w:left="242"/>
              <w:spacing w:after="0"/>
              <w:rPr>
                <w:sz w:val="20"/>
                <w:szCs w:val="20"/>
                <w:color w:val="auto"/>
              </w:rPr>
            </w:pPr>
            <w:r>
              <w:rPr>
                <w:rFonts w:ascii="Arial" w:cs="Arial" w:eastAsia="Arial" w:hAnsi="Arial"/>
                <w:sz w:val="14"/>
                <w:szCs w:val="14"/>
                <w:b w:val="1"/>
                <w:bCs w:val="1"/>
                <w:color w:val="auto"/>
                <w:w w:val="94"/>
              </w:rPr>
              <w:t>Identification No.)</w:t>
            </w:r>
          </w:p>
        </w:tc>
      </w:tr>
      <w:tr>
        <w:trPr>
          <w:trHeight w:val="212"/>
        </w:trPr>
        <w:tc>
          <w:tcPr>
            <w:tcW w:w="1860" w:type="dxa"/>
            <w:vAlign w:val="bottom"/>
          </w:tcPr>
          <w:p>
            <w:pPr>
              <w:spacing w:after="0"/>
              <w:rPr>
                <w:sz w:val="18"/>
                <w:szCs w:val="18"/>
                <w:color w:val="auto"/>
              </w:rPr>
            </w:pPr>
          </w:p>
        </w:tc>
        <w:tc>
          <w:tcPr>
            <w:tcW w:w="5780" w:type="dxa"/>
            <w:vAlign w:val="bottom"/>
          </w:tcPr>
          <w:p>
            <w:pPr>
              <w:jc w:val="center"/>
              <w:ind w:right="38"/>
              <w:spacing w:after="0"/>
              <w:rPr>
                <w:sz w:val="20"/>
                <w:szCs w:val="20"/>
                <w:color w:val="auto"/>
              </w:rPr>
            </w:pPr>
            <w:r>
              <w:rPr>
                <w:rFonts w:ascii="Arial" w:cs="Arial" w:eastAsia="Arial" w:hAnsi="Arial"/>
                <w:sz w:val="18"/>
                <w:szCs w:val="18"/>
                <w:b w:val="1"/>
                <w:bCs w:val="1"/>
                <w:color w:val="auto"/>
                <w:w w:val="89"/>
              </w:rPr>
              <w:t>2500 Bee Cave Road, Bldg One, Suite 200, Rollingwood, Texas 78746</w:t>
            </w:r>
          </w:p>
        </w:tc>
        <w:tc>
          <w:tcPr>
            <w:tcW w:w="1440" w:type="dxa"/>
            <w:vAlign w:val="bottom"/>
          </w:tcPr>
          <w:p>
            <w:pPr>
              <w:spacing w:after="0"/>
              <w:rPr>
                <w:sz w:val="18"/>
                <w:szCs w:val="18"/>
                <w:color w:val="auto"/>
              </w:rPr>
            </w:pPr>
          </w:p>
        </w:tc>
      </w:tr>
      <w:tr>
        <w:trPr>
          <w:trHeight w:val="186"/>
        </w:trPr>
        <w:tc>
          <w:tcPr>
            <w:tcW w:w="1860" w:type="dxa"/>
            <w:vAlign w:val="bottom"/>
          </w:tcPr>
          <w:p>
            <w:pPr>
              <w:spacing w:after="0"/>
              <w:rPr>
                <w:sz w:val="16"/>
                <w:szCs w:val="16"/>
                <w:color w:val="auto"/>
              </w:rPr>
            </w:pPr>
          </w:p>
        </w:tc>
        <w:tc>
          <w:tcPr>
            <w:tcW w:w="5780" w:type="dxa"/>
            <w:vAlign w:val="bottom"/>
          </w:tcPr>
          <w:p>
            <w:pPr>
              <w:jc w:val="center"/>
              <w:ind w:right="38"/>
              <w:spacing w:after="0"/>
              <w:rPr>
                <w:sz w:val="20"/>
                <w:szCs w:val="20"/>
                <w:color w:val="auto"/>
              </w:rPr>
            </w:pPr>
            <w:r>
              <w:rPr>
                <w:rFonts w:ascii="Arial" w:cs="Arial" w:eastAsia="Arial" w:hAnsi="Arial"/>
                <w:sz w:val="14"/>
                <w:szCs w:val="14"/>
                <w:b w:val="1"/>
                <w:bCs w:val="1"/>
                <w:color w:val="auto"/>
                <w:w w:val="91"/>
              </w:rPr>
              <w:t>(Address of principal executive offices) (zip code)</w:t>
            </w:r>
          </w:p>
        </w:tc>
        <w:tc>
          <w:tcPr>
            <w:tcW w:w="1440" w:type="dxa"/>
            <w:vAlign w:val="bottom"/>
          </w:tcPr>
          <w:p>
            <w:pPr>
              <w:spacing w:after="0"/>
              <w:rPr>
                <w:sz w:val="16"/>
                <w:szCs w:val="16"/>
                <w:color w:val="auto"/>
              </w:rPr>
            </w:pPr>
          </w:p>
        </w:tc>
      </w:tr>
      <w:tr>
        <w:trPr>
          <w:trHeight w:val="377"/>
        </w:trPr>
        <w:tc>
          <w:tcPr>
            <w:tcW w:w="1860" w:type="dxa"/>
            <w:vAlign w:val="bottom"/>
          </w:tcPr>
          <w:p>
            <w:pPr>
              <w:spacing w:after="0"/>
              <w:rPr>
                <w:sz w:val="24"/>
                <w:szCs w:val="24"/>
                <w:color w:val="auto"/>
              </w:rPr>
            </w:pPr>
          </w:p>
        </w:tc>
        <w:tc>
          <w:tcPr>
            <w:tcW w:w="5780" w:type="dxa"/>
            <w:vAlign w:val="bottom"/>
          </w:tcPr>
          <w:p>
            <w:pPr>
              <w:jc w:val="center"/>
              <w:ind w:right="38"/>
              <w:spacing w:after="0"/>
              <w:rPr>
                <w:sz w:val="20"/>
                <w:szCs w:val="20"/>
                <w:color w:val="auto"/>
              </w:rPr>
            </w:pPr>
            <w:r>
              <w:rPr>
                <w:rFonts w:ascii="Arial" w:cs="Arial" w:eastAsia="Arial" w:hAnsi="Arial"/>
                <w:sz w:val="18"/>
                <w:szCs w:val="18"/>
                <w:b w:val="1"/>
                <w:bCs w:val="1"/>
                <w:color w:val="auto"/>
                <w:w w:val="89"/>
              </w:rPr>
              <w:t>Registrant’s telephone number, including area code: (512) 314-3400</w:t>
            </w:r>
          </w:p>
        </w:tc>
        <w:tc>
          <w:tcPr>
            <w:tcW w:w="1440" w:type="dxa"/>
            <w:vAlign w:val="bottom"/>
          </w:tcPr>
          <w:p>
            <w:pPr>
              <w:spacing w:after="0"/>
              <w:rPr>
                <w:sz w:val="24"/>
                <w:szCs w:val="24"/>
                <w:color w:val="auto"/>
              </w:rPr>
            </w:pPr>
          </w:p>
        </w:tc>
      </w:tr>
      <w:tr>
        <w:trPr>
          <w:trHeight w:val="284"/>
        </w:trPr>
        <w:tc>
          <w:tcPr>
            <w:tcW w:w="1860" w:type="dxa"/>
            <w:vAlign w:val="bottom"/>
          </w:tcPr>
          <w:p>
            <w:pPr>
              <w:spacing w:after="0"/>
              <w:rPr>
                <w:sz w:val="24"/>
                <w:szCs w:val="24"/>
                <w:color w:val="auto"/>
              </w:rPr>
            </w:pPr>
          </w:p>
        </w:tc>
        <w:tc>
          <w:tcPr>
            <w:tcW w:w="5780" w:type="dxa"/>
            <w:vAlign w:val="bottom"/>
          </w:tcPr>
          <w:p>
            <w:pPr>
              <w:jc w:val="center"/>
              <w:ind w:right="78"/>
              <w:spacing w:after="0"/>
              <w:rPr>
                <w:sz w:val="20"/>
                <w:szCs w:val="20"/>
                <w:color w:val="auto"/>
              </w:rPr>
            </w:pPr>
            <w:r>
              <w:rPr>
                <w:rFonts w:ascii="Arial" w:cs="Arial" w:eastAsia="Arial" w:hAnsi="Arial"/>
                <w:sz w:val="18"/>
                <w:szCs w:val="18"/>
                <w:color w:val="auto"/>
                <w:w w:val="89"/>
              </w:rPr>
              <w:t>_______________________________________________________</w:t>
            </w:r>
          </w:p>
        </w:tc>
        <w:tc>
          <w:tcPr>
            <w:tcW w:w="1440" w:type="dxa"/>
            <w:vAlign w:val="bottom"/>
          </w:tcPr>
          <w:p>
            <w:pPr>
              <w:spacing w:after="0"/>
              <w:rPr>
                <w:sz w:val="24"/>
                <w:szCs w:val="24"/>
                <w:color w:val="auto"/>
              </w:rPr>
            </w:pPr>
          </w:p>
        </w:tc>
      </w:tr>
    </w:tbl>
    <w:p>
      <w:pPr>
        <w:spacing w:after="0" w:line="350" w:lineRule="exact"/>
        <w:rPr>
          <w:sz w:val="24"/>
          <w:szCs w:val="24"/>
          <w:color w:val="auto"/>
        </w:rPr>
      </w:pPr>
    </w:p>
    <w:p>
      <w:pPr>
        <w:ind w:right="10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94" w:lineRule="exact"/>
        <w:rPr>
          <w:sz w:val="24"/>
          <w:szCs w:val="24"/>
          <w:color w:val="auto"/>
        </w:rPr>
      </w:pPr>
    </w:p>
    <w:p>
      <w:pPr>
        <w:ind w:left="620" w:hanging="585"/>
        <w:spacing w:after="0"/>
        <w:tabs>
          <w:tab w:leader="none" w:pos="620" w:val="left"/>
        </w:tabs>
        <w:numPr>
          <w:ilvl w:val="0"/>
          <w:numId w:val="1"/>
        </w:numPr>
        <w:rPr>
          <w:rFonts w:ascii="Arial" w:cs="Arial" w:eastAsia="Arial" w:hAnsi="Arial"/>
          <w:sz w:val="29"/>
          <w:szCs w:val="29"/>
          <w:color w:val="auto"/>
          <w:vertAlign w:val="subscript"/>
        </w:rPr>
      </w:pPr>
      <w:r>
        <w:rPr>
          <w:rFonts w:ascii="Arial" w:cs="Arial" w:eastAsia="Arial" w:hAnsi="Arial"/>
          <w:sz w:val="18"/>
          <w:szCs w:val="18"/>
          <w:color w:val="auto"/>
        </w:rPr>
        <w:t>Written communications pursuant to Rule 425 under the Securities Act (17 CFR 230.425)</w:t>
      </w:r>
    </w:p>
    <w:p>
      <w:pPr>
        <w:spacing w:after="0" w:line="161" w:lineRule="exact"/>
        <w:rPr>
          <w:rFonts w:ascii="Arial" w:cs="Arial" w:eastAsia="Arial" w:hAnsi="Arial"/>
          <w:sz w:val="29"/>
          <w:szCs w:val="29"/>
          <w:color w:val="auto"/>
          <w:vertAlign w:val="subscript"/>
        </w:rPr>
      </w:pPr>
    </w:p>
    <w:p>
      <w:pPr>
        <w:ind w:left="620" w:hanging="585"/>
        <w:spacing w:after="0"/>
        <w:tabs>
          <w:tab w:leader="none" w:pos="620" w:val="left"/>
        </w:tabs>
        <w:numPr>
          <w:ilvl w:val="0"/>
          <w:numId w:val="1"/>
        </w:numPr>
        <w:rPr>
          <w:rFonts w:ascii="Arial" w:cs="Arial" w:eastAsia="Arial" w:hAnsi="Arial"/>
          <w:sz w:val="16"/>
          <w:szCs w:val="16"/>
          <w:color w:val="auto"/>
        </w:rPr>
      </w:pPr>
      <w:r>
        <w:rPr>
          <w:rFonts w:ascii="Arial" w:cs="Arial" w:eastAsia="Arial" w:hAnsi="Arial"/>
          <w:sz w:val="18"/>
          <w:szCs w:val="18"/>
          <w:color w:val="auto"/>
        </w:rPr>
        <w:t>Soliciting material pursuant to Rule 14a-12 under the Exchange Act (17 CFR 240.14a-12)</w:t>
      </w:r>
    </w:p>
    <w:p>
      <w:pPr>
        <w:spacing w:after="0" w:line="184" w:lineRule="exact"/>
        <w:rPr>
          <w:rFonts w:ascii="Arial" w:cs="Arial" w:eastAsia="Arial" w:hAnsi="Arial"/>
          <w:sz w:val="16"/>
          <w:szCs w:val="16"/>
          <w:color w:val="auto"/>
        </w:rPr>
      </w:pPr>
    </w:p>
    <w:p>
      <w:pPr>
        <w:ind w:left="620" w:hanging="585"/>
        <w:spacing w:after="0"/>
        <w:tabs>
          <w:tab w:leader="none" w:pos="620" w:val="left"/>
        </w:tabs>
        <w:numPr>
          <w:ilvl w:val="0"/>
          <w:numId w:val="1"/>
        </w:numPr>
        <w:rPr>
          <w:rFonts w:ascii="Arial" w:cs="Arial" w:eastAsia="Arial" w:hAnsi="Arial"/>
          <w:sz w:val="16"/>
          <w:szCs w:val="16"/>
          <w:color w:val="auto"/>
        </w:rPr>
      </w:pPr>
      <w:r>
        <w:rPr>
          <w:rFonts w:ascii="Arial" w:cs="Arial" w:eastAsia="Arial" w:hAnsi="Arial"/>
          <w:sz w:val="18"/>
          <w:szCs w:val="18"/>
          <w:color w:val="auto"/>
        </w:rPr>
        <w:t>Pre-commencement communications pursuant to Rule 14d-2(b) under the Exchange Act (17 CFR 240.14d-2(b))</w:t>
      </w:r>
    </w:p>
    <w:p>
      <w:pPr>
        <w:spacing w:after="0" w:line="184" w:lineRule="exact"/>
        <w:rPr>
          <w:rFonts w:ascii="Arial" w:cs="Arial" w:eastAsia="Arial" w:hAnsi="Arial"/>
          <w:sz w:val="16"/>
          <w:szCs w:val="16"/>
          <w:color w:val="auto"/>
        </w:rPr>
      </w:pPr>
    </w:p>
    <w:p>
      <w:pPr>
        <w:ind w:left="620" w:hanging="585"/>
        <w:spacing w:after="0"/>
        <w:tabs>
          <w:tab w:leader="none" w:pos="620" w:val="left"/>
        </w:tabs>
        <w:numPr>
          <w:ilvl w:val="0"/>
          <w:numId w:val="1"/>
        </w:numPr>
        <w:rPr>
          <w:rFonts w:ascii="Arial" w:cs="Arial" w:eastAsia="Arial" w:hAnsi="Arial"/>
          <w:sz w:val="16"/>
          <w:szCs w:val="16"/>
          <w:color w:val="auto"/>
        </w:rPr>
      </w:pPr>
      <w:r>
        <w:rPr>
          <w:rFonts w:ascii="Arial" w:cs="Arial" w:eastAsia="Arial" w:hAnsi="Arial"/>
          <w:sz w:val="18"/>
          <w:szCs w:val="18"/>
          <w:color w:val="auto"/>
        </w:rPr>
        <w:t>Pre-commencement communications pursuant to Rule 13e-4(c) under the Exchange Act (17 CFR 240.13e-4(c))</w:t>
      </w:r>
    </w:p>
    <w:p>
      <w:pPr>
        <w:spacing w:after="0" w:line="252"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6" w:lineRule="exact"/>
        <w:rPr>
          <w:sz w:val="24"/>
          <w:szCs w:val="24"/>
          <w:color w:val="auto"/>
        </w:rPr>
      </w:pPr>
    </w:p>
    <w:p>
      <w:pPr>
        <w:ind w:left="8860"/>
        <w:spacing w:after="0"/>
        <w:rPr>
          <w:sz w:val="20"/>
          <w:szCs w:val="20"/>
          <w:color w:val="auto"/>
        </w:rPr>
      </w:pPr>
      <w:r>
        <w:rPr>
          <w:rFonts w:ascii="Arial" w:cs="Arial" w:eastAsia="Arial" w:hAnsi="Arial"/>
          <w:sz w:val="18"/>
          <w:szCs w:val="18"/>
          <w:color w:val="auto"/>
        </w:rPr>
        <w:t xml:space="preserve">Emerging growth company </w:t>
      </w:r>
      <w:r>
        <w:rPr>
          <w:rFonts w:ascii="Arial" w:cs="Arial" w:eastAsia="Arial" w:hAnsi="Arial"/>
          <w:sz w:val="16"/>
          <w:szCs w:val="16"/>
          <w:color w:val="auto"/>
        </w:rPr>
        <w:t>o</w:t>
      </w:r>
    </w:p>
    <w:p>
      <w:pPr>
        <w:spacing w:after="0" w:line="36" w:lineRule="exact"/>
        <w:rPr>
          <w:sz w:val="24"/>
          <w:szCs w:val="24"/>
          <w:color w:val="auto"/>
        </w:rPr>
      </w:pPr>
    </w:p>
    <w:p>
      <w:pPr>
        <w:spacing w:after="0" w:line="229"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ectPr>
          <w:pgSz w:w="11900" w:h="16838" w:orient="portrait"/>
          <w:cols w:equalWidth="0" w:num="1">
            <w:col w:w="11400"/>
          </w:cols>
          <w:pgMar w:left="240" w:top="733" w:right="2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7.01 — Regulation FD Disclosure</w:t>
      </w:r>
    </w:p>
    <w:p>
      <w:pPr>
        <w:spacing w:after="0" w:line="17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On February 4, 2019, EZCORP issued a press release announcing it will retire at maturity its $195 million 2.125% Cash Convertible Senior Notes Due 2019 using cash on hand. The full text of this press release is attached hereto as Exhibit 99.1.</w:t>
      </w:r>
    </w:p>
    <w:p>
      <w:pPr>
        <w:spacing w:after="0" w:line="11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information set forth, or referred to, in this Item 7.01 (including Exhibit 99.1) shall not be deemed “filed” for purposes of the Securities Exchange Act of 1934 or otherwise subject to the liabilities of that section, and shall not be deemed to be incorporated by reference into any registration statement or other filing made by EZCORP under the Securities Act of 1933 or the Securities Exchange Act of 1934, unless such subsequent filing specifically references this Item 7.01 of this Report.</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 Financial Statements and Exhibits</w:t>
      </w:r>
    </w:p>
    <w:p>
      <w:pPr>
        <w:spacing w:after="0" w:line="337" w:lineRule="exact"/>
        <w:rPr>
          <w:sz w:val="20"/>
          <w:szCs w:val="20"/>
          <w:color w:val="auto"/>
        </w:rPr>
      </w:pPr>
    </w:p>
    <w:p>
      <w:pPr>
        <w:ind w:left="880" w:hanging="521"/>
        <w:spacing w:after="0"/>
        <w:tabs>
          <w:tab w:leader="none" w:pos="88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198" w:lineRule="exact"/>
        <w:rPr>
          <w:sz w:val="20"/>
          <w:szCs w:val="20"/>
          <w:color w:val="auto"/>
        </w:rPr>
      </w:pPr>
    </w:p>
    <w:p>
      <w:pPr>
        <w:ind w:left="560"/>
        <w:spacing w:after="0"/>
        <w:tabs>
          <w:tab w:leader="none" w:pos="1100" w:val="left"/>
        </w:tabs>
        <w:rPr>
          <w:rFonts w:ascii="Arial" w:cs="Arial" w:eastAsia="Arial" w:hAnsi="Arial"/>
          <w:sz w:val="15"/>
          <w:szCs w:val="15"/>
          <w:u w:val="single" w:color="auto"/>
          <w:color w:val="0000FF"/>
        </w:rPr>
      </w:pPr>
      <w:hyperlink w:anchor="page3">
        <w:r>
          <w:rPr>
            <w:rFonts w:ascii="Arial" w:cs="Arial" w:eastAsia="Arial" w:hAnsi="Arial"/>
            <w:sz w:val="18"/>
            <w:szCs w:val="18"/>
            <w:u w:val="single" w:color="auto"/>
            <w:color w:val="0000FF"/>
          </w:rPr>
          <w:t>99.1</w:t>
        </w:r>
      </w:hyperlink>
      <w:r>
        <w:rPr>
          <w:rFonts w:ascii="Arial" w:cs="Arial" w:eastAsia="Arial" w:hAnsi="Arial"/>
          <w:sz w:val="18"/>
          <w:szCs w:val="18"/>
          <w:u w:val="single" w:color="auto"/>
          <w:color w:val="0000FF"/>
        </w:rPr>
        <w:tab/>
      </w:r>
      <w:hyperlink w:anchor="page3">
        <w:r>
          <w:rPr>
            <w:rFonts w:ascii="Arial" w:cs="Arial" w:eastAsia="Arial" w:hAnsi="Arial"/>
            <w:sz w:val="15"/>
            <w:szCs w:val="15"/>
            <w:u w:val="single" w:color="auto"/>
            <w:color w:val="0000FF"/>
          </w:rPr>
          <w:t>Press Release of EZCORP, Inc. dated February 4, 2019</w:t>
        </w:r>
      </w:hyperlink>
    </w:p>
    <w:p>
      <w:pPr>
        <w:spacing w:after="0" w:line="200" w:lineRule="exact"/>
        <w:rPr>
          <w:sz w:val="20"/>
          <w:szCs w:val="20"/>
          <w:color w:val="auto"/>
        </w:rPr>
      </w:pPr>
    </w:p>
    <w:p>
      <w:pPr>
        <w:spacing w:after="0" w:line="372"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16"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EZCORP, INC.</w:t>
      </w:r>
    </w:p>
    <w:p>
      <w:pPr>
        <w:spacing w:after="0" w:line="185" w:lineRule="exact"/>
        <w:rPr>
          <w:sz w:val="20"/>
          <w:szCs w:val="20"/>
          <w:color w:val="auto"/>
        </w:rPr>
      </w:pPr>
    </w:p>
    <w:p>
      <w:pPr>
        <w:ind w:left="40"/>
        <w:spacing w:after="0"/>
        <w:tabs>
          <w:tab w:leader="none" w:pos="600" w:val="left"/>
          <w:tab w:leader="none" w:pos="6180" w:val="left"/>
          <w:tab w:leader="none" w:pos="6960" w:val="left"/>
        </w:tabs>
        <w:rPr>
          <w:sz w:val="20"/>
          <w:szCs w:val="20"/>
          <w:color w:val="auto"/>
        </w:rPr>
      </w:pPr>
      <w:r>
        <w:rPr>
          <w:rFonts w:ascii="Arial" w:cs="Arial" w:eastAsia="Arial" w:hAnsi="Arial"/>
          <w:sz w:val="18"/>
          <w:szCs w:val="18"/>
          <w:color w:val="auto"/>
        </w:rPr>
        <w:t>Date:</w:t>
        <w:tab/>
        <w:t>February 4,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Thomas H. Welch,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4413250</wp:posOffset>
            </wp:positionH>
            <wp:positionV relativeFrom="paragraph">
              <wp:posOffset>31750</wp:posOffset>
            </wp:positionV>
            <wp:extent cx="2804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04160" cy="8890"/>
                    </a:xfrm>
                    <a:prstGeom prst="rect">
                      <a:avLst/>
                    </a:prstGeom>
                    <a:noFill/>
                  </pic:spPr>
                </pic:pic>
              </a:graphicData>
            </a:graphic>
          </wp:anchor>
        </w:drawing>
      </w:r>
    </w:p>
    <w:p>
      <w:pPr>
        <w:spacing w:after="0" w:line="57"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Thomas H. Welch, Jr.</w:t>
      </w:r>
    </w:p>
    <w:p>
      <w:pPr>
        <w:spacing w:after="0" w:line="6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Chief Legal Officer and Secretary</w:t>
      </w:r>
    </w:p>
    <w:p>
      <w:pPr>
        <w:sectPr>
          <w:pgSz w:w="11900" w:h="16838" w:orient="portrait"/>
          <w:cols w:equalWidth="0" w:num="1">
            <w:col w:w="11340"/>
          </w:cols>
          <w:pgMar w:left="240" w:top="742" w:right="319" w:bottom="1440" w:gutter="0" w:footer="0" w:header="0"/>
        </w:sectPr>
      </w:pPr>
    </w:p>
    <w:bookmarkStart w:id="2" w:name="page3"/>
    <w:bookmarkEnd w:id="2"/>
    <w:p>
      <w:pPr>
        <w:jc w:val="center"/>
        <w:ind w:right="-9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2781935</wp:posOffset>
            </wp:positionH>
            <wp:positionV relativeFrom="page">
              <wp:posOffset>380365</wp:posOffset>
            </wp:positionV>
            <wp:extent cx="2006600" cy="3517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2006600" cy="351790"/>
                    </a:xfrm>
                    <a:prstGeom prst="rect">
                      <a:avLst/>
                    </a:prstGeom>
                    <a:noFill/>
                  </pic:spPr>
                </pic:pic>
              </a:graphicData>
            </a:graphic>
          </wp:anchor>
        </w:drawing>
        <w:t>EZCORP To Retire Convertible Notes Using Cash on Hand</w:t>
      </w:r>
    </w:p>
    <w:p>
      <w:pPr>
        <w:spacing w:after="0" w:line="230" w:lineRule="exact"/>
        <w:rPr>
          <w:sz w:val="20"/>
          <w:szCs w:val="20"/>
          <w:color w:val="auto"/>
        </w:rPr>
      </w:pPr>
    </w:p>
    <w:p>
      <w:pPr>
        <w:spacing w:after="0" w:line="266" w:lineRule="auto"/>
        <w:rPr>
          <w:sz w:val="20"/>
          <w:szCs w:val="20"/>
          <w:color w:val="auto"/>
        </w:rPr>
      </w:pPr>
      <w:r>
        <w:rPr>
          <w:rFonts w:ascii="Arial" w:cs="Arial" w:eastAsia="Arial" w:hAnsi="Arial"/>
          <w:sz w:val="18"/>
          <w:szCs w:val="18"/>
          <w:b w:val="1"/>
          <w:bCs w:val="1"/>
          <w:color w:val="auto"/>
        </w:rPr>
        <w:t xml:space="preserve">Austin, Texas (February 4, 2019) - </w:t>
      </w:r>
      <w:r>
        <w:rPr>
          <w:rFonts w:ascii="Arial" w:cs="Arial" w:eastAsia="Arial" w:hAnsi="Arial"/>
          <w:sz w:val="18"/>
          <w:szCs w:val="18"/>
          <w:color w:val="auto"/>
        </w:rPr>
        <w:t>EZCORP, Inc. (NASDAQ: EZPW) today announced that it will retire at maturity its $195 million aggregate principal</w:t>
      </w:r>
      <w:r>
        <w:rPr>
          <w:rFonts w:ascii="Arial" w:cs="Arial" w:eastAsia="Arial" w:hAnsi="Arial"/>
          <w:sz w:val="18"/>
          <w:szCs w:val="18"/>
          <w:b w:val="1"/>
          <w:bCs w:val="1"/>
          <w:color w:val="auto"/>
        </w:rPr>
        <w:t xml:space="preserve"> </w:t>
      </w:r>
      <w:r>
        <w:rPr>
          <w:rFonts w:ascii="Arial" w:cs="Arial" w:eastAsia="Arial" w:hAnsi="Arial"/>
          <w:sz w:val="18"/>
          <w:szCs w:val="18"/>
          <w:color w:val="auto"/>
        </w:rPr>
        <w:t>amount of 2.125% Cash Convertible Senior Notes Due 2019 (the “2019 Notes”) using cash on hand. The 2019 Notes were issued in 2014 and will mature on June 15, 2019.</w:t>
      </w:r>
    </w:p>
    <w:p>
      <w:pPr>
        <w:spacing w:after="0" w:line="14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Chief Executive Officer Stuart Grimshaw stated, "We have explored a variety of alternatives related to the maturity of the 2019 Notes, including refinancing through an exchange or new issuance. In the end, we have sufficient confidence in our existing cash balances and the ongoing cash generating capabilities of our business that we believe the current best use of our cash for the company and our shareholders is to pay off the 2019 Notes when they mature in June. Of course, we continue to explore accretive acquisition opportunities, both large and small, and may choose to pursue additional debt, equity or equity-linked financings in the future should the need arise.”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Company’s balance of cash and cash equivalents at December 31, 2018 was $297 million.</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EZCORP</w:t>
      </w:r>
    </w:p>
    <w:p>
      <w:pPr>
        <w:spacing w:after="0" w:line="189"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Formed in 1989, EZCORP has grown into a leading provider of pawn loans in the United States and Latin America. It also sells merchandise, primarily collateral forfeited from pawn lending operations and used merchandise purchased from customers. We are dedicated to satisfying the short-term cash needs of consumers who are both cash and credit constrained, focusing on an industry-leading customer experience. EZCORP is traded on NASDAQ under the symbol EZPW and is a member of the Russell 2000 Index, S&amp;P SmallCap 600 Index, S&amp;P 1000 Index and Nasdaq Composite Index.</w:t>
      </w: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189"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This announcement contains certain forward-looking statements regarding the retirement of the company’s current debt obligations. These statements are based on the company’s current intentions and expectations as to the outcome and timing of future events. All statements, including statements regarding the company's strategy, initiatives and future performance, that address activities or results that the company plans, expects, intends, believes, projects, estimates or anticipates, will, should or may occur in the future are forward-looking statements. Actual results for future periods may differ materially from those expressed or implied by these forward-looking statements due to a number of uncertainties and other factors, including operating risks, liquidity risks, legislative or regulatory developments, market factors or current or future litigation. For a discussion of these and other factors affecting the company’s business and prospects, see the company’s annual, quarterly and other reports filed with the Securities and Exchange Commission. The company undertakes no obligation to update or revise forward-looking statements to reflect changed assumptions, the occurrence of unanticipated events or changes to future operating results over time.</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Contact: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Jeff Christensen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jeff_christensen@ezcorp.com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(512) 437-3545</w:t>
      </w:r>
    </w:p>
    <w:sectPr>
      <w:pgSz w:w="11900" w:h="16838" w:orient="portrait"/>
      <w:cols w:equalWidth="0" w:num="1">
        <w:col w:w="11320"/>
      </w:cols>
      <w:pgMar w:left="240" w:top="141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o"/>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2020-01-09T18:30:23Z</dcterms:created>
  <dcterms:modified xsi:type="dcterms:W3CDTF">2020-01-09T18:30:23Z</dcterms:modified>
</cp:coreProperties>
</file>