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86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8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Rothamel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282,437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11.1025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282,637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11.105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282,837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11.11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284,337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11.115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284,437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285,837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286,937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2,850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289,787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11.1525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290,087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11.155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290,187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11.1599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291,087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11.16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292,787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11.1675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292,887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293,887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11.175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294,287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294,587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11.19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294,987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11.2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295,187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amount of Securities Beneficially owned includes 13,250 shares purchased on the open market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200,000 unvested Restricted Stock Awards.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Laura Jones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02/03/2014</w:t>
            </w:r>
          </w:p>
        </w:tc>
      </w:tr>
      <w:tr>
        <w:trPr>
          <w:trHeight w:val="196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218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2020-01-25T21:35:41Z</dcterms:created>
  <dcterms:modified xsi:type="dcterms:W3CDTF">2020-01-25T21:35:41Z</dcterms:modified>
</cp:coreProperties>
</file>