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Washington, D.C. 20549</w:t>
      </w:r>
    </w:p>
    <w:p>
      <w:pPr>
        <w:spacing w:after="0" w:line="86"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SCHEDULE 14A</w:t>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Arial" w:cs="Arial" w:eastAsia="Arial" w:hAnsi="Arial"/>
          <w:sz w:val="18"/>
          <w:szCs w:val="18"/>
          <w:b w:val="1"/>
          <w:bCs w:val="1"/>
          <w:color w:val="auto"/>
        </w:rPr>
        <w:t>[</w:t>
      </w:r>
      <w:r>
        <w:rPr>
          <w:rFonts w:ascii="Arial" w:cs="Arial" w:eastAsia="Arial" w:hAnsi="Arial"/>
          <w:sz w:val="18"/>
          <w:szCs w:val="18"/>
          <w:color w:val="auto"/>
        </w:rPr>
        <w:t>X</w:t>
      </w:r>
      <w:r>
        <w:rPr>
          <w:rFonts w:ascii="Arial" w:cs="Arial" w:eastAsia="Arial" w:hAnsi="Arial"/>
          <w:sz w:val="18"/>
          <w:szCs w:val="18"/>
          <w:b w:val="1"/>
          <w:bCs w:val="1"/>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8"/>
          <w:szCs w:val="18"/>
          <w:b w:val="1"/>
          <w:bCs w:val="1"/>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7"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63"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63"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63"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under § 240.14a-12</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86"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40" w:hanging="105"/>
        <w:spacing w:after="0"/>
        <w:tabs>
          <w:tab w:leader="none" w:pos="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63"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500" w:hanging="6"/>
        <w:spacing w:after="0" w:line="277" w:lineRule="auto"/>
        <w:tabs>
          <w:tab w:leader="none" w:pos="75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-147320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-327660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-644525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-824865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2"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63" w:lineRule="exact"/>
        <w:rPr>
          <w:sz w:val="24"/>
          <w:szCs w:val="24"/>
          <w:color w:val="auto"/>
        </w:rPr>
      </w:pPr>
    </w:p>
    <w:p>
      <w:pPr>
        <w:ind w:left="500" w:right="260" w:hanging="465"/>
        <w:spacing w:after="0" w:line="277" w:lineRule="auto"/>
        <w:tabs>
          <w:tab w:leader="none" w:pos="146"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-147320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-327660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-507365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280"/>
          </w:cols>
          <w:pgMar w:left="240" w:top="684" w:right="37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380365</wp:posOffset>
            </wp:positionV>
            <wp:extent cx="186944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1901 Capital Parkway</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Austin, Texas 78746</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February 13,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Class A Non-Voting Common Stock of EZCORP, Inc.:</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behalf of the Board of Directors, it is my pleasure to invite you to EZCORP's 2014 Annual Meeting of Stockholders. The meeting will be held on Monday, March 24, 2014 at 10:00 a.m., Central Time, in the Barton Creek Room at the Barton Creek Resort &amp; Spa, 8212 Barton Club Drive, Austin, Texas 78735.</w:t>
      </w:r>
    </w:p>
    <w:p>
      <w:pPr>
        <w:spacing w:after="0" w:line="127"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At the meeting, stockholders will consider and vote on a proposal to amend our Certificate of Incorporation to increase the number of authorized shares of Class A Non-Voting Common Stock from 55,550,000 shares to 100,000,000 shares. The Board of Directors has approved, and recommends that you adopt, this amendment in order provide us with additional authorized but unissued shares of Class A Non-Voting Common Stock that may be used to support our growth and to provide adequate flexibility for future financings and other corporate needs. Details of the proposal are described in the accompanying proxy statement, which you are urged to read thoroughly.</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Your vote is very important. Whether or not you plan to attend the meeting, please complete, sign, date and return the enclosed proxy card in the envelope provided, or you may vote by telephone or on the Internet as described on your proxy card. If you plan to attend the meeting, you may vote in person even if you have previously delivered your proxy.</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you have any questions concerning the meeting, please contact our Investor Relations Department at 512.314.2220 or investorrelations@ezcorp.com. For questions regarding your stock ownership, you may contact our transfer agent, American Stock Transfer &amp; Trust Company, at 800.937.5449 or www.amstock.com.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EZCORP, Inc.</w:t>
      </w:r>
    </w:p>
    <w:p>
      <w:pPr>
        <w:spacing w:after="0" w:line="200" w:lineRule="exact"/>
        <w:rPr>
          <w:sz w:val="20"/>
          <w:szCs w:val="20"/>
          <w:color w:val="auto"/>
        </w:rPr>
      </w:pPr>
    </w:p>
    <w:p>
      <w:pPr>
        <w:spacing w:after="0" w:line="24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Paul E. Rothamel</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80"/>
          </w:cols>
          <w:pgMar w:left="240" w:top="1273"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96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r>
      <w:tr>
        <w:trPr>
          <w:trHeight w:val="945"/>
        </w:trPr>
        <w:tc>
          <w:tcPr>
            <w:tcW w:w="8960" w:type="dxa"/>
            <w:vAlign w:val="bottom"/>
          </w:tcPr>
          <w:p>
            <w:pPr>
              <w:spacing w:after="0"/>
              <w:rPr>
                <w:sz w:val="20"/>
                <w:szCs w:val="20"/>
                <w:color w:val="auto"/>
              </w:rPr>
            </w:pPr>
            <w:r>
              <w:rPr>
                <w:rFonts w:ascii="Arial" w:cs="Arial" w:eastAsia="Arial" w:hAnsi="Arial"/>
                <w:sz w:val="18"/>
                <w:szCs w:val="18"/>
                <w:color w:val="auto"/>
              </w:rPr>
              <w:t>NOTICE OF ANNUAL MEETING OF STOCKHOLDERS</w:t>
            </w:r>
          </w:p>
        </w:tc>
        <w:tc>
          <w:tcPr>
            <w:tcW w:w="920" w:type="dxa"/>
            <w:vAlign w:val="bottom"/>
          </w:tcPr>
          <w:p>
            <w:pPr>
              <w:ind w:left="760"/>
              <w:spacing w:after="0"/>
              <w:rPr>
                <w:sz w:val="20"/>
                <w:szCs w:val="20"/>
                <w:color w:val="auto"/>
              </w:rPr>
            </w:pPr>
            <w:r>
              <w:rPr>
                <w:rFonts w:ascii="Arial" w:cs="Arial" w:eastAsia="Arial" w:hAnsi="Arial"/>
                <w:sz w:val="18"/>
                <w:szCs w:val="18"/>
                <w:color w:val="auto"/>
              </w:rPr>
              <w:t>iii</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ABOUT THE MEETING</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99"/>
              </w:rPr>
              <w:t>1</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PROPOSAL 1</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99"/>
              </w:rPr>
              <w:t>6</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PROPOSAL 2</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99"/>
              </w:rPr>
              <w:t>9</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OTHER MATTERS</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99"/>
              </w:rPr>
              <w:t>9</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SECURITY OWNERSHIP OF BENEFICIAL OWNERS AND MANAGEMENT</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89"/>
              </w:rPr>
              <w:t>10</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ADDITIONAL INFORMATION</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89"/>
              </w:rPr>
              <w:t>12</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HOUSEHOLDING</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89"/>
              </w:rPr>
              <w:t>12</w:t>
            </w:r>
          </w:p>
        </w:tc>
      </w:tr>
      <w:tr>
        <w:trPr>
          <w:trHeight w:val="164"/>
        </w:trPr>
        <w:tc>
          <w:tcPr>
            <w:tcW w:w="8960" w:type="dxa"/>
            <w:vAlign w:val="bottom"/>
          </w:tcPr>
          <w:p>
            <w:pPr>
              <w:spacing w:after="0" w:line="164" w:lineRule="exact"/>
              <w:rPr>
                <w:sz w:val="20"/>
                <w:szCs w:val="20"/>
                <w:color w:val="auto"/>
              </w:rPr>
            </w:pPr>
            <w:r>
              <w:rPr>
                <w:rFonts w:ascii="Arial" w:cs="Arial" w:eastAsia="Arial" w:hAnsi="Arial"/>
                <w:sz w:val="18"/>
                <w:szCs w:val="18"/>
                <w:color w:val="auto"/>
              </w:rPr>
              <w:t>APPENDIX A--CERTIFICATE OF AMENDMENT TO THE AMENDED AND RESTATED CERTIFICATE OF</w:t>
            </w:r>
          </w:p>
        </w:tc>
        <w:tc>
          <w:tcPr>
            <w:tcW w:w="92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vMerge w:val="restart"/>
          </w:tcPr>
          <w:p>
            <w:pPr>
              <w:spacing w:after="0"/>
              <w:rPr>
                <w:sz w:val="20"/>
                <w:szCs w:val="20"/>
                <w:color w:val="auto"/>
              </w:rPr>
            </w:pPr>
            <w:r>
              <w:rPr>
                <w:rFonts w:ascii="Arial" w:cs="Arial" w:eastAsia="Arial" w:hAnsi="Arial"/>
                <w:sz w:val="18"/>
                <w:szCs w:val="18"/>
                <w:color w:val="auto"/>
              </w:rPr>
              <w:t>INCORPORATION OF EZCORP, INC.</w:t>
            </w:r>
          </w:p>
        </w:tc>
        <w:tc>
          <w:tcPr>
            <w:tcW w:w="3660" w:type="dxa"/>
            <w:vAlign w:val="bottom"/>
          </w:tcPr>
          <w:p>
            <w:pPr>
              <w:ind w:left="3380"/>
              <w:spacing w:after="0"/>
              <w:rPr>
                <w:sz w:val="20"/>
                <w:szCs w:val="20"/>
                <w:color w:val="auto"/>
              </w:rPr>
            </w:pPr>
            <w:r>
              <w:rPr>
                <w:rFonts w:ascii="Arial" w:cs="Arial" w:eastAsia="Arial" w:hAnsi="Arial"/>
                <w:sz w:val="18"/>
                <w:szCs w:val="18"/>
                <w:color w:val="auto"/>
                <w:w w:val="92"/>
              </w:rPr>
              <w:t>A-1</w:t>
            </w:r>
          </w:p>
        </w:tc>
        <w:tc>
          <w:tcPr>
            <w:tcW w:w="0" w:type="dxa"/>
            <w:vAlign w:val="bottom"/>
          </w:tcPr>
          <w:p>
            <w:pPr>
              <w:spacing w:after="0"/>
              <w:rPr>
                <w:sz w:val="1"/>
                <w:szCs w:val="1"/>
                <w:color w:val="auto"/>
              </w:rPr>
            </w:pPr>
          </w:p>
        </w:tc>
      </w:tr>
      <w:tr>
        <w:trPr>
          <w:trHeight w:val="92"/>
        </w:trPr>
        <w:tc>
          <w:tcPr>
            <w:tcW w:w="6260" w:type="dxa"/>
            <w:vAlign w:val="bottom"/>
            <w:vMerge w:val="continue"/>
          </w:tcPr>
          <w:p>
            <w:pPr>
              <w:spacing w:after="0"/>
              <w:rPr>
                <w:sz w:val="8"/>
                <w:szCs w:val="8"/>
                <w:color w:val="auto"/>
              </w:rPr>
            </w:pP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179"/>
          </w:cols>
          <w:pgMar w:left="280" w:top="58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380365</wp:posOffset>
            </wp:positionV>
            <wp:extent cx="186944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EZCORP,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1901 Capital Parkway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Austin, Texas 78746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Class A Non-Voting Common Stock of EZCORP, Inc.:</w:t>
      </w:r>
    </w:p>
    <w:p>
      <w:pPr>
        <w:spacing w:after="0" w:line="17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EZCORP's 2014 Annual Meeting of Stockholders will be held on Monday, March 24, 2014, at 10:00 a.m., Central Time, in the Barton Creek Room at the Barton Creek Resort &amp; Spa, 8212 Barton Club Drive, Austin, Texas 78735. At the meeting, the stockholders will consider and vote on the following proposals:</w:t>
      </w:r>
    </w:p>
    <w:p>
      <w:pPr>
        <w:spacing w:after="0" w:line="127" w:lineRule="exact"/>
        <w:rPr>
          <w:sz w:val="20"/>
          <w:szCs w:val="20"/>
          <w:color w:val="auto"/>
        </w:rPr>
      </w:pPr>
    </w:p>
    <w:p>
      <w:pPr>
        <w:ind w:left="1300" w:hanging="1296"/>
        <w:spacing w:after="0" w:line="308" w:lineRule="auto"/>
        <w:tabs>
          <w:tab w:leader="none" w:pos="128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7"/>
          <w:szCs w:val="17"/>
          <w:color w:val="auto"/>
        </w:rPr>
        <w:t>A proposal to approve an amendment to Article Fourth of the Company’s Amended and Restated Certificate of Incorporation to increase the number of authorized shares of Class A Non-Voting Common Stock from 55,550,000 shares to 100,000,000 shares; and</w:t>
      </w:r>
    </w:p>
    <w:p>
      <w:pPr>
        <w:spacing w:after="0" w:line="93" w:lineRule="exact"/>
        <w:rPr>
          <w:sz w:val="20"/>
          <w:szCs w:val="20"/>
          <w:color w:val="auto"/>
        </w:rPr>
      </w:pPr>
    </w:p>
    <w:p>
      <w:pPr>
        <w:ind w:left="1300" w:right="340" w:hanging="1296"/>
        <w:spacing w:after="0" w:line="277" w:lineRule="auto"/>
        <w:tabs>
          <w:tab w:leader="none" w:pos="12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A proposal to approve an adjournment of the Annual Meeting, if necessary or appropriate, to permit solicitation of additional proxies in favor of Proposal 1.</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At the meeting, Company management will review the financial and operating results for fiscal 2013 and will discuss plans and initiatives for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 are urged to read carefully the accompanying Proxy Statement for additional information concerning the proposals.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record date for the annual meeting is February 5, 2014, and the holders of EZCORP stock at the close of business on that date are entitled to notice of and to attend the meeting or at any adjournment or postponement thereof and to vote at the meeting or any adjournment or postponement thereof on matters as to which they have voting rights.</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 assure your representation at the meeting, we urge you to complete, sign, date and return the enclosed proxy card in the envelope provided, or you may vote by telephone or on the Internet as described on your proxy card. If you attend the meeting, you may vote in person, even if you have previously delivered your proxy.</w:t>
      </w:r>
    </w:p>
    <w:p>
      <w:pPr>
        <w:spacing w:after="0" w:line="1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Thomas H. Welch, Jr.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1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February 13, 2014</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Austin,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54875" cy="600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600075"/>
                    </a:xfrm>
                    <a:prstGeom prst="rect">
                      <a:avLst/>
                    </a:prstGeom>
                    <a:noFill/>
                  </pic:spPr>
                </pic:pic>
              </a:graphicData>
            </a:graphic>
          </wp:anchor>
        </w:drawing>
      </w: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ANNUAL MEETING TO BE HELD ON MARCH 24, 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Proxy Statement is available at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1273" w:right="239" w:bottom="1440" w:gutter="0" w:footer="0" w:header="0"/>
        </w:sectPr>
      </w:pPr>
    </w:p>
    <w:bookmarkStart w:id="4" w:name="page5"/>
    <w:bookmarkEnd w:id="4"/>
    <w:p>
      <w:pPr>
        <w:ind w:left="4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380365</wp:posOffset>
            </wp:positionV>
            <wp:extent cx="186944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1901 Capital Parkway</w:t>
      </w:r>
    </w:p>
    <w:p>
      <w:pPr>
        <w:spacing w:after="0" w:line="28"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Austin, Texas 78746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EZCORP,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furnishing this Proxy Statement in connection with the solicitation by the Board of Directors of the Company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of proxies from holders of Class A Non-Voting Common Stock for use at the Company’s 2014 Annual Meeting of Stockholders (the "</w:t>
      </w:r>
      <w:r>
        <w:rPr>
          <w:rFonts w:ascii="Arial" w:cs="Arial" w:eastAsia="Arial" w:hAnsi="Arial"/>
          <w:sz w:val="16"/>
          <w:szCs w:val="16"/>
          <w:b w:val="1"/>
          <w:bCs w:val="1"/>
          <w:i w:val="1"/>
          <w:iCs w:val="1"/>
          <w:color w:val="auto"/>
        </w:rPr>
        <w:t>Meeting</w:t>
      </w:r>
      <w:r>
        <w:rPr>
          <w:rFonts w:ascii="Arial" w:cs="Arial" w:eastAsia="Arial" w:hAnsi="Arial"/>
          <w:sz w:val="16"/>
          <w:szCs w:val="16"/>
          <w:color w:val="auto"/>
        </w:rPr>
        <w:t>"). This proxy statement and the related proxy card are being distributed to stockholders on or about February 13, 2014.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classes of common outstanding:</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Class A Non-Voting Common Stock, par value $0.01 per share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Class B Voting Common Stock, par value $0.01 per share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Class A Common Stock is publicly traded on the NASDAQ Stock Market under the symbol “EZPW.” The Class B Common Stock is held by a single stockholder. When used in the Proxy Statement, "Class A Stockholders" refers to the holders of the Class A Common Stock, "Class B Stockholder" refers to the sole holder of the Class B Common Stock, and "Stockholders" refers to the Class A Stockholders and the Class B Stockholder collectively.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References to “EZCORP,” the “Company,” “we,” “our” and “us” refer to EZCORP, Inc.</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Meeting?</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Each year, we hold an annual meeting of stockholders to review the financial and operating results for the preceding fiscal year and to discuss plans and initiatives for the future. This year, we will also ask you to consider and vote on the following matters:</w:t>
      </w:r>
    </w:p>
    <w:p>
      <w:pPr>
        <w:spacing w:after="0" w:line="116" w:lineRule="exact"/>
        <w:rPr>
          <w:sz w:val="20"/>
          <w:szCs w:val="20"/>
          <w:color w:val="auto"/>
        </w:rPr>
      </w:pPr>
    </w:p>
    <w:p>
      <w:pPr>
        <w:ind w:left="1300" w:hanging="1296"/>
        <w:spacing w:after="0" w:line="264" w:lineRule="auto"/>
        <w:tabs>
          <w:tab w:leader="none" w:pos="128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A proposal to adopt an amendment to Article Fourth of the Company’s Amended and Restated Certificate of Incorporation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Incorporation</w:t>
      </w:r>
      <w:r>
        <w:rPr>
          <w:rFonts w:ascii="Arial" w:cs="Arial" w:eastAsia="Arial" w:hAnsi="Arial"/>
          <w:sz w:val="18"/>
          <w:szCs w:val="18"/>
          <w:color w:val="auto"/>
        </w:rPr>
        <w:t>”) to increase the number of authorized shares of Class A Common Stock from 55,550,000 shares to 100,000,000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p>
    <w:p>
      <w:pPr>
        <w:spacing w:after="0" w:line="127" w:lineRule="exact"/>
        <w:rPr>
          <w:sz w:val="20"/>
          <w:szCs w:val="20"/>
          <w:color w:val="auto"/>
        </w:rPr>
      </w:pPr>
    </w:p>
    <w:p>
      <w:pPr>
        <w:ind w:left="1300" w:right="260" w:hanging="1296"/>
        <w:spacing w:after="0" w:line="277" w:lineRule="auto"/>
        <w:tabs>
          <w:tab w:leader="none" w:pos="12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A proposal to approve an adjournment of the Meeting, if necessary or appropriate, to permit solicitation of additional proxies in favor of Proposal 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Class B Stockholder will also act on these two proposals at the Meeting or any adjournments or postponements thereof.</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Although the Class A Stockholders are generally not entitled to vote on matters submitted to the Stockholders, Delaware law provides that, in order to increase the number of authorized shares of a class of stock, the increase must be approved by a majority of the holders of that class. Thus, we are seeking the approval of the proposals by both the Class A Stockholders and the Class B Stockholder. </w:t>
      </w:r>
      <w:r>
        <w:rPr>
          <w:rFonts w:ascii="Arial" w:cs="Arial" w:eastAsia="Arial" w:hAnsi="Arial"/>
          <w:sz w:val="18"/>
          <w:szCs w:val="18"/>
          <w:b w:val="1"/>
          <w:bCs w:val="1"/>
          <w:color w:val="auto"/>
        </w:rPr>
        <w:t>The Class B Stockholder has already indicated its intention to</w:t>
      </w:r>
      <w:r>
        <w:rPr>
          <w:rFonts w:ascii="Arial" w:cs="Arial" w:eastAsia="Arial" w:hAnsi="Arial"/>
          <w:sz w:val="18"/>
          <w:szCs w:val="18"/>
          <w:color w:val="auto"/>
        </w:rPr>
        <w:t xml:space="preserve"> </w:t>
      </w:r>
      <w:r>
        <w:rPr>
          <w:rFonts w:ascii="Arial" w:cs="Arial" w:eastAsia="Arial" w:hAnsi="Arial"/>
          <w:sz w:val="18"/>
          <w:szCs w:val="18"/>
          <w:b w:val="1"/>
          <w:bCs w:val="1"/>
          <w:color w:val="auto"/>
        </w:rPr>
        <w:t>vote "FOR" both proposals</w:t>
      </w:r>
      <w:r>
        <w:rPr>
          <w:rFonts w:ascii="Arial" w:cs="Arial" w:eastAsia="Arial" w:hAnsi="Arial"/>
          <w:sz w:val="18"/>
          <w:szCs w:val="18"/>
          <w:color w:val="auto"/>
        </w:rPr>
        <w:t>.</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273"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Why did I receive this Proxy Statement?</w:t>
      </w:r>
    </w:p>
    <w:p>
      <w:pPr>
        <w:spacing w:after="0" w:line="17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We sent you this Proxy Statement, the accompanying Notice of Special Meeting and the enclosed proxy card because you were a holder of record of Class A Common Stock as of the close of business on February 5, 2014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and the Board Directors is soliciting your proxy to vote at the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17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Class B Common Stock is the only class of capital stock generally entitled to vote on matters submitted to the vote of Stockholders. Thus, in accordance with Section 242(b)(1)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the Certificate of Incorporation, the Class B Stockholder is entitled to vote on the proposals.</w:t>
      </w:r>
    </w:p>
    <w:p>
      <w:pPr>
        <w:spacing w:after="0" w:line="1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Section 242(b)(2) of the DGCL requires that any proposed amendment to the Certificate of Incorporation that would increase the aggregate number of authorized shares of Class A Common Stock must be approved by the holders of a majority of the outstanding shares of Class A Common Stock, voting as a separate class, even though those shares are not otherwise entitled to voting rights under the Certificate of Incorporation. Accordingly, each recordholder of Class A Common Stock as of the close of business on the Record Date is entitled to vote the number of shares of Class A Common Stock held by such holder on the Record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vote by the Class A Stockholders will be separate and apart from the vote by the Class B Stockholder.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approval of the proposal?</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Approval of the proposals requires the affirmative vote of both (a) the holders of a majority of the outstanding shares of Class A Common Stock, voting as a separate class, and (b) the holders of the majority of the outstanding shares of Class B Common Stock, voting as a separate class. </w:t>
      </w:r>
      <w:r>
        <w:rPr>
          <w:rFonts w:ascii="Arial" w:cs="Arial" w:eastAsia="Arial" w:hAnsi="Arial"/>
          <w:sz w:val="18"/>
          <w:szCs w:val="18"/>
          <w:b w:val="1"/>
          <w:bCs w:val="1"/>
          <w:color w:val="auto"/>
        </w:rPr>
        <w:t>The Class B Stockholder</w:t>
      </w:r>
      <w:r>
        <w:rPr>
          <w:rFonts w:ascii="Arial" w:cs="Arial" w:eastAsia="Arial" w:hAnsi="Arial"/>
          <w:sz w:val="18"/>
          <w:szCs w:val="18"/>
          <w:color w:val="auto"/>
        </w:rPr>
        <w:t xml:space="preserve"> </w:t>
      </w:r>
      <w:r>
        <w:rPr>
          <w:rFonts w:ascii="Arial" w:cs="Arial" w:eastAsia="Arial" w:hAnsi="Arial"/>
          <w:sz w:val="18"/>
          <w:szCs w:val="18"/>
          <w:b w:val="1"/>
          <w:bCs w:val="1"/>
          <w:color w:val="auto"/>
        </w:rPr>
        <w:t>has already indicated its intention to vote "FOR" both proposals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of Class A Non-Voting Common Stock and Class B Voting Common Stock are outstanding?</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February 5, 2014, there were 51,402,557 shares of Class A Common Stock issued and outstanding and 2,970,171 shares of Class B Common Stock issued and outstanding. As of February 5</w:t>
      </w:r>
      <w:r>
        <w:rPr>
          <w:rFonts w:ascii="Arial" w:cs="Arial" w:eastAsia="Arial" w:hAnsi="Arial"/>
          <w:sz w:val="16"/>
          <w:szCs w:val="16"/>
          <w:b w:val="1"/>
          <w:bCs w:val="1"/>
          <w:color w:val="auto"/>
        </w:rPr>
        <w:t>,</w:t>
      </w:r>
      <w:r>
        <w:rPr>
          <w:rFonts w:ascii="Arial" w:cs="Arial" w:eastAsia="Arial" w:hAnsi="Arial"/>
          <w:sz w:val="16"/>
          <w:szCs w:val="16"/>
          <w:color w:val="auto"/>
        </w:rPr>
        <w:t xml:space="preserve"> 2014, our directors and executive officers had the right to vote 1,092,611 shares of Class A Common Stock.</w:t>
      </w:r>
    </w:p>
    <w:p>
      <w:pPr>
        <w:spacing w:after="0" w:line="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of February 5, 2014, MS Pawn Limited Partnership owned all of the outstanding Class B Common Stock. Phillip Ean Cohen owns all of the issued and outstanding stock of MS Pawn Corporation, the sole general partner of MS Pawn Limited Partnership, and is the beneficial owner of all of the outstanding shares of Class B Common Stock. See “Security Ownership of Beneficial Owners and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can I 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You are entitled to one vote for each share of Class A Common Stock you owned as of the close of business on the Record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attend the Meeting?</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you owned shares of Class A Common Stock as of the close of business on the Record Date, you are permitted to attend the Meeting. You should be prepared to present photo identification for admittance to the Meeting, and if your Class A Common Stock is held in the name of your broker, bank or other nominee, you should also be prepared to present an account statement or letter from the nominee indicating that you were the beneficial owner on the Record Date.</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If I plan to attend the Meeting, should I still vote by proxy?</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Whether or not you plan to attend the Meeting, we urge you to vote by proxy. Delivery of your proxy will assure your representation at the Meeting, but will not affect your right to attend the Meeting and to vote in person if you choose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“street name” stockholder?</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Most stockholders hold their shares through a bank, broker or other nominee rather than directly in their own name. As summarized below, there are some distinctions between shares held of record and those owned in street name.</w:t>
      </w:r>
    </w:p>
    <w:p>
      <w:pPr>
        <w:spacing w:after="0" w:line="116" w:lineRule="exact"/>
        <w:rPr>
          <w:sz w:val="20"/>
          <w:szCs w:val="20"/>
          <w:color w:val="auto"/>
        </w:rPr>
      </w:pPr>
    </w:p>
    <w:p>
      <w:pPr>
        <w:ind w:left="660" w:hanging="328"/>
        <w:spacing w:after="0" w:line="264"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Stockholder of Record — </w:t>
      </w:r>
      <w:r>
        <w:rPr>
          <w:rFonts w:ascii="Arial" w:cs="Arial" w:eastAsia="Arial" w:hAnsi="Arial"/>
          <w:sz w:val="18"/>
          <w:szCs w:val="18"/>
          <w:color w:val="auto"/>
        </w:rPr>
        <w:t>If your Class A Common Stock is registered directly in your name with our transfer agent and registrar (American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&amp; Trust Company), you are considered a stockholder of record. As the stockholder of record on the Record Date, you have the right to grant your voting proxy directly or to vote in person at the Meeting.</w:t>
      </w:r>
    </w:p>
    <w:p>
      <w:pPr>
        <w:spacing w:after="0" w:line="127" w:lineRule="exact"/>
        <w:rPr>
          <w:rFonts w:ascii="Arial" w:cs="Arial" w:eastAsia="Arial" w:hAnsi="Arial"/>
          <w:sz w:val="18"/>
          <w:szCs w:val="18"/>
          <w:i w:val="1"/>
          <w:iCs w:val="1"/>
          <w:color w:val="auto"/>
        </w:rPr>
      </w:pPr>
    </w:p>
    <w:p>
      <w:pPr>
        <w:ind w:left="660" w:right="140" w:hanging="328"/>
        <w:spacing w:after="0" w:line="297" w:lineRule="auto"/>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Street Name Stockholder — </w:t>
      </w:r>
      <w:r>
        <w:rPr>
          <w:rFonts w:ascii="Arial" w:cs="Arial" w:eastAsia="Arial" w:hAnsi="Arial"/>
          <w:sz w:val="16"/>
          <w:szCs w:val="16"/>
          <w:color w:val="auto"/>
        </w:rPr>
        <w:t>If your shares are held in a stock brokerage account or by a bank or other nominee, you are considered the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owner of shares held in “street name.” As the beneficial owner, you have the right to direct your bank, broker or other nominee how to vote and are also invited to attend the Meeting. However, since you are not the stockholder of record, you may not vote your shares in person at the Meeting unless you have obtained a legal proxy from the stockholder of record giving you the right to vote the shares. If you would like to obtain a legal proxy from the stockholder of record, you should contact the bank, broker or other nominee who is holding shares on your behalf.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Stockholders of Record — </w:t>
      </w:r>
      <w:r>
        <w:rPr>
          <w:rFonts w:ascii="Arial" w:cs="Arial" w:eastAsia="Arial" w:hAnsi="Arial"/>
          <w:sz w:val="18"/>
          <w:szCs w:val="18"/>
          <w:color w:val="auto"/>
        </w:rPr>
        <w:t>Stockholders of record may vote their shares at the Meeting or submit a proxy to have their shares voted by one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methods:</w:t>
      </w:r>
    </w:p>
    <w:p>
      <w:pPr>
        <w:spacing w:after="0" w:line="116" w:lineRule="exact"/>
        <w:rPr>
          <w:sz w:val="20"/>
          <w:szCs w:val="20"/>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 You may indicate your vote by completing, signing and dating your proxy card and returning it in the enclosed postage-paid envelope or</w:t>
      </w:r>
      <w:r>
        <w:rPr>
          <w:rFonts w:ascii="Arial" w:cs="Arial" w:eastAsia="Arial" w:hAnsi="Arial"/>
          <w:sz w:val="18"/>
          <w:szCs w:val="18"/>
          <w:i w:val="1"/>
          <w:iCs w:val="1"/>
          <w:color w:val="auto"/>
        </w:rPr>
        <w:t xml:space="preserve"> </w:t>
      </w:r>
      <w:r>
        <w:rPr>
          <w:rFonts w:ascii="Arial" w:cs="Arial" w:eastAsia="Arial" w:hAnsi="Arial"/>
          <w:sz w:val="18"/>
          <w:szCs w:val="18"/>
          <w:color w:val="auto"/>
        </w:rPr>
        <w:t>returning it to Vote Processing, c/o Broadridge, 51 Mercedes Way, Edgewood, NY 11717.</w:t>
      </w:r>
    </w:p>
    <w:p>
      <w:pPr>
        <w:spacing w:after="0" w:line="116" w:lineRule="exact"/>
        <w:rPr>
          <w:rFonts w:ascii="Arial" w:cs="Arial" w:eastAsia="Arial" w:hAnsi="Arial"/>
          <w:sz w:val="18"/>
          <w:szCs w:val="18"/>
          <w:i w:val="1"/>
          <w:iCs w:val="1"/>
          <w:color w:val="auto"/>
        </w:rPr>
      </w:pPr>
    </w:p>
    <w:p>
      <w:pPr>
        <w:jc w:val="both"/>
        <w:ind w:left="660" w:right="140" w:hanging="328"/>
        <w:spacing w:after="0" w:line="264"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Telephone — </w:t>
      </w:r>
      <w:r>
        <w:rPr>
          <w:rFonts w:ascii="Arial" w:cs="Arial" w:eastAsia="Arial" w:hAnsi="Arial"/>
          <w:sz w:val="18"/>
          <w:szCs w:val="18"/>
          <w:color w:val="auto"/>
        </w:rPr>
        <w:t>You may submit a proxy by telephone (from the United States only) using the toll-free telephone number listed on the proxy card.</w:t>
      </w:r>
      <w:r>
        <w:rPr>
          <w:rFonts w:ascii="Arial" w:cs="Arial" w:eastAsia="Arial" w:hAnsi="Arial"/>
          <w:sz w:val="18"/>
          <w:szCs w:val="18"/>
          <w:i w:val="1"/>
          <w:iCs w:val="1"/>
          <w:color w:val="auto"/>
        </w:rPr>
        <w:t xml:space="preserve"> </w:t>
      </w:r>
      <w:r>
        <w:rPr>
          <w:rFonts w:ascii="Arial" w:cs="Arial" w:eastAsia="Arial" w:hAnsi="Arial"/>
          <w:sz w:val="18"/>
          <w:szCs w:val="18"/>
          <w:color w:val="auto"/>
        </w:rPr>
        <w:t>Please have your proxy card in hand when you call. Telephone voting facilities will be available 24 hours a day and will close at 5:00 p.m., Eastern Time, on March 23, 2014.</w:t>
      </w:r>
    </w:p>
    <w:p>
      <w:pPr>
        <w:spacing w:after="0" w:line="127" w:lineRule="exact"/>
        <w:rPr>
          <w:rFonts w:ascii="Arial" w:cs="Arial" w:eastAsia="Arial" w:hAnsi="Arial"/>
          <w:sz w:val="18"/>
          <w:szCs w:val="18"/>
          <w:i w:val="1"/>
          <w:iCs w:val="1"/>
          <w:color w:val="auto"/>
        </w:rPr>
      </w:pPr>
    </w:p>
    <w:p>
      <w:pPr>
        <w:jc w:val="both"/>
        <w:ind w:left="660" w:right="40" w:hanging="328"/>
        <w:spacing w:after="0" w:line="264"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Internet — </w:t>
      </w:r>
      <w:r>
        <w:rPr>
          <w:rFonts w:ascii="Arial" w:cs="Arial" w:eastAsia="Arial" w:hAnsi="Arial"/>
          <w:sz w:val="18"/>
          <w:szCs w:val="18"/>
          <w:color w:val="auto"/>
        </w:rPr>
        <w:t>You may submit a proxy electronically on the Internet by following the instructions provided on the enclosed proxy card. Please have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in hand when you log onto the website. Internet voting facilities will be available 24 hours a day and will close at 5:00 p.m., Eastern Time, on March 23, 2014.</w:t>
      </w:r>
    </w:p>
    <w:p>
      <w:pPr>
        <w:spacing w:after="0" w:line="127" w:lineRule="exact"/>
        <w:rPr>
          <w:rFonts w:ascii="Arial" w:cs="Arial" w:eastAsia="Arial" w:hAnsi="Arial"/>
          <w:sz w:val="18"/>
          <w:szCs w:val="18"/>
          <w:i w:val="1"/>
          <w:iCs w:val="1"/>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 Person — </w:t>
      </w:r>
      <w:r>
        <w:rPr>
          <w:rFonts w:ascii="Arial" w:cs="Arial" w:eastAsia="Arial" w:hAnsi="Arial"/>
          <w:sz w:val="18"/>
          <w:szCs w:val="18"/>
          <w:color w:val="auto"/>
        </w:rPr>
        <w:t>You may vote in person at the Meeting by completing a ballot. However, attending the Meeting without completing a ballot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count as a vote.</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Street Name Stockholders — </w:t>
      </w:r>
      <w:r>
        <w:rPr>
          <w:rFonts w:ascii="Arial" w:cs="Arial" w:eastAsia="Arial" w:hAnsi="Arial"/>
          <w:sz w:val="18"/>
          <w:szCs w:val="18"/>
          <w:color w:val="auto"/>
        </w:rPr>
        <w:t>Street name stockholders may generally vote their shares or submit a proxy to have their shares voted by one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methods:</w:t>
      </w:r>
    </w:p>
    <w:p>
      <w:pPr>
        <w:spacing w:after="0" w:line="116" w:lineRule="exact"/>
        <w:rPr>
          <w:sz w:val="20"/>
          <w:szCs w:val="20"/>
          <w:color w:val="auto"/>
        </w:rPr>
      </w:pPr>
    </w:p>
    <w:p>
      <w:pPr>
        <w:ind w:left="660" w:right="280" w:hanging="328"/>
        <w:spacing w:after="0" w:line="27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Mail — </w:t>
      </w:r>
      <w:r>
        <w:rPr>
          <w:rFonts w:ascii="Arial" w:cs="Arial" w:eastAsia="Arial" w:hAnsi="Arial"/>
          <w:sz w:val="18"/>
          <w:szCs w:val="18"/>
          <w:color w:val="auto"/>
        </w:rPr>
        <w:t>You may indicate your vote by completing, signing and dating your proxy card or other form forwarded by your bank, broker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and returning it to such party in the manner provided in such materials.</w:t>
      </w:r>
    </w:p>
    <w:p>
      <w:pPr>
        <w:spacing w:after="0" w:line="116" w:lineRule="exact"/>
        <w:rPr>
          <w:rFonts w:ascii="Arial" w:cs="Arial" w:eastAsia="Arial" w:hAnsi="Arial"/>
          <w:sz w:val="18"/>
          <w:szCs w:val="18"/>
          <w:i w:val="1"/>
          <w:iCs w:val="1"/>
          <w:color w:val="auto"/>
        </w:rPr>
      </w:pPr>
    </w:p>
    <w:p>
      <w:pPr>
        <w:ind w:left="660" w:right="80" w:hanging="328"/>
        <w:spacing w:after="0" w:line="264"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Methods Listed on Proxy Card — </w:t>
      </w:r>
      <w:r>
        <w:rPr>
          <w:rFonts w:ascii="Arial" w:cs="Arial" w:eastAsia="Arial" w:hAnsi="Arial"/>
          <w:sz w:val="18"/>
          <w:szCs w:val="18"/>
          <w:color w:val="auto"/>
        </w:rPr>
        <w:t>Please refer to your proxy card or other information forwarded by your bank, broker or other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to determine whether you may submit a proxy by telephone or electronically on the Internet, following the instructions on your proxy card or other information provided by the stockholder of record.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7" w:name="page8"/>
    <w:bookmarkEnd w:id="7"/>
    <w:p>
      <w:pPr>
        <w:jc w:val="both"/>
        <w:ind w:left="660" w:right="40" w:hanging="328"/>
        <w:spacing w:after="0" w:line="264"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 Person with a Proxy from the Stockholder of Record — </w:t>
      </w:r>
      <w:r>
        <w:rPr>
          <w:rFonts w:ascii="Arial" w:cs="Arial" w:eastAsia="Arial" w:hAnsi="Arial"/>
          <w:sz w:val="18"/>
          <w:szCs w:val="18"/>
          <w:color w:val="auto"/>
        </w:rPr>
        <w:t>You may vote in person at the Meeting if you obtain a legal proxy from your bank, broker</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stockholder of record. Please consult the voting form or other information sent to you by your bank, broker or other stockholder of record to determine how to obtain a legal proxy in order to vote in person at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Yes. If you are a stockholder of record, you may revoke your proxy at any time before it is exercised by:</w:t>
      </w:r>
    </w:p>
    <w:p>
      <w:pPr>
        <w:spacing w:after="0" w:line="171" w:lineRule="exact"/>
        <w:rPr>
          <w:sz w:val="20"/>
          <w:szCs w:val="20"/>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written notice of revocation no later than March 23, 2014 to EZCORP, Inc., 1901 Capital Parkway, Austin, Texas 78746, Attn: Corporate Secretary;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later-dated proxy with new voting instructions by mail, telephone or Internet;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Meeting and voting your shares in person.</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you are a street name stockholder and you vote by proxy, you may change your vote by submitting new voting instructions before the voting deadline to your bank, broker or other nominee in accordance with that entity’s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and why is it necessary?</w:t>
      </w:r>
    </w:p>
    <w:p>
      <w:pPr>
        <w:spacing w:after="0" w:line="17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 order to carry on the business of the Meeting, we must have a quorum. In accordance with our By-laws and the DGCL, the holders of a majority of our outstanding shares entitled to vote on a matter, present in person or by proxy, will constitute a quorum at the Meeting. Thus, the presence in person or by proxy of both (a) the holders of at least 25,701,279 shares of our Class A Common Stock and (b) the Class B Stockholder will be required to establish a quorum at the Meeting. The Class B Stockholder has already expressed his intention to be represented by proxy at the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do not give specific voting instructions: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Stockholders of Record — </w:t>
      </w:r>
      <w:r>
        <w:rPr>
          <w:rFonts w:ascii="Arial" w:cs="Arial" w:eastAsia="Arial" w:hAnsi="Arial"/>
          <w:sz w:val="18"/>
          <w:szCs w:val="18"/>
          <w:color w:val="auto"/>
        </w:rPr>
        <w:t>If you are a stockholder of record and you:</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that you wish to vote as recommended by the Board of Directors;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 sign and return a proxy card without giving specific voting instructions,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then the proxy holders will vote your shares in the manner recommended by the Board of Directors on the proposals (</w:t>
      </w:r>
      <w:r>
        <w:rPr>
          <w:rFonts w:ascii="Arial" w:cs="Arial" w:eastAsia="Arial" w:hAnsi="Arial"/>
          <w:sz w:val="17"/>
          <w:szCs w:val="17"/>
          <w:i w:val="1"/>
          <w:iCs w:val="1"/>
          <w:color w:val="auto"/>
        </w:rPr>
        <w:t>i.e.</w:t>
      </w:r>
      <w:r>
        <w:rPr>
          <w:rFonts w:ascii="Arial" w:cs="Arial" w:eastAsia="Arial" w:hAnsi="Arial"/>
          <w:sz w:val="17"/>
          <w:szCs w:val="17"/>
          <w:color w:val="auto"/>
        </w:rPr>
        <w:t>, "</w:t>
      </w:r>
      <w:r>
        <w:rPr>
          <w:rFonts w:ascii="Arial" w:cs="Arial" w:eastAsia="Arial" w:hAnsi="Arial"/>
          <w:sz w:val="17"/>
          <w:szCs w:val="17"/>
          <w:b w:val="1"/>
          <w:bCs w:val="1"/>
          <w:color w:val="auto"/>
        </w:rPr>
        <w:t>FOR</w:t>
      </w:r>
      <w:r>
        <w:rPr>
          <w:rFonts w:ascii="Arial" w:cs="Arial" w:eastAsia="Arial" w:hAnsi="Arial"/>
          <w:sz w:val="17"/>
          <w:szCs w:val="17"/>
          <w:color w:val="auto"/>
        </w:rPr>
        <w:t>" both proposals).</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Street Name Holders — </w:t>
      </w:r>
      <w:r>
        <w:rPr>
          <w:rFonts w:ascii="Arial" w:cs="Arial" w:eastAsia="Arial" w:hAnsi="Arial"/>
          <w:sz w:val="16"/>
          <w:szCs w:val="16"/>
          <w:color w:val="auto"/>
        </w:rPr>
        <w:t>If you are a street name stockholder and do not provide the organization that holds your shares with specific voting instructions,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 may generally vote on routine matters but cannot vote on non-routine matters. If the organization that holds your shares does not receive instructions from you on how to vote your shares on a non-routine matter, the organization does not have the authority to vote your shares with respect to the non-routine matter. This is generally referred to as a “broker non-vote.” We consider each of the proposals to be a routine matter under applicable rules, and your broker will be able to vote on the proposals if it does not receive instructions from you, so long as it holds your shares in your name.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abstentions and broker non-votes be treated?</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Approval of the proposals requires the affirmative vote of the holders of a majority of the outstanding shares of Class A Common Stock. Consequently, shares represented by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applicable proposal, although such shares will be counted as present and entitled to vote for purposes of determining the presence of a quorum.</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What is the Board of Directors' recommendation regarding the proposals?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unanimously recommends that the Stockholders vote “FOR” each of the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entitled to exercise appraisal rights in connection with the Proposals?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Under Delaware law, Stockholders are not entitled to exercise appraisal rights in connection with the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any other business be conducted at the Meeting?</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 Under our By-laws, the business to be conducted at the Meeting will be limited to the purposes stated in the Notice of Annual Meeting of Stockholders provided with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Meeting is adjourned?</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Meeting may be adjourned for the purpose of soliciting additional proxies. Any adjournment may be made from time to time with the approval of the affirmative vote of both (a) the holders of a majority of the shares of Class A Common Stock, present in person or by proxy, at the Meeting and (b) the Class B Stockholder, present in person or by proxy, at the Meeting. Under the DGCL and our By-laws, we are not required to notify the Stockholders of any adjournments of less than 30 days if the time and place of the adjourned meeting are announced at the meeting at which adjournment is taken, unless after the adjournment a new record date is fixed for the adjourned meeting. Unless a new record date is fixed, your proxy will still be valid and may be voted at the adjourned meeting. You will still be able to change or revoke your proxy until it is voted.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 representative of the Company’s principal accountants be present at the Special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Deloitte &amp; Touche LLP, the Company’s principal accountants, is expected to be present at the Meeting to answer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bear the cost of soliciting votes for the Meeting?</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will bear the entire cost of soliciting proxies, including the cost of the preparation, assembly, printing and mailing of this Proxy Statement, the proxy card and any additional information furnished to the Stockholders in connection with the Meeting. In addition to the use of the mails, proxies may be solicited by our directors, officers and employees, as well as by the Company’s proxy solicitor, Georgeson, Inc., pursuant to a letter arrangement by and between the Company and Georgeson, Inc. providing for the Company’s payment to Georgeson, Inc. of a fee of approximately $10,000 plus certain expenses in exchange for Georgeson Inc.'s solicitation of proxies. We will request banks, brokerage houses and other custodians, nominees and fiduciaries to solicit their customers who are beneficial owners of our Class A Common Stock and to forward solicitation materials to such beneficial owners. We will reimburse them for their reasonable out-of-pocket expenses incurred in such solicitation. Stockholders voting via the Internet should understand that there may be costs associated with electronic access, such as usage charges from Internet access providers and telephone companies that must be borne by such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should I call if I have questions or need assistance voting my shares?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you have any questions or need assistance in voting your shares, please call our proxy solicitor, Georgeson, Inc., toll-free at 888.505.9118, or our Investor Relations Department at 512.314.2220 (investorrelations@ezcorp.com).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260" w:right="280"/>
        <w:spacing w:after="0" w:line="282" w:lineRule="auto"/>
        <w:rPr>
          <w:sz w:val="20"/>
          <w:szCs w:val="20"/>
          <w:color w:val="auto"/>
        </w:rPr>
      </w:pPr>
      <w:r>
        <w:rPr>
          <w:rFonts w:ascii="Arial" w:cs="Arial" w:eastAsia="Arial" w:hAnsi="Arial"/>
          <w:sz w:val="18"/>
          <w:szCs w:val="18"/>
          <w:b w:val="1"/>
          <w:bCs w:val="1"/>
          <w:color w:val="auto"/>
        </w:rPr>
        <w:t>APPROVAL OF AN AMENDMENT TO THE AMENDED AND RESTATED CERTIFICATE OF INCORPORATION TO INCREASE THE NUMBER OF AUTHORIZED SHARES OF CLASS A NON-VOTING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On January 23, 2014, the Board of Directors approved an amendment to Article Fourth of the Certificate of Incorporation to increase the number of authorized shares of Class A Common Stock from 55,550,000 shares to 100,000,000 shares, subject to the approval of the Stockholders. The text of the proposed amendment is set forth below.</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Certificate of Incorporation also authorizes the issuance of 3,000,000 shares of Class B Common Stock. The proposed amendment to the Certificate of Incorporation would not change the authorized number of shares of Class B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Effects of the Proposed Amendment</w:t>
      </w:r>
    </w:p>
    <w:p>
      <w:pPr>
        <w:spacing w:after="0" w:line="17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Company is currently authorized pursuant to the Certificate of Incorporation to issue up to 55,550,000 shares of Class A Common Stock. As of the Record Date, there were 51,402,557 shares of Class A Common Stock issued and outstanding, 2,970,171 shares of Class A Common Stock reserved for issuance upon the conversion of Class B Common Stock and 1,111,902 shares of Class A Common Stock reserved for issuance upon the exercise of outstanding stock options and vesting of outstanding restricted stock awards, resulting in only 65,370 shares of authorized and unissued shares of Class A Common Stock available for issuance.</w:t>
      </w:r>
    </w:p>
    <w:p>
      <w:pPr>
        <w:spacing w:after="0" w:line="13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Board of Directors believes that it is in the best interests of all Stockholders for the Company to have a sufficient number of authorized but unissued shares of capital stock available for various corporate purposes. Those shares would be available for the Board of Directors to issue, subject to Stockholder approval when required by law or stock exchange rules, to accomplish the Company's objectives. For example, the shares could be used:</w:t>
      </w:r>
    </w:p>
    <w:p>
      <w:pPr>
        <w:spacing w:after="0" w:line="9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normal business operations (such as providing equity compensation opportunities in order to attract and retain management personnel);</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take advantage of strategic opportunities (such as acquisitions where it is appropriate to use stock to acquire the other business);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flexibility to raise capital in varying market conditions (such as stock offerings for cash or offerings of convertible or other equity-linked debt offerings);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unforeseen contingencies and emergencies.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past, the Board of Directors has authorized the issuance of shares of Class A Common Stock for the purpose of:</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Raising additional capital (such as in the Company's underwritten offering of shares in 1993);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compensation (such as the Company's restricted stock awards to executives);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financed with equity (such as Value Pawn in 2008 and Hayfield in 2012);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adjustments (such as the Company's three-for-one stock split in 2006).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issuances have depleted the Company's reserve of authorized but unissued shares of Class A Common Stock. The sole purpose of the proposed increase in the authorized shares of Class A Common Stock is to restore the reserve of authorized but unissued shares to support the Company’s growth and to provide adequate flexibility for future corporate needs.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5" w:right="239" w:bottom="1440" w:gutter="0" w:footer="0" w:header="0"/>
        </w:sectPr>
      </w:pPr>
    </w:p>
    <w:bookmarkStart w:id="10" w:name="page11"/>
    <w:bookmarkEnd w:id="10"/>
    <w:p>
      <w:pPr>
        <w:ind w:right="160"/>
        <w:spacing w:after="0" w:line="255" w:lineRule="auto"/>
        <w:rPr>
          <w:sz w:val="20"/>
          <w:szCs w:val="20"/>
          <w:color w:val="auto"/>
        </w:rPr>
      </w:pPr>
      <w:r>
        <w:rPr>
          <w:rFonts w:ascii="Arial" w:cs="Arial" w:eastAsia="Arial" w:hAnsi="Arial"/>
          <w:sz w:val="18"/>
          <w:szCs w:val="18"/>
          <w:color w:val="auto"/>
        </w:rPr>
        <w:t>If the proposed amendment is approved by the Stockholders, the Company would have 44,515,370 shares of Class A Common Stock available for issuance (after taking into consideration the shares required to be held in reserve for conversion of the Class B Common Stock and the issuance of shares pursuant to outstanding employee stock awards). Those shares would be available for issuance from time to time at the discretion of the Board of Directors without further Stockholder action, except as may be required for a particular transaction by law, exchange regulations or other agreements or restrictions we may enter into in the future. Increasing the number of authorized shares of Class A Common Stock will provide us with greater flexibility and allow the issuance of additional shares of Class A Common Stock when deemed appropriate, in most cases without the expense or delay of seeking further approval from the Stockholders.</w:t>
      </w:r>
    </w:p>
    <w:p>
      <w:pPr>
        <w:spacing w:after="0" w:line="135"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The proposed new authorized shares of Class A Common Stock would become part of the existing class of Class A Common Stock and, if and when issued, would have the same rights and privileges as the shares of Class A Common Stock presently issued and outstanding. No Class A Stockholder nor the Class B Stockholder has any pre-emptive rights to acquire additional shares of the Class A Common Stock. The increase in the authorized shares of Class A Common Stock will not of itself cause any changes in the Company’s capital accounts or have any immediate effect on the rights of existing Stockholders. However, to the extent that additional authorized shares of Class A Common Stock are issued in the future, they will decrease the existing Stockholders’ percentage equity ownership interests and could be issued at prices lower than the prices at which existing Stockholders purchased their shares. Any such issuance of additional shares of Class A Common Stock could have the effect of diluting the earnings per share and book value per share of outstanding shares of Class A Common Stock and Class B Common Stock.</w:t>
      </w:r>
    </w:p>
    <w:p>
      <w:pPr>
        <w:spacing w:after="0" w:line="1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has no plans, proposals or arrangements in place to issue any of the additional shares of Class A Common Stock that will become authorized share capital of the Company pursuant to the proposed amendment, including without limitation in a merger, consolidation, acquisition, financing or similar business transaction.</w:t>
      </w:r>
    </w:p>
    <w:p>
      <w:pPr>
        <w:spacing w:after="0" w:line="12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implementation of this amendment would have no anti-takeover effects. The amendment would not affect our Class B Voting Common Stock. One person holds all of the voting control of the Company's stock and controls the outcome of all matters requiring a vote of stockholders because that person owns all of our outstanding Class B Voting Common Stock. The Company has no current plans or proposals to adopt other provisions or enter into other arrangements that may have material anti-takeover consequences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Section 242(b) of the DGCL, approval of Proposal 1 requires the affirmative vote of both (a) the holders of a majority of the outstanding shares of Class A Common Stock, voting as a separate class, and (b) the holders of a majority of the outstanding shares of Class B Common Stock, voting as a separate class.</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February 5, 2014, there were 51,402,557 shares of Class A Common Stock issued and outstanding. As of February 5, 2014, our directors and executive officers had the right to vote 1,092,611 shares of Class A Common Stock.</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As of February 5, 2014, MS Pawn Limited Partnership owned all of our outstanding Class B Common Stock. Phillip Ean Cohen owns all of the issued and outstanding stock of MS Pawn Corporation, the sole general partner of MS Pawn Limited Partnership, and is the sole beneficial owner of the outstanding shares of Class B Common Stock. See “Security Ownership of Beneficial Owners and Management.” </w:t>
      </w:r>
      <w:r>
        <w:rPr>
          <w:rFonts w:ascii="Arial" w:cs="Arial" w:eastAsia="Arial" w:hAnsi="Arial"/>
          <w:sz w:val="18"/>
          <w:szCs w:val="18"/>
          <w:b w:val="1"/>
          <w:bCs w:val="1"/>
          <w:color w:val="auto"/>
        </w:rPr>
        <w:t>MS Pawn Limited Partnership, as the sole Class B</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has already indicated its intention to vote "FOR" the proposals.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Approve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the shares of Class A Common Stock are generally not entitled to vote on matters presented to the Stockholders, Delaware law provides that the approval of the holders of a majority of the shares of Class A Common Stock outstanding is required to effect an amendment to the Certificate of Incorporation that increases the number of authorized shares in the class, and the Board of Directors is now requesting that approval from the holders of Class A Common Stock.</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sectPr>
      </w:pPr>
    </w:p>
    <w:bookmarkStart w:id="11" w:name="page12"/>
    <w:bookmarkEnd w:id="11"/>
    <w:p>
      <w:pPr>
        <w:jc w:val="both"/>
        <w:ind w:right="220"/>
        <w:spacing w:after="0" w:line="257" w:lineRule="auto"/>
        <w:rPr>
          <w:sz w:val="20"/>
          <w:szCs w:val="20"/>
          <w:color w:val="auto"/>
        </w:rPr>
      </w:pPr>
      <w:r>
        <w:rPr>
          <w:rFonts w:ascii="Arial" w:cs="Arial" w:eastAsia="Arial" w:hAnsi="Arial"/>
          <w:sz w:val="18"/>
          <w:szCs w:val="18"/>
          <w:color w:val="auto"/>
        </w:rPr>
        <w:t>As noted above, the Board of Directors believes that it is in the best interests of all Stockholders for the Company to have a sufficient number of authorized but unissued shares of capital stock available to ensure that the Company is in the best position to succeed for the mutual benefit of all Stockholders. If the holders of the Class A Common Stock choose not to approve the proposed amendment to the Certificate of Incorporation, then the Board of Directors will consider other options that may be available to create a reserve of authorized but unissued shares of Class A Common Stock. Those options could possibly include a corporate reorganization or a reverse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Proposed Amendment</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Proposal 1 is approved by the requisite holders of the Class A Common Stock and the Class B Common Stock as set forth above, the proposed amendment to Article Fourth of the Certificate of Incorporation will become effective upon the filing of a Certificate of Amendment to the Certificate of Incorporation with the Delaware Secretary of State.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the Amendment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propose to amend the first paragraph of Article Fourth of the Certificate of Incorporation so that the paragraph would read in its entirety as follows:</w:t>
      </w:r>
    </w:p>
    <w:p>
      <w:pPr>
        <w:spacing w:after="0" w:line="183"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“FOURTH: The total number of shares of stock which the Corporation shall have authority to issue is one hundred three million (103,000,000) shares of capital stock, classified as (i) one hundred million (100,000,000) shares of Class A Non-Voting Common Stock, par value $0.01 per share (“Class A Non-Voting Common Stock”), and (ii) three million (3,000,000) shares of Class B Voting Common Stock, par value $0.01 per share (“Class B Voting Common Stock”).”</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only changes that would be made to the first paragraph of Article Fourth of the Certificate of Incorporation, as currently in effect, would be to increase the number of authorized shares of Class A Common Stock from 55,550,000 to 100,000,000 and to reflect a corresponding increase in the aggregate number of shares of capital stock of all classes that may be issued from 58,550,000 to 103,000,000. The full text of the proposed amendment to the Certificate of Incorporation to effect Proposal 1 is included as Appendix A to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Board believes it is in the best interest of the Company and its Stockholders to approve the amendment to the Certificate of Incorporation as set forth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that the Stockholders vote “FOR”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seeks your approval to adjourn the Meeting, if necessary or appropriate, to permit the solicitation of additional proxies in favor of Proposal 1. Under the DGCL and our By-laws, we are not required to notify the Stockholders of any adjournments of less than 30 days if the time and place of the adjourned meeting are announced at the meeting at which adjournment is taken, unless after the adjournment a new record date is fixed for the adjourned meeting. Unless a new record date is fixed, your proxy will still be valid and may be voted at the adjourned meeting. You will still be able to change or revoke your proxy until it is voted.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that the Stockholders vote “FOR” Proposal 2.</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MATTERS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the date of mailing this Proxy Statement, the Board of Directors is not aware of any other business to be presented or voted on at the Meeting, and under our By-laws, the business to be conducted at the Meeting will be limited to the purposes stated in the Notice of Annual Meeting Stockholders provided with this Proxy Statement. If any other business is properly presented, the proxies solicited by the Board of Directors will provide the proxy holders with the authority to vote on those matters in accordance with such persons’ discretion only to the extent the shares of Class A Common Stock have the right to vote on such matters. Where a Stockholder has appropriately specified how a proxy is to be voted, it will be voted by the proxy holder in accordance with the specification.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SECURITY OWNERSHIP OF BENEFICIAL OWNERS AND MANAGEMENT</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Phillip Ean Cohen controls EZCORP through his ownership of all of the issued and outstanding stock of MS Pawn Corporation, the sole general partner of MS Pawn Limited Partnership, which owns 100% of the Class B Common Stock. The following table presents information regarding the beneficial ownership of the Class A Common Stock and Class B Common Stock as of February 5, 2014, for (a) each person known to us be the beneficial owner of more than 5% of the total number of shares outstanding, (b) each of our directors, (c) each of the named executive officers and (d) all directors and executive officers as a group. Unless otherwise indicated, each person named below holds sole voting and investment power over the shares shown, subject to community property laws where applicable.</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0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w w:val="91"/>
              </w:rPr>
              <w:t>Class A Non-Voting</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20" w:type="dxa"/>
            <w:vAlign w:val="bottom"/>
            <w:gridSpan w:val="2"/>
          </w:tcPr>
          <w:p>
            <w:pPr>
              <w:ind w:left="800"/>
              <w:spacing w:after="0"/>
              <w:rPr>
                <w:sz w:val="20"/>
                <w:szCs w:val="20"/>
                <w:color w:val="auto"/>
              </w:rPr>
            </w:pPr>
            <w:r>
              <w:rPr>
                <w:rFonts w:ascii="Arial" w:cs="Arial" w:eastAsia="Arial" w:hAnsi="Arial"/>
                <w:sz w:val="14"/>
                <w:szCs w:val="14"/>
                <w:b w:val="1"/>
                <w:bCs w:val="1"/>
                <w:color w:val="auto"/>
              </w:rPr>
              <w:t>Class B Voting</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200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w w:val="91"/>
              </w:rPr>
              <w:t>Common Stock</w:t>
            </w:r>
          </w:p>
        </w:tc>
        <w:tc>
          <w:tcPr>
            <w:tcW w:w="72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5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Common Stock</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Beneficial Owner</w:t>
            </w:r>
          </w:p>
        </w:tc>
        <w:tc>
          <w:tcPr>
            <w:tcW w:w="13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Number</w:t>
            </w: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4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Number</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Percent</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Voting Percent</w:t>
            </w:r>
          </w:p>
        </w:tc>
        <w:tc>
          <w:tcPr>
            <w:tcW w:w="0" w:type="dxa"/>
            <w:vAlign w:val="bottom"/>
          </w:tcPr>
          <w:p>
            <w:pPr>
              <w:spacing w:after="0"/>
              <w:rPr>
                <w:sz w:val="1"/>
                <w:szCs w:val="1"/>
                <w:color w:val="auto"/>
              </w:rPr>
            </w:pPr>
          </w:p>
        </w:tc>
      </w:tr>
      <w:tr>
        <w:trPr>
          <w:trHeight w:val="177"/>
        </w:trPr>
        <w:tc>
          <w:tcPr>
            <w:tcW w:w="3860" w:type="dxa"/>
            <w:vAlign w:val="bottom"/>
          </w:tcPr>
          <w:p>
            <w:pPr>
              <w:ind w:left="20"/>
              <w:spacing w:after="0"/>
              <w:rPr>
                <w:sz w:val="20"/>
                <w:szCs w:val="20"/>
                <w:color w:val="auto"/>
              </w:rPr>
            </w:pPr>
            <w:r>
              <w:rPr>
                <w:rFonts w:ascii="Arial" w:cs="Arial" w:eastAsia="Arial" w:hAnsi="Arial"/>
                <w:sz w:val="14"/>
                <w:szCs w:val="14"/>
                <w:color w:val="auto"/>
              </w:rPr>
              <w:t>MS Pawn Limited Partnership (a)</w:t>
            </w: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MS Pawn Corporation</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2,974,047</w:t>
            </w:r>
          </w:p>
        </w:tc>
        <w:tc>
          <w:tcPr>
            <w:tcW w:w="660" w:type="dxa"/>
            <w:vAlign w:val="bottom"/>
            <w:vMerge w:val="restart"/>
          </w:tcPr>
          <w:p>
            <w:pPr>
              <w:ind w:left="160"/>
              <w:spacing w:after="0"/>
              <w:rPr>
                <w:sz w:val="20"/>
                <w:szCs w:val="20"/>
                <w:color w:val="auto"/>
              </w:rPr>
            </w:pPr>
            <w:r>
              <w:rPr>
                <w:rFonts w:ascii="Arial" w:cs="Arial" w:eastAsia="Arial" w:hAnsi="Arial"/>
                <w:sz w:val="14"/>
                <w:szCs w:val="14"/>
                <w:color w:val="auto"/>
              </w:rPr>
              <w:t>(b)</w:t>
            </w:r>
          </w:p>
        </w:tc>
        <w:tc>
          <w:tcPr>
            <w:tcW w:w="1380" w:type="dxa"/>
            <w:vAlign w:val="bottom"/>
            <w:gridSpan w:val="2"/>
            <w:vMerge w:val="restart"/>
          </w:tcPr>
          <w:p>
            <w:pPr>
              <w:ind w:left="320"/>
              <w:spacing w:after="0"/>
              <w:rPr>
                <w:sz w:val="20"/>
                <w:szCs w:val="20"/>
                <w:color w:val="auto"/>
              </w:rPr>
            </w:pPr>
            <w:r>
              <w:rPr>
                <w:rFonts w:ascii="Arial" w:cs="Arial" w:eastAsia="Arial" w:hAnsi="Arial"/>
                <w:sz w:val="14"/>
                <w:szCs w:val="14"/>
                <w:color w:val="auto"/>
                <w:w w:val="93"/>
              </w:rPr>
              <w:t>5.79%(b)</w:t>
            </w:r>
          </w:p>
        </w:tc>
        <w:tc>
          <w:tcPr>
            <w:tcW w:w="1420" w:type="dxa"/>
            <w:vAlign w:val="bottom"/>
            <w:vMerge w:val="restart"/>
          </w:tcPr>
          <w:p>
            <w:pPr>
              <w:jc w:val="right"/>
              <w:ind w:right="208"/>
              <w:spacing w:after="0"/>
              <w:rPr>
                <w:sz w:val="20"/>
                <w:szCs w:val="20"/>
                <w:color w:val="auto"/>
              </w:rPr>
            </w:pPr>
            <w:r>
              <w:rPr>
                <w:rFonts w:ascii="Arial" w:cs="Arial" w:eastAsia="Arial" w:hAnsi="Arial"/>
                <w:sz w:val="14"/>
                <w:szCs w:val="14"/>
                <w:color w:val="auto"/>
              </w:rPr>
              <w:t>2,970,171</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Phillip Ean Cohen</w:t>
            </w:r>
          </w:p>
        </w:tc>
        <w:tc>
          <w:tcPr>
            <w:tcW w:w="13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1901 Capital Parkway</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20"/>
              <w:spacing w:after="0"/>
              <w:rPr>
                <w:sz w:val="20"/>
                <w:szCs w:val="20"/>
                <w:color w:val="auto"/>
              </w:rPr>
            </w:pPr>
            <w:r>
              <w:rPr>
                <w:rFonts w:ascii="Arial" w:cs="Arial" w:eastAsia="Arial" w:hAnsi="Arial"/>
                <w:sz w:val="14"/>
                <w:szCs w:val="14"/>
                <w:color w:val="auto"/>
              </w:rPr>
              <w:t>Austin, Texas 78746</w:t>
            </w: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4"/>
                <w:szCs w:val="14"/>
                <w:color w:val="auto"/>
              </w:rPr>
              <w:t>FMR LLC 245 Summer Street Boston, MA 02110</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7,240,635</w:t>
            </w:r>
          </w:p>
        </w:tc>
        <w:tc>
          <w:tcPr>
            <w:tcW w:w="660" w:type="dxa"/>
            <w:vAlign w:val="bottom"/>
          </w:tcPr>
          <w:p>
            <w:pPr>
              <w:ind w:left="160"/>
              <w:spacing w:after="0"/>
              <w:rPr>
                <w:sz w:val="20"/>
                <w:szCs w:val="20"/>
                <w:color w:val="auto"/>
              </w:rPr>
            </w:pPr>
            <w:r>
              <w:rPr>
                <w:rFonts w:ascii="Arial" w:cs="Arial" w:eastAsia="Arial" w:hAnsi="Arial"/>
                <w:sz w:val="14"/>
                <w:szCs w:val="14"/>
                <w:color w:val="auto"/>
              </w:rPr>
              <w:t>(c)</w:t>
            </w:r>
          </w:p>
        </w:tc>
        <w:tc>
          <w:tcPr>
            <w:tcW w:w="720" w:type="dxa"/>
            <w:vAlign w:val="bottom"/>
          </w:tcPr>
          <w:p>
            <w:pPr>
              <w:jc w:val="right"/>
              <w:spacing w:after="0"/>
              <w:rPr>
                <w:sz w:val="20"/>
                <w:szCs w:val="20"/>
                <w:color w:val="auto"/>
              </w:rPr>
            </w:pPr>
            <w:r>
              <w:rPr>
                <w:rFonts w:ascii="Arial" w:cs="Arial" w:eastAsia="Arial" w:hAnsi="Arial"/>
                <w:sz w:val="14"/>
                <w:szCs w:val="14"/>
                <w:color w:val="auto"/>
              </w:rPr>
              <w:t>13.35%</w:t>
            </w:r>
          </w:p>
        </w:tc>
        <w:tc>
          <w:tcPr>
            <w:tcW w:w="660" w:type="dxa"/>
            <w:vAlign w:val="bottom"/>
          </w:tcPr>
          <w:p>
            <w:pPr>
              <w:spacing w:after="0"/>
              <w:rPr>
                <w:sz w:val="19"/>
                <w:szCs w:val="19"/>
                <w:color w:val="auto"/>
              </w:rPr>
            </w:pP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4"/>
                <w:szCs w:val="14"/>
                <w:color w:val="auto"/>
              </w:rPr>
              <w:t>Blackrock, Inc.</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4,658,981</w:t>
            </w:r>
          </w:p>
        </w:tc>
        <w:tc>
          <w:tcPr>
            <w:tcW w:w="660" w:type="dxa"/>
            <w:vAlign w:val="bottom"/>
            <w:vMerge w:val="restart"/>
          </w:tcPr>
          <w:p>
            <w:pPr>
              <w:ind w:left="160"/>
              <w:spacing w:after="0"/>
              <w:rPr>
                <w:sz w:val="20"/>
                <w:szCs w:val="20"/>
                <w:color w:val="auto"/>
              </w:rPr>
            </w:pPr>
            <w:r>
              <w:rPr>
                <w:rFonts w:ascii="Arial" w:cs="Arial" w:eastAsia="Arial" w:hAnsi="Arial"/>
                <w:sz w:val="14"/>
                <w:szCs w:val="14"/>
                <w:color w:val="auto"/>
              </w:rPr>
              <w:t>(d)</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9.10%</w:t>
            </w:r>
          </w:p>
        </w:tc>
        <w:tc>
          <w:tcPr>
            <w:tcW w:w="660" w:type="dxa"/>
            <w:vAlign w:val="bottom"/>
          </w:tcPr>
          <w:p>
            <w:pPr>
              <w:spacing w:after="0"/>
              <w:rPr>
                <w:sz w:val="20"/>
                <w:szCs w:val="20"/>
                <w:color w:val="auto"/>
              </w:rPr>
            </w:pPr>
          </w:p>
        </w:tc>
        <w:tc>
          <w:tcPr>
            <w:tcW w:w="142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40 East 52</w:t>
            </w:r>
            <w:r>
              <w:rPr>
                <w:rFonts w:ascii="Arial" w:cs="Arial" w:eastAsia="Arial" w:hAnsi="Arial"/>
                <w:sz w:val="8"/>
                <w:szCs w:val="8"/>
                <w:color w:val="auto"/>
              </w:rPr>
              <w:t>nd</w:t>
            </w:r>
            <w:r>
              <w:rPr>
                <w:rFonts w:ascii="Arial" w:cs="Arial" w:eastAsia="Arial" w:hAnsi="Arial"/>
                <w:sz w:val="14"/>
                <w:szCs w:val="14"/>
                <w:color w:val="auto"/>
              </w:rPr>
              <w:t xml:space="preserve"> Street</w:t>
            </w:r>
          </w:p>
        </w:tc>
        <w:tc>
          <w:tcPr>
            <w:tcW w:w="13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40"/>
              <w:spacing w:after="0"/>
              <w:rPr>
                <w:sz w:val="20"/>
                <w:szCs w:val="20"/>
                <w:color w:val="auto"/>
              </w:rPr>
            </w:pPr>
            <w:r>
              <w:rPr>
                <w:rFonts w:ascii="Arial" w:cs="Arial" w:eastAsia="Arial" w:hAnsi="Arial"/>
                <w:sz w:val="14"/>
                <w:szCs w:val="14"/>
                <w:color w:val="auto"/>
              </w:rPr>
              <w:t>New York, New York 10022</w:t>
            </w: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5" w:lineRule="exact"/>
              <w:rPr>
                <w:sz w:val="20"/>
                <w:szCs w:val="20"/>
                <w:color w:val="auto"/>
              </w:rPr>
            </w:pPr>
            <w:r>
              <w:rPr>
                <w:rFonts w:ascii="Arial" w:cs="Arial" w:eastAsia="Arial" w:hAnsi="Arial"/>
                <w:sz w:val="14"/>
                <w:szCs w:val="14"/>
                <w:color w:val="auto"/>
                <w:w w:val="99"/>
              </w:rPr>
              <w:t>Manulife Financial Corporation 200 Bloor Street East Toronto,</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2,893,142</w:t>
            </w:r>
          </w:p>
        </w:tc>
        <w:tc>
          <w:tcPr>
            <w:tcW w:w="660" w:type="dxa"/>
            <w:vAlign w:val="bottom"/>
            <w:vMerge w:val="restart"/>
          </w:tcPr>
          <w:p>
            <w:pPr>
              <w:ind w:left="160"/>
              <w:spacing w:after="0"/>
              <w:rPr>
                <w:sz w:val="20"/>
                <w:szCs w:val="20"/>
                <w:color w:val="auto"/>
              </w:rPr>
            </w:pPr>
            <w:r>
              <w:rPr>
                <w:rFonts w:ascii="Arial" w:cs="Arial" w:eastAsia="Arial" w:hAnsi="Arial"/>
                <w:sz w:val="14"/>
                <w:szCs w:val="14"/>
                <w:color w:val="auto"/>
              </w:rPr>
              <w:t>(e)</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5.34%</w:t>
            </w:r>
          </w:p>
        </w:tc>
        <w:tc>
          <w:tcPr>
            <w:tcW w:w="660" w:type="dxa"/>
            <w:vAlign w:val="bottom"/>
          </w:tcPr>
          <w:p>
            <w:pPr>
              <w:spacing w:after="0"/>
              <w:rPr>
                <w:sz w:val="13"/>
                <w:szCs w:val="13"/>
                <w:color w:val="auto"/>
              </w:rPr>
            </w:pPr>
          </w:p>
        </w:tc>
        <w:tc>
          <w:tcPr>
            <w:tcW w:w="142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3860" w:type="dxa"/>
            <w:vAlign w:val="bottom"/>
            <w:vMerge w:val="restart"/>
          </w:tcPr>
          <w:p>
            <w:pPr>
              <w:ind w:left="200"/>
              <w:spacing w:after="0"/>
              <w:rPr>
                <w:sz w:val="20"/>
                <w:szCs w:val="20"/>
                <w:color w:val="auto"/>
              </w:rPr>
            </w:pPr>
            <w:r>
              <w:rPr>
                <w:rFonts w:ascii="Arial" w:cs="Arial" w:eastAsia="Arial" w:hAnsi="Arial"/>
                <w:sz w:val="14"/>
                <w:szCs w:val="14"/>
                <w:color w:val="auto"/>
              </w:rPr>
              <w:t>ON Canada M4W IE5</w:t>
            </w:r>
          </w:p>
        </w:tc>
        <w:tc>
          <w:tcPr>
            <w:tcW w:w="13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86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rPr>
                <w:sz w:val="20"/>
                <w:szCs w:val="20"/>
                <w:color w:val="auto"/>
              </w:rPr>
            </w:pPr>
            <w:r>
              <w:rPr>
                <w:rFonts w:ascii="Arial" w:cs="Arial" w:eastAsia="Arial" w:hAnsi="Arial"/>
                <w:sz w:val="14"/>
                <w:szCs w:val="14"/>
                <w:color w:val="auto"/>
              </w:rPr>
              <w:t>The Vanguard Group, Inc.</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2,776,485</w:t>
            </w:r>
          </w:p>
        </w:tc>
        <w:tc>
          <w:tcPr>
            <w:tcW w:w="660" w:type="dxa"/>
            <w:vAlign w:val="bottom"/>
          </w:tcPr>
          <w:p>
            <w:pPr>
              <w:ind w:left="160"/>
              <w:spacing w:after="0"/>
              <w:rPr>
                <w:sz w:val="20"/>
                <w:szCs w:val="20"/>
                <w:color w:val="auto"/>
              </w:rPr>
            </w:pPr>
            <w:r>
              <w:rPr>
                <w:rFonts w:ascii="Arial" w:cs="Arial" w:eastAsia="Arial" w:hAnsi="Arial"/>
                <w:sz w:val="14"/>
                <w:szCs w:val="14"/>
                <w:color w:val="auto"/>
              </w:rPr>
              <w:t>(f)</w:t>
            </w:r>
          </w:p>
        </w:tc>
        <w:tc>
          <w:tcPr>
            <w:tcW w:w="720" w:type="dxa"/>
            <w:vAlign w:val="bottom"/>
          </w:tcPr>
          <w:p>
            <w:pPr>
              <w:jc w:val="right"/>
              <w:spacing w:after="0"/>
              <w:rPr>
                <w:sz w:val="20"/>
                <w:szCs w:val="20"/>
                <w:color w:val="auto"/>
              </w:rPr>
            </w:pPr>
            <w:r>
              <w:rPr>
                <w:rFonts w:ascii="Arial" w:cs="Arial" w:eastAsia="Arial" w:hAnsi="Arial"/>
                <w:sz w:val="14"/>
                <w:szCs w:val="14"/>
                <w:color w:val="auto"/>
              </w:rPr>
              <w:t>5.12%</w:t>
            </w:r>
          </w:p>
        </w:tc>
        <w:tc>
          <w:tcPr>
            <w:tcW w:w="660" w:type="dxa"/>
            <w:vAlign w:val="bottom"/>
          </w:tcPr>
          <w:p>
            <w:pPr>
              <w:spacing w:after="0"/>
              <w:rPr>
                <w:sz w:val="17"/>
                <w:szCs w:val="17"/>
                <w:color w:val="auto"/>
              </w:rPr>
            </w:pP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100 Vanguard Blvd.</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40"/>
              <w:spacing w:after="0"/>
              <w:rPr>
                <w:sz w:val="20"/>
                <w:szCs w:val="20"/>
                <w:color w:val="auto"/>
              </w:rPr>
            </w:pPr>
            <w:r>
              <w:rPr>
                <w:rFonts w:ascii="Arial" w:cs="Arial" w:eastAsia="Arial" w:hAnsi="Arial"/>
                <w:sz w:val="14"/>
                <w:szCs w:val="14"/>
                <w:color w:val="auto"/>
              </w:rPr>
              <w:t>Malvern, Pennsylvania 19355</w:t>
            </w: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40"/>
              <w:spacing w:after="0"/>
              <w:rPr>
                <w:sz w:val="20"/>
                <w:szCs w:val="20"/>
                <w:color w:val="auto"/>
              </w:rPr>
            </w:pPr>
            <w:r>
              <w:rPr>
                <w:rFonts w:ascii="Arial" w:cs="Arial" w:eastAsia="Arial" w:hAnsi="Arial"/>
                <w:sz w:val="14"/>
                <w:szCs w:val="14"/>
                <w:color w:val="auto"/>
              </w:rPr>
              <w:t>Sterling B. Brinkley</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811,562</w:t>
            </w:r>
          </w:p>
        </w:tc>
        <w:tc>
          <w:tcPr>
            <w:tcW w:w="660" w:type="dxa"/>
            <w:vAlign w:val="bottom"/>
          </w:tcPr>
          <w:p>
            <w:pPr>
              <w:ind w:left="160"/>
              <w:spacing w:after="0"/>
              <w:rPr>
                <w:sz w:val="20"/>
                <w:szCs w:val="20"/>
                <w:color w:val="auto"/>
              </w:rPr>
            </w:pPr>
            <w:r>
              <w:rPr>
                <w:rFonts w:ascii="Arial" w:cs="Arial" w:eastAsia="Arial" w:hAnsi="Arial"/>
                <w:sz w:val="14"/>
                <w:szCs w:val="14"/>
                <w:color w:val="auto"/>
              </w:rPr>
              <w:t>(g)</w:t>
            </w: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660" w:type="dxa"/>
            <w:vAlign w:val="bottom"/>
          </w:tcPr>
          <w:p>
            <w:pPr>
              <w:spacing w:after="0"/>
              <w:rPr>
                <w:sz w:val="19"/>
                <w:szCs w:val="19"/>
                <w:color w:val="auto"/>
              </w:rPr>
            </w:pP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Paul E. Rothamel</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95,457</w:t>
            </w:r>
          </w:p>
        </w:tc>
        <w:tc>
          <w:tcPr>
            <w:tcW w:w="660" w:type="dxa"/>
            <w:vAlign w:val="bottom"/>
          </w:tcPr>
          <w:p>
            <w:pPr>
              <w:ind w:left="160"/>
              <w:spacing w:after="0"/>
              <w:rPr>
                <w:sz w:val="20"/>
                <w:szCs w:val="20"/>
                <w:color w:val="auto"/>
              </w:rPr>
            </w:pPr>
            <w:r>
              <w:rPr>
                <w:rFonts w:ascii="Arial" w:cs="Arial" w:eastAsia="Arial" w:hAnsi="Arial"/>
                <w:sz w:val="14"/>
                <w:szCs w:val="14"/>
                <w:color w:val="auto"/>
              </w:rPr>
              <w:t>(h)</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Joseph J. Beal</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20,950</w:t>
            </w:r>
          </w:p>
        </w:tc>
        <w:tc>
          <w:tcPr>
            <w:tcW w:w="660" w:type="dxa"/>
            <w:vAlign w:val="bottom"/>
          </w:tcPr>
          <w:p>
            <w:pPr>
              <w:ind w:left="180"/>
              <w:spacing w:after="0"/>
              <w:rPr>
                <w:sz w:val="20"/>
                <w:szCs w:val="20"/>
                <w:color w:val="auto"/>
              </w:rPr>
            </w:pPr>
            <w:r>
              <w:rPr>
                <w:rFonts w:ascii="Arial" w:cs="Arial" w:eastAsia="Arial" w:hAnsi="Arial"/>
                <w:sz w:val="14"/>
                <w:szCs w:val="14"/>
                <w:color w:val="auto"/>
              </w:rPr>
              <w:t>(j)</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Santiago Creel Miranda</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ind w:left="160"/>
              <w:spacing w:after="0"/>
              <w:rPr>
                <w:sz w:val="20"/>
                <w:szCs w:val="20"/>
                <w:color w:val="auto"/>
              </w:rPr>
            </w:pPr>
            <w:r>
              <w:rPr>
                <w:rFonts w:ascii="Arial" w:cs="Arial" w:eastAsia="Arial" w:hAnsi="Arial"/>
                <w:sz w:val="14"/>
                <w:szCs w:val="14"/>
                <w:color w:val="auto"/>
              </w:rPr>
              <w:t>(k)</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Pablo Lagos Espinosa</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14,450</w:t>
            </w:r>
          </w:p>
        </w:tc>
        <w:tc>
          <w:tcPr>
            <w:tcW w:w="660" w:type="dxa"/>
            <w:vAlign w:val="bottom"/>
          </w:tcPr>
          <w:p>
            <w:pPr>
              <w:ind w:left="180"/>
              <w:spacing w:after="0"/>
              <w:rPr>
                <w:sz w:val="20"/>
                <w:szCs w:val="20"/>
                <w:color w:val="auto"/>
              </w:rPr>
            </w:pPr>
            <w:r>
              <w:rPr>
                <w:rFonts w:ascii="Arial" w:cs="Arial" w:eastAsia="Arial" w:hAnsi="Arial"/>
                <w:sz w:val="14"/>
                <w:szCs w:val="14"/>
                <w:color w:val="auto"/>
              </w:rPr>
              <w:t>(j)</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John Farrell</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8,450</w:t>
            </w:r>
          </w:p>
        </w:tc>
        <w:tc>
          <w:tcPr>
            <w:tcW w:w="660" w:type="dxa"/>
            <w:vAlign w:val="bottom"/>
          </w:tcPr>
          <w:p>
            <w:pPr>
              <w:ind w:left="180"/>
              <w:spacing w:after="0"/>
              <w:rPr>
                <w:sz w:val="20"/>
                <w:szCs w:val="20"/>
                <w:color w:val="auto"/>
              </w:rPr>
            </w:pPr>
            <w:r>
              <w:rPr>
                <w:rFonts w:ascii="Arial" w:cs="Arial" w:eastAsia="Arial" w:hAnsi="Arial"/>
                <w:sz w:val="14"/>
                <w:szCs w:val="14"/>
                <w:color w:val="auto"/>
              </w:rPr>
              <w:t>(j)</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William C. Love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27,450</w:t>
            </w:r>
          </w:p>
        </w:tc>
        <w:tc>
          <w:tcPr>
            <w:tcW w:w="660" w:type="dxa"/>
            <w:vAlign w:val="bottom"/>
          </w:tcPr>
          <w:p>
            <w:pPr>
              <w:ind w:left="180"/>
              <w:spacing w:after="0"/>
              <w:rPr>
                <w:sz w:val="20"/>
                <w:szCs w:val="20"/>
                <w:color w:val="auto"/>
              </w:rPr>
            </w:pPr>
            <w:r>
              <w:rPr>
                <w:rFonts w:ascii="Arial" w:cs="Arial" w:eastAsia="Arial" w:hAnsi="Arial"/>
                <w:sz w:val="14"/>
                <w:szCs w:val="14"/>
                <w:color w:val="auto"/>
              </w:rPr>
              <w:t>(j)</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Mark Kuchenrither</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31,795</w:t>
            </w:r>
          </w:p>
        </w:tc>
        <w:tc>
          <w:tcPr>
            <w:tcW w:w="660" w:type="dxa"/>
            <w:vAlign w:val="bottom"/>
          </w:tcPr>
          <w:p>
            <w:pPr>
              <w:ind w:left="180"/>
              <w:spacing w:after="0"/>
              <w:rPr>
                <w:sz w:val="20"/>
                <w:szCs w:val="20"/>
                <w:color w:val="auto"/>
              </w:rPr>
            </w:pPr>
            <w:r>
              <w:rPr>
                <w:rFonts w:ascii="Arial" w:cs="Arial" w:eastAsia="Arial" w:hAnsi="Arial"/>
                <w:sz w:val="14"/>
                <w:szCs w:val="14"/>
                <w:color w:val="auto"/>
              </w:rPr>
              <w:t>(l)</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Barry Guest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12,250</w:t>
            </w:r>
          </w:p>
        </w:tc>
        <w:tc>
          <w:tcPr>
            <w:tcW w:w="660" w:type="dxa"/>
            <w:vAlign w:val="bottom"/>
          </w:tcPr>
          <w:p>
            <w:pPr>
              <w:ind w:left="140"/>
              <w:spacing w:after="0"/>
              <w:rPr>
                <w:sz w:val="20"/>
                <w:szCs w:val="20"/>
                <w:color w:val="auto"/>
              </w:rPr>
            </w:pPr>
            <w:r>
              <w:rPr>
                <w:rFonts w:ascii="Arial" w:cs="Arial" w:eastAsia="Arial" w:hAnsi="Arial"/>
                <w:sz w:val="14"/>
                <w:szCs w:val="14"/>
                <w:color w:val="auto"/>
              </w:rPr>
              <w:t>(m)</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Thomas H. Welch, Jr.</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30,642</w:t>
            </w:r>
          </w:p>
        </w:tc>
        <w:tc>
          <w:tcPr>
            <w:tcW w:w="660" w:type="dxa"/>
            <w:vAlign w:val="bottom"/>
          </w:tcPr>
          <w:p>
            <w:pPr>
              <w:ind w:left="160"/>
              <w:spacing w:after="0"/>
              <w:rPr>
                <w:sz w:val="20"/>
                <w:szCs w:val="20"/>
                <w:color w:val="auto"/>
              </w:rPr>
            </w:pPr>
            <w:r>
              <w:rPr>
                <w:rFonts w:ascii="Arial" w:cs="Arial" w:eastAsia="Arial" w:hAnsi="Arial"/>
                <w:sz w:val="14"/>
                <w:szCs w:val="14"/>
                <w:color w:val="auto"/>
              </w:rPr>
              <w:t>(n)</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40"/>
              <w:spacing w:after="0"/>
              <w:rPr>
                <w:sz w:val="20"/>
                <w:szCs w:val="20"/>
                <w:color w:val="auto"/>
              </w:rPr>
            </w:pPr>
            <w:r>
              <w:rPr>
                <w:rFonts w:ascii="Arial" w:cs="Arial" w:eastAsia="Arial" w:hAnsi="Arial"/>
                <w:sz w:val="14"/>
                <w:szCs w:val="14"/>
                <w:color w:val="auto"/>
              </w:rPr>
              <w:t>Directors and executive officers as a group (15 persons) (o)</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1,092,611</w:t>
            </w:r>
          </w:p>
        </w:tc>
        <w:tc>
          <w:tcPr>
            <w:tcW w:w="660" w:type="dxa"/>
            <w:vAlign w:val="bottom"/>
          </w:tcPr>
          <w:p>
            <w:pPr>
              <w:ind w:left="160"/>
              <w:spacing w:after="0"/>
              <w:rPr>
                <w:sz w:val="20"/>
                <w:szCs w:val="20"/>
                <w:color w:val="auto"/>
              </w:rPr>
            </w:pPr>
            <w:r>
              <w:rPr>
                <w:rFonts w:ascii="Arial" w:cs="Arial" w:eastAsia="Arial" w:hAnsi="Arial"/>
                <w:sz w:val="14"/>
                <w:szCs w:val="14"/>
                <w:color w:val="auto"/>
              </w:rPr>
              <w:t>(p)</w:t>
            </w:r>
          </w:p>
        </w:tc>
        <w:tc>
          <w:tcPr>
            <w:tcW w:w="720" w:type="dxa"/>
            <w:vAlign w:val="bottom"/>
          </w:tcPr>
          <w:p>
            <w:pPr>
              <w:jc w:val="right"/>
              <w:spacing w:after="0"/>
              <w:rPr>
                <w:sz w:val="20"/>
                <w:szCs w:val="20"/>
                <w:color w:val="auto"/>
              </w:rPr>
            </w:pPr>
            <w:r>
              <w:rPr>
                <w:rFonts w:ascii="Arial" w:cs="Arial" w:eastAsia="Arial" w:hAnsi="Arial"/>
                <w:sz w:val="14"/>
                <w:szCs w:val="14"/>
                <w:color w:val="auto"/>
              </w:rPr>
              <w:t>2.13%</w:t>
            </w:r>
          </w:p>
        </w:tc>
        <w:tc>
          <w:tcPr>
            <w:tcW w:w="660" w:type="dxa"/>
            <w:vAlign w:val="bottom"/>
          </w:tcPr>
          <w:p>
            <w:pPr>
              <w:spacing w:after="0"/>
              <w:rPr>
                <w:sz w:val="19"/>
                <w:szCs w:val="19"/>
                <w:color w:val="auto"/>
              </w:rPr>
            </w:pP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59055</wp:posOffset>
            </wp:positionV>
            <wp:extent cx="7212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5" w:lineRule="exact"/>
        <w:rPr>
          <w:sz w:val="20"/>
          <w:szCs w:val="20"/>
          <w:color w:val="auto"/>
        </w:rPr>
      </w:pPr>
    </w:p>
    <w:p>
      <w:pPr>
        <w:ind w:left="340" w:right="540" w:hanging="332"/>
        <w:spacing w:after="0" w:line="27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64" w:lineRule="exact"/>
        <w:rPr>
          <w:rFonts w:ascii="Arial" w:cs="Arial" w:eastAsia="Arial" w:hAnsi="Arial"/>
          <w:sz w:val="16"/>
          <w:szCs w:val="16"/>
          <w:color w:val="auto"/>
        </w:rPr>
      </w:pPr>
    </w:p>
    <w:p>
      <w:pPr>
        <w:ind w:left="340" w:right="100" w:hanging="332"/>
        <w:spacing w:after="0" w:line="27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shares and percentage reflect Class A Common Stock, inclusive of Class B Common Stock, shares of which are convertible to Class A Common Stock on a one-to-one basis.</w:t>
      </w:r>
    </w:p>
    <w:p>
      <w:pPr>
        <w:spacing w:after="0" w:line="64"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the Form 13F filed by FMR LLC on November 14, 2013.</w:t>
      </w:r>
    </w:p>
    <w:p>
      <w:pPr>
        <w:spacing w:after="0" w:line="113" w:lineRule="exact"/>
        <w:rPr>
          <w:rFonts w:ascii="Arial" w:cs="Arial" w:eastAsia="Arial" w:hAnsi="Arial"/>
          <w:sz w:val="16"/>
          <w:szCs w:val="16"/>
          <w:color w:val="auto"/>
        </w:rPr>
      </w:pPr>
    </w:p>
    <w:p>
      <w:pPr>
        <w:ind w:left="340" w:right="140" w:hanging="332"/>
        <w:spacing w:after="0" w:line="26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the Schedule 13G filed by Blackrock, Inc. on January 29, 2014. According to that Schedule 13G, Blackrock, Inc. held, as of December 31, 2013, sole voting power with respect to 4,481,078 shares and sole dispositive power with respect to 4,658,981 shares. The percentage of the class represented by these shares shown in the table above is based on information provided by Blackrock, Inc. in its Schedule 13G.</w:t>
      </w:r>
    </w:p>
    <w:p>
      <w:pPr>
        <w:spacing w:after="0" w:line="7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the Form 13F filed by The Manufacturers Life Insurance Company on November 14, 2013.</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the Forms 13F filed by The Vanguard Group, Inc. on November 7, 2013.</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Does not include 470,000 shares of unvested restricted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5" w:right="239" w:bottom="1440" w:gutter="0" w:footer="0" w:header="0"/>
        </w:sectPr>
      </w:pPr>
    </w:p>
    <w:bookmarkStart w:id="14" w:name="page15"/>
    <w:bookmarkEnd w:id="14"/>
    <w:p>
      <w:pPr>
        <w:ind w:left="332" w:hanging="332"/>
        <w:spacing w:after="0"/>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270 shares held through the company's 401 (k) retirement savings plan. Does not include 200,000 shares of unvested restricted stock.</w:t>
      </w:r>
    </w:p>
    <w:p>
      <w:pPr>
        <w:spacing w:after="0" w:line="136" w:lineRule="exact"/>
        <w:rPr>
          <w:rFonts w:ascii="Arial" w:cs="Arial" w:eastAsia="Arial" w:hAnsi="Arial"/>
          <w:sz w:val="14"/>
          <w:szCs w:val="14"/>
          <w:color w:val="auto"/>
        </w:rPr>
      </w:pPr>
    </w:p>
    <w:p>
      <w:pPr>
        <w:ind w:left="332" w:hanging="332"/>
        <w:spacing w:after="0"/>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Shares beneficially owned do not exceed one percent of Class A Common Stock, inclusive of Class B Common Stock.</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include 13,250 shares of unvested restricted stock.</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include 10,000 shares of unvested restricted stock.</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include 211,066 shares of unvested restricted stock.</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include 23,566 shares of unvested restricted stock.</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270 shares held through the company's 401(k) retirement savings plan. Does not include 13,732 shares of unvested restricted stock.</w:t>
      </w:r>
    </w:p>
    <w:p>
      <w:pPr>
        <w:spacing w:after="0" w:line="136" w:lineRule="exact"/>
        <w:rPr>
          <w:rFonts w:ascii="Arial" w:cs="Arial" w:eastAsia="Arial" w:hAnsi="Arial"/>
          <w:sz w:val="14"/>
          <w:szCs w:val="14"/>
          <w:color w:val="auto"/>
        </w:rPr>
      </w:pPr>
    </w:p>
    <w:p>
      <w:pPr>
        <w:ind w:left="332" w:hanging="332"/>
        <w:spacing w:after="0"/>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Group includes those persons who were serving as directors and executive officers on February 5, 2014.</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include 1,037,367 shares of unvested restricted stock.</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1"/>
          </w:cols>
          <w:pgMar w:left="248" w:top="589" w:right="1440"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22"/>
          <w:szCs w:val="22"/>
          <w:b w:val="1"/>
          <w:bCs w:val="1"/>
          <w:color w:val="auto"/>
        </w:rPr>
        <w:t>ADDITIONAL INFORMATION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Securities Exchange Act of 1934. The SEC filings are available to the public over the Internet at the SEC’s website at www.sec.gov. You may also read and copy any document we file with the SEC at the SEC’s public reference room at 100 F. Street, N. E., Washington, D.C. 20549. Please call the SEC at 1.800.SEC.0330 for further information on the SEC’s public reference room.</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HOUSEHOLDING</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send a single set of proxy materials and other Stockholder communications to any household at which two or more Stockholders reside unless we have received contrary instructions from those Stockholders. This process is called “householding.” This reduces duplicate mailings and saves printing and postage costs as well as natural resources. The proxy materials and other Stockholder communications may be householded based on your prior express or implied consent. If you wish to receive a separate copy of our proxy materials for each Stockholder sharing your address in the future, please contact our Investor Relations Department by mail at our principal executive offices, which are located at 1901 Capital Parkway, Austin, Texas 78746, or by phone at 512.314.2220. You may also contact us in the same manner if you received multiple copies of the proxy materials and would prefer to receive a single copy in the future.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5"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i w:val="1"/>
          <w:iCs w:val="1"/>
          <w:color w:val="auto"/>
        </w:rPr>
        <w:t>APPENDIX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EZCORP, INC.</w:t>
      </w:r>
    </w:p>
    <w:p>
      <w:pPr>
        <w:spacing w:after="0" w:line="3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EZCORP, INC., a corporation organized and existing under and by virtue of the provisions of the General Corporation Law of the State of Delaware (the “Corporation”), does hereby certify as follows: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FIRST: The first paragraph of Article FOURTH of the Amended and Restated Certificate of Incorporation of the Company is hereby amended and restated in its entirety, as follows:</w:t>
      </w:r>
    </w:p>
    <w:p>
      <w:pPr>
        <w:spacing w:after="0" w:line="13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FOURTH: The total number of shares of stock which the Corporation shall have authority to issue is one hundred three million (103,000,000) shares of capital stock, classified as (i) one hundred million (100,000,000) shares of Class A Non-Voting Common Stock, par value $0.01 per share (“Class A Non-Voting Common Stock”), and (ii) three million (3,000,000) shares of Class B Voting Common Stock, par value $0.01 per share (“Class B Voting Common Stock”).</w:t>
      </w:r>
    </w:p>
    <w:p>
      <w:pPr>
        <w:spacing w:after="0" w:line="1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SECOND: This Certificate of Amendment was adopted in accordance with the provisions of Section 242 of the General Corporation Law of the State of Delaware.</w:t>
      </w:r>
    </w:p>
    <w:p>
      <w:pPr>
        <w:spacing w:after="0" w:line="130" w:lineRule="exact"/>
        <w:rPr>
          <w:sz w:val="20"/>
          <w:szCs w:val="20"/>
          <w:color w:val="auto"/>
        </w:rPr>
      </w:pPr>
    </w:p>
    <w:p>
      <w:pPr>
        <w:spacing w:after="0"/>
        <w:tabs>
          <w:tab w:leader="none" w:pos="8340" w:val="left"/>
          <w:tab w:leader="none" w:pos="9740" w:val="left"/>
        </w:tabs>
        <w:rPr>
          <w:sz w:val="20"/>
          <w:szCs w:val="20"/>
          <w:color w:val="auto"/>
        </w:rPr>
      </w:pPr>
      <w:r>
        <w:rPr>
          <w:rFonts w:ascii="Arial" w:cs="Arial" w:eastAsia="Arial" w:hAnsi="Arial"/>
          <w:sz w:val="18"/>
          <w:szCs w:val="18"/>
          <w:color w:val="auto"/>
        </w:rPr>
        <w:t>IN WITNESS WHEREOF, the Corporation has caused this Certificate of Amendment to be duly executed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2014.</w:t>
      </w:r>
    </w:p>
    <w:p>
      <w:pPr>
        <w:spacing w:after="0" w:line="34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EZCORP, Inc.</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______________________________</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152" w:right="2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 for the Special Meeting:</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Notice &amp; Proxy Statement are available at www.proxyvote.com.</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24, 2014, 10:00 a.m., Central Time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1"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The stockholder(s) hereby appoint(s) Paul E. Rothamel and Thomas H. Welch, Jr., or either of them, as proxies, each with the power to appoint his substitute, and hereby authorizes them to represent and to vote, as designated on the reverse side of this ballot, all of the shares of Class A Non-Voting Common Stock of EZCORP, INC. that the stockholder(s) is/are entitled to vote at the Annual Meeting of Stockholders to be held at 10:00 a.m., Central Time, on March 24, 2014, in the Barton Creek Room at the Barton Creek Resort &amp; Spa, 8212 Barton Club Drive, Austin, Texas 78735, and any adjournment or postponement thereof.</w:t>
      </w:r>
    </w:p>
    <w:p>
      <w:pPr>
        <w:spacing w:after="0" w:line="130" w:lineRule="exact"/>
        <w:rPr>
          <w:sz w:val="20"/>
          <w:szCs w:val="20"/>
          <w:color w:val="auto"/>
        </w:rPr>
      </w:pPr>
    </w:p>
    <w:p>
      <w:pPr>
        <w:ind w:right="20" w:firstLine="243"/>
        <w:spacing w:after="0" w:line="273" w:lineRule="auto"/>
        <w:rPr>
          <w:sz w:val="20"/>
          <w:szCs w:val="20"/>
          <w:color w:val="auto"/>
        </w:rPr>
      </w:pPr>
      <w:r>
        <w:rPr>
          <w:rFonts w:ascii="Arial" w:cs="Arial" w:eastAsia="Arial" w:hAnsi="Arial"/>
          <w:sz w:val="17"/>
          <w:szCs w:val="17"/>
          <w:b w:val="1"/>
          <w:bCs w:val="1"/>
          <w:color w:val="auto"/>
        </w:rPr>
        <w:t xml:space="preserve">Attention participants in the EZCORP, Inc. 401(k) Plan: </w:t>
      </w:r>
      <w:r>
        <w:rPr>
          <w:rFonts w:ascii="Arial" w:cs="Arial" w:eastAsia="Arial" w:hAnsi="Arial"/>
          <w:sz w:val="17"/>
          <w:szCs w:val="17"/>
          <w:color w:val="auto"/>
        </w:rPr>
        <w:t>If you are a participant in EZCORP’s 401(k) plan, your proxy will serve as a voting</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 to the Independent Fiduciary. The Independent Fiduciary shall instruct the Trustee. The Independent Fiduciary shall follow each participant's instructions unless it determines that doing so would be contrary to the Employee Retirement Income Security Act of 1974, as amended (“ERISA”). If no voting instructions are received from a participant in the 401(k) plan, the Trustee will vote those shares in accordance with the majority of shares voted in the 401(k) plan for which instructions were received, unless the Independent Fiduciary determines that doing so would be contrary to ERISA and instructs the Trustee to vote such shares differently. Your proxy must be received no later than 5:00 P.M., Eastern Time, on March 19, 2014, so that the Trustee has adequate time to tabulate the voting instructions. Your voting instructions will be kept confidential.</w:t>
      </w:r>
    </w:p>
    <w:p>
      <w:pPr>
        <w:spacing w:after="0" w:line="118" w:lineRule="exact"/>
        <w:rPr>
          <w:sz w:val="20"/>
          <w:szCs w:val="20"/>
          <w:color w:val="auto"/>
        </w:rPr>
      </w:pPr>
    </w:p>
    <w:p>
      <w:pPr>
        <w:ind w:right="680" w:firstLine="243"/>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 and to be signed on reverse side</w:t>
      </w:r>
    </w:p>
    <w:p>
      <w:pPr>
        <w:sectPr>
          <w:pgSz w:w="11900" w:h="16838" w:orient="portrait"/>
          <w:cols w:equalWidth="0" w:num="1">
            <w:col w:w="11360"/>
          </w:cols>
          <w:pgMar w:left="240" w:top="364" w:right="299" w:bottom="1440" w:gutter="0" w:footer="0" w:header="0"/>
        </w:sectPr>
      </w:pPr>
    </w:p>
    <w:bookmarkStart w:id="18" w:name="page19"/>
    <w:bookmarkEnd w:id="18"/>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EZCORP, INC.</w:t>
      </w:r>
    </w:p>
    <w:p>
      <w:pPr>
        <w:ind w:left="40"/>
        <w:spacing w:after="0"/>
        <w:rPr>
          <w:sz w:val="20"/>
          <w:szCs w:val="20"/>
          <w:color w:val="auto"/>
        </w:rPr>
      </w:pPr>
      <w:r>
        <w:rPr>
          <w:rFonts w:ascii="Arial" w:cs="Arial" w:eastAsia="Arial" w:hAnsi="Arial"/>
          <w:sz w:val="13"/>
          <w:szCs w:val="13"/>
          <w:b w:val="1"/>
          <w:bCs w:val="1"/>
          <w:i w:val="1"/>
          <w:iCs w:val="1"/>
          <w:color w:val="auto"/>
        </w:rPr>
        <w:t>1901 CAPITAL PARKWAY</w:t>
      </w:r>
    </w:p>
    <w:p>
      <w:pPr>
        <w:ind w:left="40"/>
        <w:spacing w:after="0"/>
        <w:rPr>
          <w:sz w:val="20"/>
          <w:szCs w:val="20"/>
          <w:color w:val="auto"/>
        </w:rPr>
      </w:pPr>
      <w:r>
        <w:rPr>
          <w:rFonts w:ascii="Arial" w:cs="Arial" w:eastAsia="Arial" w:hAnsi="Arial"/>
          <w:sz w:val="14"/>
          <w:szCs w:val="14"/>
          <w:b w:val="1"/>
          <w:bCs w:val="1"/>
          <w:i w:val="1"/>
          <w:iCs w:val="1"/>
          <w:color w:val="auto"/>
        </w:rPr>
        <w:t>AUSTIN, TX 78746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Use the Internet to transmit your voting instructions and for electronic delivery of information up until 5:00</w:t>
      </w:r>
    </w:p>
    <w:p>
      <w:pPr>
        <w:spacing w:after="0"/>
        <w:rPr>
          <w:sz w:val="20"/>
          <w:szCs w:val="20"/>
          <w:color w:val="auto"/>
        </w:rPr>
      </w:pPr>
      <w:r>
        <w:rPr>
          <w:rFonts w:ascii="Arial" w:cs="Arial" w:eastAsia="Arial" w:hAnsi="Arial"/>
          <w:sz w:val="13"/>
          <w:szCs w:val="13"/>
          <w:color w:val="auto"/>
        </w:rPr>
        <w:t>P.M. Eastern Time the day before the cut-off date or meeting date. Have your proxy card in hand when you</w:t>
      </w:r>
    </w:p>
    <w:p>
      <w:pPr>
        <w:spacing w:after="0"/>
        <w:rPr>
          <w:sz w:val="20"/>
          <w:szCs w:val="20"/>
          <w:color w:val="auto"/>
        </w:rPr>
      </w:pPr>
      <w:r>
        <w:rPr>
          <w:rFonts w:ascii="Arial" w:cs="Arial" w:eastAsia="Arial" w:hAnsi="Arial"/>
          <w:sz w:val="13"/>
          <w:szCs w:val="13"/>
          <w:color w:val="auto"/>
        </w:rPr>
        <w:t>access the website and follow the instructions to obtain your records and to create an electronic voting</w:t>
      </w:r>
    </w:p>
    <w:p>
      <w:pPr>
        <w:spacing w:after="0"/>
        <w:rPr>
          <w:sz w:val="20"/>
          <w:szCs w:val="20"/>
          <w:color w:val="auto"/>
        </w:rPr>
      </w:pPr>
      <w:r>
        <w:rPr>
          <w:rFonts w:ascii="Arial" w:cs="Arial" w:eastAsia="Arial" w:hAnsi="Arial"/>
          <w:sz w:val="14"/>
          <w:szCs w:val="14"/>
          <w:color w:val="auto"/>
        </w:rPr>
        <w:t>instruction form.</w:t>
      </w:r>
    </w:p>
    <w:p>
      <w:pPr>
        <w:spacing w:after="0" w:line="147" w:lineRule="exact"/>
        <w:rPr>
          <w:sz w:val="20"/>
          <w:szCs w:val="20"/>
          <w:color w:val="auto"/>
        </w:rPr>
      </w:pPr>
    </w:p>
    <w:p>
      <w:pPr>
        <w:sectPr>
          <w:pgSz w:w="11900" w:h="16838" w:orient="portrait"/>
          <w:cols w:equalWidth="0" w:num="2">
            <w:col w:w="4460" w:space="720"/>
            <w:col w:w="6220"/>
          </w:cols>
          <w:pgMar w:left="240" w:top="522" w:right="259" w:bottom="1440" w:gutter="0" w:footer="0" w:header="0"/>
        </w:sectPr>
      </w:pPr>
    </w:p>
    <w:p>
      <w:pPr>
        <w:ind w:left="5180"/>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left="5180" w:right="80"/>
        <w:spacing w:after="0" w:line="227"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41"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left="518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the meeting date. Have your proxy card in hand when you call and then follow the instructions.</w:t>
      </w:r>
    </w:p>
    <w:p>
      <w:pPr>
        <w:spacing w:after="0" w:line="138"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left="5180" w:right="100"/>
        <w:spacing w:after="0" w:line="271" w:lineRule="auto"/>
        <w:rPr>
          <w:sz w:val="20"/>
          <w:szCs w:val="20"/>
          <w:color w:val="auto"/>
        </w:rPr>
      </w:pPr>
      <w:r>
        <w:rPr>
          <w:rFonts w:ascii="Arial" w:cs="Arial" w:eastAsia="Arial" w:hAnsi="Arial"/>
          <w:sz w:val="13"/>
          <w:szCs w:val="13"/>
          <w:color w:val="auto"/>
        </w:rPr>
        <w:t xml:space="preserve">Mark, sign and date your proxy card and return it in the enclosed postage-paid envelope we have provided or return it to </w:t>
      </w:r>
      <w:r>
        <w:rPr>
          <w:rFonts w:ascii="Arial" w:cs="Arial" w:eastAsia="Arial" w:hAnsi="Arial"/>
          <w:sz w:val="13"/>
          <w:szCs w:val="13"/>
          <w:b w:val="1"/>
          <w:bCs w:val="1"/>
          <w:color w:val="auto"/>
        </w:rPr>
        <w:t>Vote Processing, c/o Broadridge, 51 Mercedes Way, Edgewood, NY 11117</w:t>
      </w:r>
      <w:r>
        <w:rPr>
          <w:rFonts w:ascii="Arial" w:cs="Arial" w:eastAsia="Arial" w:hAnsi="Arial"/>
          <w:sz w:val="13"/>
          <w:szCs w:val="13"/>
          <w:color w:val="auto"/>
        </w:rPr>
        <w:t>.</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20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608"/>
        </w:trPr>
        <w:tc>
          <w:tcPr>
            <w:tcW w:w="8200" w:type="dxa"/>
            <w:vAlign w:val="bottom"/>
          </w:tcPr>
          <w:p>
            <w:pPr>
              <w:ind w:left="35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8200" w:type="dxa"/>
            <w:vAlign w:val="bottom"/>
          </w:tcPr>
          <w:p>
            <w:pPr>
              <w:spacing w:after="0"/>
              <w:rPr>
                <w:sz w:val="20"/>
                <w:szCs w:val="20"/>
                <w:color w:val="auto"/>
              </w:rPr>
            </w:pPr>
            <w:r>
              <w:rPr>
                <w:rFonts w:ascii="Arial" w:cs="Arial" w:eastAsia="Arial" w:hAnsi="Arial"/>
                <w:sz w:val="13"/>
                <w:szCs w:val="13"/>
                <w:b w:val="1"/>
                <w:bCs w:val="1"/>
                <w:color w:val="auto"/>
              </w:rPr>
              <w:t>THE BOARD OF DIRECTORS OF EZCORP, INC. RECOMMENDS A VOTE “FOR” PROPOSALS 1. AND 2.</w:t>
            </w:r>
          </w:p>
        </w:tc>
        <w:tc>
          <w:tcPr>
            <w:tcW w:w="12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173"/>
        </w:trPr>
        <w:tc>
          <w:tcPr>
            <w:tcW w:w="9480" w:type="dxa"/>
            <w:vAlign w:val="bottom"/>
            <w:gridSpan w:val="2"/>
          </w:tcPr>
          <w:p>
            <w:pPr>
              <w:spacing w:after="0"/>
              <w:rPr>
                <w:sz w:val="20"/>
                <w:szCs w:val="20"/>
                <w:color w:val="auto"/>
              </w:rPr>
            </w:pPr>
            <w:r>
              <w:rPr>
                <w:rFonts w:ascii="Arial" w:cs="Arial" w:eastAsia="Arial" w:hAnsi="Arial"/>
                <w:sz w:val="14"/>
                <w:szCs w:val="14"/>
                <w:color w:val="auto"/>
                <w:w w:val="94"/>
              </w:rPr>
              <w:t>1. To approve an amendment to Article FOURTH of the Company's Amended and Restated Certificate of Incorporation in the form attached to the accompanying</w:t>
            </w:r>
          </w:p>
        </w:tc>
        <w:tc>
          <w:tcPr>
            <w:tcW w:w="5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70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92"/>
        </w:trPr>
        <w:tc>
          <w:tcPr>
            <w:tcW w:w="9480" w:type="dxa"/>
            <w:vAlign w:val="bottom"/>
            <w:gridSpan w:val="2"/>
          </w:tcPr>
          <w:p>
            <w:pPr>
              <w:spacing w:after="0"/>
              <w:rPr>
                <w:sz w:val="20"/>
                <w:szCs w:val="20"/>
                <w:color w:val="auto"/>
              </w:rPr>
            </w:pPr>
            <w:r>
              <w:rPr>
                <w:rFonts w:ascii="Arial" w:cs="Arial" w:eastAsia="Arial" w:hAnsi="Arial"/>
                <w:sz w:val="14"/>
                <w:szCs w:val="14"/>
                <w:color w:val="auto"/>
                <w:w w:val="99"/>
              </w:rPr>
              <w:t>Proxy Statement as Appendix A to increase the authorized shares of Class A Non-Voting Common Stock from 55,550,000 shares to 100,000,000 shares.</w:t>
            </w:r>
          </w:p>
        </w:tc>
        <w:tc>
          <w:tcPr>
            <w:tcW w:w="5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20"/>
                <w:szCs w:val="20"/>
                <w:color w:val="auto"/>
              </w:rPr>
            </w:pPr>
            <w:r>
              <w:rPr>
                <w:rFonts w:ascii="Arial" w:cs="Arial" w:eastAsia="Arial" w:hAnsi="Arial"/>
                <w:sz w:val="14"/>
                <w:szCs w:val="14"/>
                <w:color w:val="auto"/>
              </w:rPr>
              <w:t>2. To approve an adjournment of the special meeting, if necessary, to permit solicitation of additional proxies in favor of Proposal 1.</w:t>
            </w:r>
          </w:p>
        </w:tc>
        <w:tc>
          <w:tcPr>
            <w:tcW w:w="1280" w:type="dxa"/>
            <w:vAlign w:val="bottom"/>
          </w:tcPr>
          <w:p>
            <w:pPr>
              <w:spacing w:after="0"/>
              <w:rPr>
                <w:sz w:val="18"/>
                <w:szCs w:val="18"/>
                <w:color w:val="auto"/>
              </w:rPr>
            </w:pP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7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640" w:firstLine="243"/>
        <w:spacing w:after="0" w:line="273"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3155950" cy="23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5595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180" w:type="dxa"/>
            <w:vAlign w:val="bottom"/>
          </w:tcPr>
          <w:p>
            <w:pPr>
              <w:ind w:left="40"/>
              <w:spacing w:after="0"/>
              <w:rPr>
                <w:sz w:val="20"/>
                <w:szCs w:val="20"/>
                <w:color w:val="auto"/>
              </w:rPr>
            </w:pPr>
            <w:r>
              <w:rPr>
                <w:rFonts w:ascii="Arial" w:cs="Arial" w:eastAsia="Arial" w:hAnsi="Arial"/>
                <w:sz w:val="14"/>
                <w:szCs w:val="14"/>
                <w:color w:val="auto"/>
              </w:rPr>
              <w:t>Signature [PLEASE SIGN WITHIN BOX]</w:t>
            </w:r>
          </w:p>
        </w:tc>
        <w:tc>
          <w:tcPr>
            <w:tcW w:w="800" w:type="dxa"/>
            <w:vAlign w:val="bottom"/>
          </w:tcPr>
          <w:p>
            <w:pPr>
              <w:ind w:left="20"/>
              <w:spacing w:after="0"/>
              <w:rPr>
                <w:sz w:val="20"/>
                <w:szCs w:val="20"/>
                <w:color w:val="auto"/>
              </w:rPr>
            </w:pPr>
            <w:r>
              <w:rPr>
                <w:rFonts w:ascii="Arial" w:cs="Arial" w:eastAsia="Arial" w:hAnsi="Arial"/>
                <w:sz w:val="14"/>
                <w:szCs w:val="14"/>
                <w:color w:val="auto"/>
              </w:rPr>
              <w:t>Date</w:t>
            </w:r>
          </w:p>
        </w:tc>
      </w:tr>
      <w:tr>
        <w:trPr>
          <w:trHeight w:val="147"/>
        </w:trPr>
        <w:tc>
          <w:tcPr>
            <w:tcW w:w="4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331"/>
        </w:trPr>
        <w:tc>
          <w:tcPr>
            <w:tcW w:w="41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r>
      <w:tr>
        <w:trPr>
          <w:trHeight w:val="184"/>
        </w:trPr>
        <w:tc>
          <w:tcPr>
            <w:tcW w:w="4180" w:type="dxa"/>
            <w:vAlign w:val="bottom"/>
          </w:tcPr>
          <w:p>
            <w:pPr>
              <w:ind w:left="40"/>
              <w:spacing w:after="0"/>
              <w:rPr>
                <w:sz w:val="20"/>
                <w:szCs w:val="20"/>
                <w:color w:val="auto"/>
              </w:rPr>
            </w:pPr>
            <w:r>
              <w:rPr>
                <w:rFonts w:ascii="Arial" w:cs="Arial" w:eastAsia="Arial" w:hAnsi="Arial"/>
                <w:sz w:val="14"/>
                <w:szCs w:val="14"/>
                <w:color w:val="auto"/>
              </w:rPr>
              <w:t>Signature (Joint Owners)</w:t>
            </w:r>
          </w:p>
        </w:tc>
        <w:tc>
          <w:tcPr>
            <w:tcW w:w="800" w:type="dxa"/>
            <w:vAlign w:val="bottom"/>
          </w:tcPr>
          <w:p>
            <w:pPr>
              <w:ind w:left="20"/>
              <w:spacing w:after="0"/>
              <w:rPr>
                <w:sz w:val="20"/>
                <w:szCs w:val="20"/>
                <w:color w:val="auto"/>
              </w:rPr>
            </w:pPr>
            <w:r>
              <w:rPr>
                <w:rFonts w:ascii="Arial" w:cs="Arial" w:eastAsia="Arial" w:hAnsi="Arial"/>
                <w:sz w:val="14"/>
                <w:szCs w:val="14"/>
                <w:color w:val="auto"/>
              </w:rPr>
              <w:t>Date</w:t>
            </w:r>
          </w:p>
        </w:tc>
      </w:tr>
    </w:tbl>
    <w:p>
      <w:pPr>
        <w:spacing w:after="0" w:line="1" w:lineRule="exact"/>
        <w:rPr>
          <w:sz w:val="20"/>
          <w:szCs w:val="20"/>
          <w:color w:val="auto"/>
        </w:rPr>
      </w:pPr>
    </w:p>
    <w:sectPr>
      <w:pgSz w:w="11900" w:h="16838" w:orient="portrait"/>
      <w:cols w:equalWidth="0" w:num="1">
        <w:col w:w="11400"/>
      </w:cols>
      <w:pgMar w:left="240" w:top="522"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upperLetter"/>
      <w:start w:val="24"/>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
      <w:numFmt w:val="bullet"/>
      <w:start w:val="1"/>
    </w:lvl>
    <w:lvl w:ilvl="1">
      <w:lvlJc w:val="left"/>
      <w:lvlText w:val="(%2)"/>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2020-01-26T01:01:30Z</dcterms:created>
  <dcterms:modified xsi:type="dcterms:W3CDTF">2020-01-26T01:01:30Z</dcterms:modified>
</cp:coreProperties>
</file>