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TONISSEN DANIEL 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1901 CAPITAL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7"/>
        <w:gridCol w:w="902"/>
        <w:gridCol w:w="773"/>
        <w:gridCol w:w="599"/>
        <w:gridCol w:w="341"/>
        <w:gridCol w:w="820"/>
        <w:gridCol w:w="433"/>
        <w:gridCol w:w="925"/>
        <w:gridCol w:w="1162"/>
        <w:gridCol w:w="972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12.11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129,000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12.245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128,000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12.2405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127,000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12.232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126,000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12.126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125,000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12.09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124,000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12.169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123,000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12.0666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122,000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12.1628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121,000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12.0575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120,000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12.048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119,000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12.0435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118,000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12.0315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117,000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12.0209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116,000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12.0172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115,000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12.003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114,000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12.0125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112,000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12.0314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111,000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05/20/2008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12.023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(1)(2)</w:t>
            </w:r>
            <w:r>
              <w:rPr/>
              <w:t xml:space="preserve"> 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the provisions of a Rule 10b(5)-1 Plan established in May 2007.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Non-Derivative Securities Beneficially Owned does not include 420,000 Derivative Securities currently held by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s/s Laura Jones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05/21/2008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19747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773</Words>
  <CharactersWithSpaces>4703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