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31, 2018 (January 31,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January 31, 2018, EZCORP, Inc. issued a press release announcing its results of operations and financial condition for the quarter ended December 31, 2017. A copy of that press release is attached as Exhibit 99.1.</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our Latin America Pawn operations, which are denominated primarily in Mexican pesos and other Latin American currencies. As the results of Camira Administration Corp. and subsidiaries (“GPMX”) are not included in fiscal 2017, such results included on a constant currency basis reflect the actual exchange rates in effect during the current quarter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first quarter 2018 earnings conference call (to be held on February 1, 2018)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660" w:hanging="562"/>
        <w:spacing w:after="0" w:line="277" w:lineRule="auto"/>
        <w:tabs>
          <w:tab w:leader="none" w:pos="1100" w:val="left"/>
        </w:tabs>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8"/>
            <w:szCs w:val="18"/>
            <w:u w:val="single" w:color="auto"/>
            <w:color w:val="0000FF"/>
          </w:rPr>
          <w:t>Press Release, dated January 31, 2018, announcing EZCORP, Inc.’s results of operations and financial condition for the quarter ended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December 31, 2017.</w:t>
        </w:r>
      </w:hyperlink>
    </w:p>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January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Announces Strong First Quarter Financial Results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Earnings per share up 53%</w:t>
      </w:r>
    </w:p>
    <w:p>
      <w:pPr>
        <w:spacing w:after="0" w:line="26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Austin, Texas (January 31, 2018) — </w:t>
      </w:r>
      <w:r>
        <w:rPr>
          <w:rFonts w:ascii="Arial" w:cs="Arial" w:eastAsia="Arial" w:hAnsi="Arial"/>
          <w:sz w:val="18"/>
          <w:szCs w:val="18"/>
          <w:color w:val="auto"/>
        </w:rPr>
        <w:t>EZCORP, Inc. (NASDAQ: EZPW), a leading provider of pawn loans in the United States and Latin America,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its first quarter ended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FIRST QUARTER OF FISCAL 2018</w:t>
      </w:r>
    </w:p>
    <w:p>
      <w:pPr>
        <w:spacing w:after="0" w:line="1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Diluted earnings per share increased 53% to $0.23 — </w:t>
      </w:r>
      <w:r>
        <w:rPr>
          <w:rFonts w:ascii="Arial" w:cs="Arial" w:eastAsia="Arial" w:hAnsi="Arial"/>
          <w:sz w:val="18"/>
          <w:szCs w:val="18"/>
          <w:color w:val="auto"/>
        </w:rPr>
        <w:t>Eighth consecutive quarter of year-over-year (YOY) earnings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Pawn continued profit growth — </w:t>
      </w:r>
      <w:r>
        <w:rPr>
          <w:rFonts w:ascii="Arial" w:cs="Arial" w:eastAsia="Arial" w:hAnsi="Arial"/>
          <w:sz w:val="18"/>
          <w:szCs w:val="18"/>
          <w:color w:val="auto"/>
        </w:rPr>
        <w:t>Segment contribution increased 2% despite continuing impact of FY17 hurricanes.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Latin America Pawn* more than doubled profit — </w:t>
      </w:r>
      <w:r>
        <w:rPr>
          <w:rFonts w:ascii="Arial" w:cs="Arial" w:eastAsia="Arial" w:hAnsi="Arial"/>
          <w:sz w:val="18"/>
          <w:szCs w:val="18"/>
          <w:color w:val="auto"/>
        </w:rPr>
        <w:t>Segment contribution up 114%, including strategic acquisitions.</w:t>
      </w:r>
    </w:p>
    <w:p>
      <w:pPr>
        <w:spacing w:after="0" w:line="171" w:lineRule="exact"/>
        <w:rPr>
          <w:rFonts w:ascii="Arial" w:cs="Arial" w:eastAsia="Arial" w:hAnsi="Arial"/>
          <w:sz w:val="18"/>
          <w:szCs w:val="18"/>
          <w:color w:val="auto"/>
        </w:rPr>
      </w:pPr>
    </w:p>
    <w:p>
      <w:pPr>
        <w:ind w:left="660" w:hanging="328"/>
        <w:spacing w:after="0" w:line="22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PLO growth — </w:t>
      </w:r>
      <w:r>
        <w:rPr>
          <w:rFonts w:ascii="Arial" w:cs="Arial" w:eastAsia="Arial" w:hAnsi="Arial"/>
          <w:sz w:val="18"/>
          <w:szCs w:val="18"/>
          <w:color w:val="auto"/>
        </w:rPr>
        <w:t>Total consolidated pawn loans outstanding (PLO) grew 9%, including acquired stores. Latin American Pawn same store PLO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grew 16% (11%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 U.S. Pawn same store PLO increased 3% in stores unaffected by the FY17 hurricanes. Including the affected stores, U.S. Pawn same store PLO decreased 1%.</w:t>
      </w:r>
    </w:p>
    <w:p>
      <w:pPr>
        <w:spacing w:after="0" w:line="149"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Latin American store count increased 56% — </w:t>
      </w:r>
      <w:r>
        <w:rPr>
          <w:rFonts w:ascii="Arial" w:cs="Arial" w:eastAsia="Arial" w:hAnsi="Arial"/>
          <w:sz w:val="18"/>
          <w:szCs w:val="18"/>
          <w:color w:val="auto"/>
        </w:rPr>
        <w:t>Acquired 133 pawn stores and opened four new stores in Latin America. The segment 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comprises 43% of total consolidated pawn stores.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Improved liquidity — </w:t>
      </w:r>
      <w:r>
        <w:rPr>
          <w:rFonts w:ascii="Arial" w:cs="Arial" w:eastAsia="Arial" w:hAnsi="Arial"/>
          <w:sz w:val="17"/>
          <w:szCs w:val="17"/>
          <w:color w:val="auto"/>
        </w:rPr>
        <w:t>Cash and cash equivalents increased 78% to $113.6 million, with operating cash flow in the quarter of $17.4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Chief Executive Officer Stuart Grimshaw stated, “We maintained focus and delivered significant increases in net revenues, earnings and operating cash flow by driving growth in all areas of our operations.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“Latin America was a particular bright spot, more than doubling its contribution to the bottom line. In addition to strong organic growth in our Mexico pawn business, we acquired 112 stores in countries outside of Mexico and 21 stores in the northwest portion of Mexico where we were not previously represented. These acquired stores have exceeded our expectations in the short period we have owned them, and we have ample opportunity to open and acquire more stores as we continue to grow and diversify our revenue base.</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“Profits also expanded in the U.S., despite some continuing short-term impacts from last quarter's hurricanes. With gross margin expansion and continued expense control, our U.S. Pawn contribution was up 2%."</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Grimshaw concluded, “Our team delivered over 50% growth in both pre-tax and after-tax earnings by executing on pawn fundamentals, expanding our revenue base in the high growth Latin American market and leveraging our systems and expense structure. Our continued focus on these initiatives provides a strong foundation for further profit growth.”</w:t>
      </w:r>
    </w:p>
    <w:p>
      <w:pPr>
        <w:spacing w:after="0" w:line="213" w:lineRule="exact"/>
        <w:rPr>
          <w:sz w:val="20"/>
          <w:szCs w:val="20"/>
          <w:color w:val="auto"/>
        </w:rPr>
      </w:pPr>
    </w:p>
    <w:p>
      <w:pPr>
        <w:ind w:right="520"/>
        <w:spacing w:after="0" w:line="235" w:lineRule="auto"/>
        <w:rPr>
          <w:sz w:val="20"/>
          <w:szCs w:val="20"/>
          <w:color w:val="auto"/>
        </w:rPr>
      </w:pPr>
      <w:r>
        <w:rPr>
          <w:rFonts w:ascii="Arial" w:cs="Arial" w:eastAsia="Arial" w:hAnsi="Arial"/>
          <w:sz w:val="20"/>
          <w:szCs w:val="20"/>
          <w:i w:val="1"/>
          <w:iCs w:val="1"/>
          <w:color w:val="auto"/>
          <w:vertAlign w:val="superscript"/>
        </w:rPr>
        <w:t>1</w:t>
      </w:r>
      <w:r>
        <w:rPr>
          <w:rFonts w:ascii="Arial" w:cs="Arial" w:eastAsia="Arial" w:hAnsi="Arial"/>
          <w:sz w:val="15"/>
          <w:szCs w:val="15"/>
          <w:i w:val="1"/>
          <w:iCs w:val="1"/>
          <w:color w:val="auto"/>
        </w:rPr>
        <w:t>“Constant currency” basis, which is a non-GAAP measure, excludes the impact of foreign currency exchange rate fluctuations. For additional information about these calculations, as well as a reconciliation to the comparable GAAP financial measures, see “Non-GAAP Financial Information” at the end of this release.</w:t>
      </w:r>
    </w:p>
    <w:p>
      <w:pPr>
        <w:spacing w:after="0" w:line="17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i w:val="1"/>
          <w:iCs w:val="1"/>
          <w:color w:val="auto"/>
        </w:rPr>
        <w:t>*We have combined the results of newly acquired stores in Guatemala, El Salvador, Honduras and Peru with the results of our Mexico pawn business (including the newly acquired Mexico stores), and that reporting segment is now referred to as "Latin America Pawn."</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ind w:left="660" w:right="320" w:hanging="247"/>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rose 53% to $0.23. Growth and expansion in Latin America, profit growth in the U.S. and disciplined expense control drove improvement in net revenue, operating leverage and earnings.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PLO, the most influential driver of revenue and profitability, increased 9%.</w:t>
      </w:r>
    </w:p>
    <w:p>
      <w:pPr>
        <w:spacing w:after="0" w:line="171" w:lineRule="exact"/>
        <w:rPr>
          <w:rFonts w:ascii="Arial" w:cs="Arial" w:eastAsia="Arial" w:hAnsi="Arial"/>
          <w:sz w:val="18"/>
          <w:szCs w:val="18"/>
          <w:color w:val="auto"/>
        </w:rPr>
      </w:pPr>
    </w:p>
    <w:p>
      <w:pPr>
        <w:ind w:left="660" w:hanging="247"/>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improved 9% to $122.4 million (up 9% to $121.6 million on a constant currency basis). This was primarily due to an 11% increase in pawn service charges (PSC) and a 2% increase in merchandise sales, accompanied by a 170 bps improvement in sales margins to 37%. On a constant currency basis, PSC grew 10% and merchandise sales rose 1%.</w:t>
      </w:r>
    </w:p>
    <w:p>
      <w:pPr>
        <w:spacing w:after="0" w:line="127"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count expansion in Latin America caused consolidated operations expenses to grow 8% to $83.6 million (up 6% to $83.2 million on a constant currency basis). As a percentage of net revenues, operations expenses improved 100 bps to 68%.</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expenses decreased 4% to $13.3 million, reflecting continued discipline in controlling costs.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quarter's income tax expense included a charge of $2.8 million related to the revaluation of net deferred tax assets as a result of the new U.S. tax reform law enacted on December 22, 2017. An additional revaluation will be required at September 30, 2018.</w:t>
      </w:r>
    </w:p>
    <w:p>
      <w:pPr>
        <w:spacing w:after="0" w:line="116" w:lineRule="exact"/>
        <w:rPr>
          <w:rFonts w:ascii="Arial" w:cs="Arial" w:eastAsia="Arial" w:hAnsi="Arial"/>
          <w:sz w:val="18"/>
          <w:szCs w:val="18"/>
          <w:color w:val="auto"/>
        </w:rPr>
      </w:pPr>
    </w:p>
    <w:p>
      <w:pPr>
        <w:ind w:left="660" w:right="220" w:hanging="247"/>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were $113.6 million, up 78%. Collected $2.8 million in principal and interest, as scheduled, on the notes receivable related to the sale of Grupo Finmart in September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 RESULTS</w:t>
      </w:r>
    </w:p>
    <w:p>
      <w:pPr>
        <w:spacing w:after="0" w:line="175" w:lineRule="exact"/>
        <w:rPr>
          <w:sz w:val="20"/>
          <w:szCs w:val="20"/>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color w:val="auto"/>
        </w:rPr>
        <w:t>Segment contribution was up 2% to $27.8 million, despite the continued impact of the FY17 hurricanes. This was the first full quarter of operations reflecting the impact of those hurricanes on PLO, PSC and sales.</w:t>
      </w:r>
    </w:p>
    <w:p>
      <w:pPr>
        <w:spacing w:after="0" w:line="116" w:lineRule="exact"/>
        <w:rPr>
          <w:rFonts w:ascii="Arial" w:cs="Arial" w:eastAsia="Arial" w:hAnsi="Arial"/>
          <w:sz w:val="18"/>
          <w:szCs w:val="18"/>
          <w:b w:val="1"/>
          <w:bCs w:val="1"/>
          <w:i w:val="1"/>
          <w:iCs w:val="1"/>
          <w:color w:val="auto"/>
        </w:rPr>
      </w:pPr>
    </w:p>
    <w:p>
      <w:pPr>
        <w:ind w:left="660" w:right="20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 store PLO increased 3% in U.S. stores unaffected by the hurricanes. Including the affected stores, same store PLO decreased 1%. Pawn loan balances in affected stores are expected to return to normal levels after the annual U.S. tax refund season.</w:t>
      </w:r>
    </w:p>
    <w:p>
      <w:pPr>
        <w:spacing w:after="0" w:line="92"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remained relatively constant, reflecting the continuing impact of the FY17 hurricanes. A 2% decrease in PSC, combined with a 4% decrease in merchandise sales, was offset by a 220 bps increase in merchandise sales gross margin of 39%. The fiscal 2018 merchandise margin is expected to be within the 35%-38% target range.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Pawn operations expenses improved 2% to $66.3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 SEGMENT RESULTS</w:t>
      </w:r>
    </w:p>
    <w:p>
      <w:pPr>
        <w:spacing w:after="0" w:line="175" w:lineRule="exact"/>
        <w:rPr>
          <w:sz w:val="20"/>
          <w:szCs w:val="20"/>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Pawn store count expanded 56% with 133 pawn stores acquired and four stores opened in Latin America during the first quarter. Expect to open eight additional stores in Latin America in the second quarter of fiscal 2018.</w:t>
      </w:r>
    </w:p>
    <w:p>
      <w:pPr>
        <w:spacing w:after="0" w:line="116"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114% to $9.0 million (up 106% to $8.7 million on a constant currency basis).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up 120% to $31.0 million (up 114% to $30.2 million on a constant currency basis). Same store PLO rose 16% (up 11% on a constant currency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revenues grew 79% to $24.0 million, and PSC increased 109% to $16.7 million (up 103% to $16.2 million on a constant currency basis).</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increased 33% in total and 9% on a same store basis (up 27% in total and 4% in same stores on a constant currency basis). The merchandise sales margin of 32% increased 70 bps.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operations expenses improved to 61% of net revenues from 64% in the prior-year quarter.</w:t>
      </w:r>
    </w:p>
    <w:p>
      <w:pPr>
        <w:sectPr>
          <w:pgSz w:w="11900" w:h="16838" w:orient="portrait"/>
          <w:cols w:equalWidth="0" w:num="1">
            <w:col w:w="11400"/>
          </w:cols>
          <w:pgMar w:left="240" w:top="74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EZCORP will host a conference call on Thursday, February 1, 2018, at 7:30am Central Time to discuss first quarter results. Analysts and institutional investors may participate on the conference call by dialing (877) 201-0168, Conference ID: 3484945,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call 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EZCORP is a leading provider of pawn loans in the United States and Latin America. It also sells merchandise, primarily collateral forfeited from pawn lending operations and used merchandise purchased from customers. EZCORP is a member of the Russell 2000 Index, S&amp;P SmallCap 600 Index, S&amp;P 1000 Index and Nasdaq Composite Index.</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400"/>
          </w:cols>
          <w:pgMar w:left="240" w:top="742" w:right="2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379"/>
        </w:trPr>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4"/>
                <w:szCs w:val="24"/>
                <w:color w:val="auto"/>
              </w:rPr>
            </w:pPr>
          </w:p>
        </w:tc>
      </w:t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thousands, except per share amounts)</w:t>
            </w: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113,588</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111,513</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12,213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9,798</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76,360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69,013</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2,300</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204,508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192,624</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71,167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71,732</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8,344</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583</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122,427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111,965</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83,610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77,646</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13,318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13,927</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6,373</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Loss (gain) on sale or disposal of assets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102,690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97,869</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19,737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14,096</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5,565</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(2,616)</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Equity in net income of unconsolidated affiliate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19,792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13,048</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7,437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4,782</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8,266</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(1,228)</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12,133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7,038</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12,748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7,165</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4"/>
        </w:trPr>
        <w:tc>
          <w:tcPr>
            <w:tcW w:w="8300" w:type="dxa"/>
            <w:vAlign w:val="bottom"/>
          </w:tcPr>
          <w:p>
            <w:pPr>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540"/>
        </w:trPr>
        <w:tc>
          <w:tcPr>
            <w:tcW w:w="830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54,464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54,158</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54,214</w:t>
            </w:r>
          </w:p>
        </w:tc>
      </w:tr>
    </w:tbl>
    <w:p>
      <w:pPr>
        <w:sectPr>
          <w:pgSz w:w="11900" w:h="16838" w:orient="portrait"/>
          <w:cols w:equalWidth="0" w:num="1">
            <w:col w:w="11380"/>
          </w:cols>
          <w:pgMar w:left="280" w:top="99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080" w:type="dxa"/>
            <w:vAlign w:val="bottom"/>
          </w:tcPr>
          <w:p>
            <w:pPr>
              <w:jc w:val="right"/>
              <w:ind w:right="180"/>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76"/>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82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40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113,584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63,707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164,393</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Pawn loans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177,001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162,696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169,242</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34,054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30,967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31,548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Inventory,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163,310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143,440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154,411</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Notes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36,682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36,180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26,516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36,242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28,765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551,147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473,232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580,957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45,605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39,875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43,319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62,098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54,881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57,959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288,773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253,585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254,760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43,974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31,708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32,420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Non-current notes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23,343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39,365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28,377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Deferred tax asset,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10,997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34,667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16,856</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Other assets,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16,625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37,187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9,715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1,042,562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964,500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1,024,363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60,207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68,694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61,543</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9,729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11,032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70,893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78,423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72,575</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294,761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278,936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284,807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8,845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7,055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374,499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365,618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364,437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400" w:type="dxa"/>
            <w:vAlign w:val="bottom"/>
          </w:tcPr>
          <w:p>
            <w:pPr>
              <w:ind w:left="460"/>
              <w:spacing w:after="0"/>
              <w:rPr>
                <w:sz w:val="20"/>
                <w:szCs w:val="20"/>
                <w:color w:val="auto"/>
              </w:rPr>
            </w:pPr>
            <w:r>
              <w:rPr>
                <w:rFonts w:ascii="Arial" w:cs="Arial" w:eastAsia="Arial" w:hAnsi="Arial"/>
                <w:sz w:val="16"/>
                <w:szCs w:val="16"/>
                <w:color w:val="auto"/>
                <w:w w:val="93"/>
              </w:rPr>
              <w:t>Class A Non-voting Common Stock, par value $.01 per share; shares authorized: 100 million; issued and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460"/>
              <w:spacing w:after="0"/>
              <w:rPr>
                <w:sz w:val="20"/>
                <w:szCs w:val="20"/>
                <w:color w:val="auto"/>
              </w:rPr>
            </w:pPr>
            <w:r>
              <w:rPr>
                <w:rFonts w:ascii="Arial" w:cs="Arial" w:eastAsia="Arial" w:hAnsi="Arial"/>
                <w:sz w:val="16"/>
                <w:szCs w:val="16"/>
                <w:color w:val="auto"/>
                <w:w w:val="92"/>
              </w:rPr>
              <w:t>outstanding: 51,494,246 as of December 31, 2017; 51,306,608 as of December 31, 2016; and 51,427,832</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tcPr>
          <w:p>
            <w:pPr>
              <w:ind w:left="460"/>
              <w:spacing w:after="0"/>
              <w:rPr>
                <w:sz w:val="20"/>
                <w:szCs w:val="20"/>
                <w:color w:val="auto"/>
              </w:rPr>
            </w:pPr>
            <w:r>
              <w:rPr>
                <w:rFonts w:ascii="Arial" w:cs="Arial" w:eastAsia="Arial" w:hAnsi="Arial"/>
                <w:sz w:val="16"/>
                <w:szCs w:val="16"/>
                <w:color w:val="auto"/>
              </w:rPr>
              <w:t>as of September 30, 2017</w:t>
            </w:r>
          </w:p>
        </w:tc>
        <w:tc>
          <w:tcPr>
            <w:tcW w:w="18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3"/>
        </w:trPr>
        <w:tc>
          <w:tcPr>
            <w:tcW w:w="7400" w:type="dxa"/>
            <w:vAlign w:val="bottom"/>
          </w:tcPr>
          <w:p>
            <w:pPr>
              <w:ind w:left="460"/>
              <w:spacing w:after="0"/>
              <w:rPr>
                <w:sz w:val="20"/>
                <w:szCs w:val="20"/>
                <w:color w:val="auto"/>
              </w:rPr>
            </w:pPr>
            <w:r>
              <w:rPr>
                <w:rFonts w:ascii="Arial" w:cs="Arial" w:eastAsia="Arial" w:hAnsi="Arial"/>
                <w:sz w:val="16"/>
                <w:szCs w:val="16"/>
                <w:color w:val="auto"/>
                <w:w w:val="92"/>
              </w:rPr>
              <w:t>Class B Voting Common Stock, convertible, par value $.01 per share; shares authorized: 3 million; issued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400" w:type="dxa"/>
            <w:vAlign w:val="bottom"/>
          </w:tcPr>
          <w:p>
            <w:pPr>
              <w:ind w:left="460"/>
              <w:spacing w:after="0"/>
              <w:rPr>
                <w:sz w:val="20"/>
                <w:szCs w:val="20"/>
                <w:color w:val="auto"/>
              </w:rPr>
            </w:pPr>
            <w:r>
              <w:rPr>
                <w:rFonts w:ascii="Arial" w:cs="Arial" w:eastAsia="Arial" w:hAnsi="Arial"/>
                <w:sz w:val="16"/>
                <w:szCs w:val="16"/>
                <w:color w:val="auto"/>
              </w:rPr>
              <w:t>and outstanding: 2,970,171</w:t>
            </w:r>
          </w:p>
        </w:tc>
        <w:tc>
          <w:tcPr>
            <w:tcW w:w="18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351,110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319,825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348,532</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364,414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326,973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351,666</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(38,367)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Arial" w:cs="Arial" w:eastAsia="Arial" w:hAnsi="Arial"/>
                <w:sz w:val="16"/>
                <w:szCs w:val="16"/>
                <w:color w:val="auto"/>
              </w:rPr>
              <w:t>EZCORP, Inc. stockholders’ equity</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671,167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599,764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662,375</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Arial" w:cs="Arial" w:eastAsia="Arial" w:hAnsi="Arial"/>
                <w:sz w:val="16"/>
                <w:szCs w:val="16"/>
                <w:color w:val="auto"/>
              </w:rPr>
              <w:t>Total equity</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668,063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598,882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659,926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1,042,562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964,500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1,024,363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264"/>
        </w:trPr>
        <w:tc>
          <w:tcPr>
            <w:tcW w:w="8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79"/>
        </w:trPr>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ind w:left="628"/>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Operating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12,133</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7,038</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6,373</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Amortization of debt discount and deferred financing costs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Accretion of notes receivable discount and deferred compensation fee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3,129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Other adjustments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Stock compensation expense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14"/>
                <w:szCs w:val="14"/>
                <w:color w:val="auto"/>
              </w:rPr>
              <w:t>Income from investment in unconsolidated affiliate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Service charges and fees receivable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Prepaid expenses, other current assets and other assets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liabilities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(5,283)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76"/>
        </w:trPr>
        <w:tc>
          <w:tcPr>
            <w:tcW w:w="8540" w:type="dxa"/>
            <w:vAlign w:val="bottom"/>
          </w:tcPr>
          <w:p>
            <w:pPr>
              <w:ind w:left="460"/>
              <w:spacing w:after="0"/>
              <w:rPr>
                <w:sz w:val="20"/>
                <w:szCs w:val="20"/>
                <w:color w:val="auto"/>
              </w:rPr>
            </w:pPr>
            <w:r>
              <w:rPr>
                <w:rFonts w:ascii="Arial" w:cs="Arial" w:eastAsia="Arial" w:hAnsi="Arial"/>
                <w:sz w:val="14"/>
                <w:szCs w:val="14"/>
                <w:color w:val="auto"/>
              </w:rPr>
              <w:t>Income taxes, net of excess tax benefit from stock compensation</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5,004</w:t>
            </w:r>
          </w:p>
        </w:tc>
        <w:tc>
          <w:tcPr>
            <w:tcW w:w="0" w:type="dxa"/>
            <w:vAlign w:val="bottom"/>
          </w:tcPr>
          <w:p>
            <w:pPr>
              <w:spacing w:after="0"/>
              <w:rPr>
                <w:sz w:val="1"/>
                <w:szCs w:val="1"/>
                <w:color w:val="auto"/>
              </w:rPr>
            </w:pPr>
          </w:p>
        </w:tc>
      </w:tr>
      <w:tr>
        <w:trPr>
          <w:trHeight w:val="244"/>
        </w:trPr>
        <w:tc>
          <w:tcPr>
            <w:tcW w:w="8540" w:type="dxa"/>
            <w:vAlign w:val="bottom"/>
          </w:tcPr>
          <w:p>
            <w:pPr>
              <w:ind w:left="78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17,368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(5,290)</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Loans made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(169,666)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(156,457)</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Loans repaid</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103,041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91,283</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67,144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64,430</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Additions to property and equipment</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(7,917)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(62,163)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40" w:type="dxa"/>
            <w:vAlign w:val="bottom"/>
          </w:tcPr>
          <w:p>
            <w:pPr>
              <w:ind w:left="240"/>
              <w:spacing w:after="0"/>
              <w:rPr>
                <w:sz w:val="20"/>
                <w:szCs w:val="20"/>
                <w:color w:val="auto"/>
              </w:rPr>
            </w:pPr>
            <w:r>
              <w:rPr>
                <w:rFonts w:ascii="Arial" w:cs="Arial" w:eastAsia="Arial" w:hAnsi="Arial"/>
                <w:sz w:val="14"/>
                <w:szCs w:val="14"/>
                <w:color w:val="auto"/>
              </w:rPr>
              <w:t>Principal collections on notes receivable</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7,831</w:t>
            </w:r>
          </w:p>
        </w:tc>
        <w:tc>
          <w:tcPr>
            <w:tcW w:w="0" w:type="dxa"/>
            <w:vAlign w:val="bottom"/>
          </w:tcPr>
          <w:p>
            <w:pPr>
              <w:spacing w:after="0"/>
              <w:rPr>
                <w:sz w:val="1"/>
                <w:szCs w:val="1"/>
                <w:color w:val="auto"/>
              </w:rPr>
            </w:pPr>
          </w:p>
        </w:tc>
      </w:tr>
      <w:tr>
        <w:trPr>
          <w:trHeight w:val="244"/>
        </w:trPr>
        <w:tc>
          <w:tcPr>
            <w:tcW w:w="8540" w:type="dxa"/>
            <w:vAlign w:val="bottom"/>
          </w:tcPr>
          <w:p>
            <w:pPr>
              <w:ind w:left="78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(66,712)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4,761</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Financing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54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44"/>
        </w:trPr>
        <w:tc>
          <w:tcPr>
            <w:tcW w:w="8540" w:type="dxa"/>
            <w:vAlign w:val="bottom"/>
          </w:tcPr>
          <w:p>
            <w:pPr>
              <w:ind w:left="78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76"/>
        </w:trPr>
        <w:tc>
          <w:tcPr>
            <w:tcW w:w="85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44"/>
        </w:trPr>
        <w:tc>
          <w:tcPr>
            <w:tcW w:w="854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(50,809)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76"/>
        </w:trPr>
        <w:tc>
          <w:tcPr>
            <w:tcW w:w="85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164,393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65,737</w:t>
            </w:r>
          </w:p>
        </w:tc>
        <w:tc>
          <w:tcPr>
            <w:tcW w:w="0" w:type="dxa"/>
            <w:vAlign w:val="bottom"/>
          </w:tcPr>
          <w:p>
            <w:pPr>
              <w:spacing w:after="0"/>
              <w:rPr>
                <w:sz w:val="1"/>
                <w:szCs w:val="1"/>
                <w:color w:val="auto"/>
              </w:rPr>
            </w:pPr>
          </w:p>
        </w:tc>
      </w:tr>
      <w:tr>
        <w:trPr>
          <w:trHeight w:val="243"/>
        </w:trPr>
        <w:tc>
          <w:tcPr>
            <w:tcW w:w="85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113,584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63,707</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Pawn loans forfeited and transferred to inventory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72,649</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68,071</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Dividend reinvestment acquisition of additional ownership in unconsolidated affiliate</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Arial" w:cs="Arial" w:eastAsia="Arial" w:hAnsi="Arial"/>
                <w:sz w:val="14"/>
                <w:szCs w:val="14"/>
                <w:color w:val="auto"/>
              </w:rPr>
              <w:t>Deferred and contingent consideration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6"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91,494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22,094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113,588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113,588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59,705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159,798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42,606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204,508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204,508</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56,088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71,167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10,337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96,868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24,032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122,427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122,427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14,687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83,610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27,757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37,158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19,792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94,861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111,513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111,513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61,045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69,013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164,802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192,624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192,624</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60,248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71,732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97,004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111,965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67,350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77,646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77,646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13,927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Gain on sale or disposal of assets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56"/>
        </w:trPr>
        <w:tc>
          <w:tcPr>
            <w:tcW w:w="36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27,113</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restart"/>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32,636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4"/>
                <w:szCs w:val="14"/>
                <w:b w:val="1"/>
                <w:bCs w:val="1"/>
                <w:color w:val="auto"/>
                <w:w w:val="92"/>
              </w:rPr>
              <w:t>Company-owned Stores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December 31,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1460" w:type="dxa"/>
            <w:vAlign w:val="bottom"/>
            <w:gridSpan w:val="2"/>
          </w:tcPr>
          <w:p>
            <w:pPr>
              <w:jc w:val="right"/>
              <w:ind w:right="17"/>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93"/>
              </w:rPr>
              <w:t>Three Months Ended December 31, 2016</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91"/>
              </w:rPr>
              <w:t>Company-owned Stores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September 30, 2016</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December 31, 2016</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 certain other non-GAAP financial information on a constant currency basis ("constant currency"). We use constant currency results to evaluate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America Pawn operations, which are denominated primarily in Mexican pesos and other Latin American currencies. As GPMX was not acquired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2018, such results included on a constant currency basis reflect the actual exchange rates in effect during the current quarter without adjustment.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presentation of constant currency results is meaningful and useful in understanding the activities and business metrics of our Latin America Pawn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reflect an additional way of viewing aspects of our business that, when viewed with GAAP results, provide a more complete understanding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factors and trends affecting our business. We provide non-GAAP financial information for informational purposes and to enhance understanding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GAAP consolidated financial statements. We use this non-GAAP financial information to evaluate and compare operating results across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Readers should consider the information in addition to, but not instead of or superior to, our financial statements prepared in accordance with GAAP.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non-GAAP financial information may be determined or calculated differently by other companies, limiting the usefulness of those measures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comparative purposes.</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December 31, 2017 and 2016 was 19.7 to 1 and 20.7 to 1, respectively. The approximate average Mexican peso to U.S. dollar exchange rate for the three months ended December 31, 2017 and 2016 was 19.0 to 1 and 19.8 to 1, respectively.</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ectPr>
          <w:pgSz w:w="11900" w:h="16838" w:orient="portrait"/>
          <w:cols w:equalWidth="0" w:num="1">
            <w:col w:w="11420"/>
          </w:cols>
          <w:pgMar w:left="240" w:top="585" w:right="239" w:bottom="1440" w:gutter="0" w:footer="0" w:header="0"/>
        </w:sectPr>
      </w:pPr>
    </w:p>
    <w:bookmarkStart w:id="12" w:name="page13"/>
    <w:bookmarkEnd w:id="12"/>
    <w:p>
      <w:pPr>
        <w:ind w:right="240"/>
        <w:spacing w:after="0" w:line="308" w:lineRule="auto"/>
        <w:rPr>
          <w:sz w:val="20"/>
          <w:szCs w:val="20"/>
          <w:color w:val="auto"/>
        </w:rPr>
      </w:pPr>
      <w:r>
        <w:rPr>
          <w:rFonts w:ascii="Arial" w:cs="Arial" w:eastAsia="Arial" w:hAnsi="Arial"/>
          <w:sz w:val="17"/>
          <w:szCs w:val="17"/>
          <w:color w:val="auto"/>
        </w:rPr>
        <w:t>The following information provides reconciliations of certain non-GAAP financial measures presented in this press release to the most directly comparable financial measures calculated and presented in accordance with GAAP as of and for the three months ended December 31,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Change</w:t>
            </w:r>
          </w:p>
        </w:tc>
        <w:tc>
          <w:tcPr>
            <w:tcW w:w="0" w:type="dxa"/>
            <w:vAlign w:val="bottom"/>
          </w:tcPr>
          <w:p>
            <w:pPr>
              <w:spacing w:after="0"/>
              <w:rPr>
                <w:sz w:val="1"/>
                <w:szCs w:val="1"/>
                <w:color w:val="auto"/>
              </w:rPr>
            </w:pPr>
          </w:p>
        </w:tc>
      </w:tr>
      <w:tr>
        <w:trPr>
          <w:trHeight w:val="192"/>
        </w:trPr>
        <w:tc>
          <w:tcPr>
            <w:tcW w:w="864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4"/>
                <w:szCs w:val="14"/>
                <w:color w:val="auto"/>
              </w:rPr>
              <w:t>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204.5</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net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PSC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PSC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05"/>
        </w:trPr>
        <w:tc>
          <w:tcPr>
            <w:tcW w:w="8640" w:type="dxa"/>
            <w:vAlign w:val="bottom"/>
          </w:tcPr>
          <w:p>
            <w:pPr>
              <w:spacing w:after="0"/>
              <w:rPr>
                <w:sz w:val="20"/>
                <w:szCs w:val="20"/>
                <w:color w:val="auto"/>
              </w:rPr>
            </w:pPr>
            <w:r>
              <w:rPr>
                <w:rFonts w:ascii="Arial" w:cs="Arial" w:eastAsia="Arial" w:hAnsi="Arial"/>
                <w:sz w:val="14"/>
                <w:szCs w:val="14"/>
                <w:color w:val="auto"/>
              </w:rPr>
              <w:t>Consolidated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operations expenses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operations expenses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PSC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same store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merchandise sales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December 31, 2017)</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2020-01-14T05:15:44Z</dcterms:created>
  <dcterms:modified xsi:type="dcterms:W3CDTF">2020-01-14T05:15:44Z</dcterms:modified>
</cp:coreProperties>
</file>