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3"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93"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7, 2022 (April 5, 2022)</w:t>
      </w:r>
    </w:p>
    <w:p>
      <w:pPr>
        <w:spacing w:after="0" w:line="7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6"/>
        </w:trPr>
        <w:tc>
          <w:tcPr>
            <w:tcW w:w="1820" w:type="dxa"/>
            <w:vAlign w:val="bottom"/>
          </w:tcPr>
          <w:p>
            <w:pPr>
              <w:jc w:val="center"/>
              <w:ind w:right="10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75"/>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8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8"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2"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3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On January 10, 2022 Jeffrey Edelman (“Plaintiff”) filed a Verified Stockholder Derivative Complaint (the “Complaint”) on behalf of the Company challenging certain equity awards granted by the Company’s board of directors (the “Board”) from and after May 18, 2020 to officers, directors, and employees of the Company (the “Awards”). The Complaint alleged that (i) the Awards were ultra vires because they were not made pursuant to a stockholder-approved equity compensation plan in effect as required by Nasdaq Rule 5635(c) given that the Company’s 2010 Long-Term Incentive Plan (the “Plan”) prohibited the grant of any equity award thereunder after May 1, 2020; (ii) the members of the Board breached their fiduciary duties and wasted the Company’s assets by granting the ultra vires Awards without authority under the Plan; and (iii) the recipients of the Awards breached their fiduciary duties and were unjustly enriched by accepting them. While the Company and the Board deny completely all of the allegations of wrongdoing in the Complaint, on January 31, 2022, the Company filed with the Securities and Exchange Commission (“SEC”) a Current Report on Form 8-K disclosing that on that date, the Company’s Board and sole holder of its Class B Voting Common Stock (the “Voting Stockholder” ) ratified the grants of the Awards, certain issuances of shares of the Company’s Class A Non-Voting Common Stock pursuant thereto (the “Issuances”) and, in order to allow for the ratification of the foregoing, an amendment to the Plan effective April 30, 2020 to allow for the grant of Awards under the Plan until December 31, 2021 and to increase the number of shares of the Company’s Class A Non-Voting Common Stock authorized for issuance under the Plan (the “Plan Amendment”), in each case pursuant to Section 204 of the Delaware General Corporation Law. In addition, on March 3, 2022, the Company filed a Form</w:t>
      </w:r>
    </w:p>
    <w:p>
      <w:pPr>
        <w:spacing w:after="0" w:line="5"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8-K disclosing that on March 2, 2022, the Voting Stockholder approved a new equity incentive plan to replace the Plan; provided that the Plan continues to govern awards made under the Plan that were outstanding as of December 31, 2021 and that the authorized shares under the 2010 Plan remain available to satisfy such awards.</w:t>
      </w:r>
    </w:p>
    <w:p>
      <w:pPr>
        <w:spacing w:after="0" w:line="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Plaintiff agreed that as a result of the ratification of the grant of the Awards, the Issuances, and the Plan Amendment, and the adoption of the Company’s new equity incentive plan, the claims set forth in the Complaint have been mooted, and the Company agreed to pay $250,000 in fees and expenses to Plaintiff’s counsel. On April 5, 2022, the Court entered a Stipulation and Order providing that Plaintiff’s action will be dismissed with prejudice and the case will be closed. The Court has not passed on the amount of fees and expenses.</w:t>
      </w:r>
    </w:p>
    <w:p>
      <w:pPr>
        <w:spacing w:after="0" w:line="216" w:lineRule="exact"/>
        <w:rPr>
          <w:sz w:val="20"/>
          <w:szCs w:val="20"/>
          <w:color w:val="auto"/>
        </w:rPr>
      </w:pPr>
    </w:p>
    <w:p>
      <w:pPr>
        <w:ind w:right="800"/>
        <w:spacing w:after="0" w:line="261" w:lineRule="auto"/>
        <w:rPr>
          <w:sz w:val="20"/>
          <w:szCs w:val="20"/>
          <w:color w:val="auto"/>
        </w:rPr>
      </w:pPr>
      <w:r>
        <w:rPr>
          <w:rFonts w:ascii="Times New Roman" w:cs="Times New Roman" w:eastAsia="Times New Roman" w:hAnsi="Times New Roman"/>
          <w:sz w:val="18"/>
          <w:szCs w:val="18"/>
          <w:color w:val="auto"/>
        </w:rPr>
        <w:t>Plaintiff’s counsel are Daniel Tepper of Levi &amp; Korsinsky, LLP, (212) 363-7500, and Ryan Ernst of Bielli &amp; Klauder, LLC, (302) 803-4600, and Company’s counsel is Srinivas Raju of Richards, Layton &amp; Finger, P.A., (302) 651-7700.</w:t>
      </w:r>
    </w:p>
    <w:p>
      <w:pPr>
        <w:spacing w:after="0"/>
        <w:rPr>
          <w:sz w:val="20"/>
          <w:szCs w:val="20"/>
          <w:color w:val="auto"/>
        </w:rPr>
      </w:pPr>
      <w:r>
        <w:rPr>
          <w:rFonts w:ascii="Times New Roman" w:cs="Times New Roman" w:eastAsia="Times New Roman" w:hAnsi="Times New Roman"/>
          <w:sz w:val="18"/>
          <w:szCs w:val="18"/>
          <w:color w:val="auto"/>
        </w:rPr>
        <w:t>For additional information about the Awards, see the Company’s Current Report on Form 8-K filed January 31,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Exhibits.</w:t>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6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EZCORP, INC.</w:t>
            </w:r>
          </w:p>
        </w:tc>
      </w:tr>
      <w:tr>
        <w:trPr>
          <w:trHeight w:val="28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April 7, 2022</w:t>
            </w:r>
          </w:p>
        </w:tc>
        <w:tc>
          <w:tcPr>
            <w:tcW w:w="22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H. Welch, Jr.</w:t>
            </w:r>
          </w:p>
        </w:tc>
      </w:tr>
      <w:tr>
        <w:trPr>
          <w:trHeight w:val="218"/>
        </w:trPr>
        <w:tc>
          <w:tcPr>
            <w:tcW w:w="30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H. Welch, Jr.</w:t>
            </w:r>
          </w:p>
        </w:tc>
      </w:tr>
      <w:tr>
        <w:trPr>
          <w:trHeight w:val="234"/>
        </w:trPr>
        <w:tc>
          <w:tcPr>
            <w:tcW w:w="30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pacing w:after="0" w:line="1" w:lineRule="exact"/>
        <w:rPr>
          <w:sz w:val="20"/>
          <w:szCs w:val="20"/>
          <w:color w:val="auto"/>
        </w:rPr>
      </w:pPr>
    </w:p>
    <w:sectPr>
      <w:pgSz w:w="11900" w:h="16838" w:orient="portrait"/>
      <w:cols w:equalWidth="0" w:num="1">
        <w:col w:w="11200"/>
      </w:cols>
      <w:pgMar w:left="320" w:top="8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2022-04-07T16:31:00Z</dcterms:created>
  <dcterms:modified xsi:type="dcterms:W3CDTF">2022-04-07T16:31:00Z</dcterms:modified>
</cp:coreProperties>
</file>