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Rose James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1901 CAPITAL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10/01/2008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59"/>
        <w:gridCol w:w="901"/>
        <w:gridCol w:w="771"/>
        <w:gridCol w:w="598"/>
        <w:gridCol w:w="347"/>
        <w:gridCol w:w="886"/>
        <w:gridCol w:w="453"/>
        <w:gridCol w:w="615"/>
        <w:gridCol w:w="1160"/>
        <w:gridCol w:w="995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10/01/2008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2,500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Award is issued with a 3 year "cliff"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Closing market value on date of award is $18.28. However, no consideration was paid for the award other than services rendered and to be rendered by the Reporting Person.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s/s Laura Jones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10/02/2008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44678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561</Words>
  <CharactersWithSpaces>3524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