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76" w:lineRule="exact"/>
        <w:rPr>
          <w:sz w:val="20"/>
          <w:szCs w:val="20"/>
          <w:color w:val="auto"/>
        </w:rPr>
      </w:pPr>
    </w:p>
    <w:p>
      <w:pPr>
        <w:spacing w:after="0"/>
        <w:tabs>
          <w:tab w:leader="none" w:pos="8700" w:val="left"/>
        </w:tabs>
        <w:rPr>
          <w:sz w:val="20"/>
          <w:szCs w:val="20"/>
          <w:color w:val="auto"/>
        </w:rPr>
      </w:pPr>
      <w:r>
        <w:rPr>
          <w:rFonts w:ascii="Arial" w:cs="Arial" w:eastAsia="Arial" w:hAnsi="Arial"/>
          <w:sz w:val="18"/>
          <w:szCs w:val="18"/>
          <w:b w:val="1"/>
          <w:bCs w:val="1"/>
          <w:color w:val="auto"/>
        </w:rPr>
        <w:t>For the Fiscal Year Ended September 30, 2008</w:t>
      </w:r>
      <w:r>
        <w:rPr>
          <w:sz w:val="20"/>
          <w:szCs w:val="20"/>
          <w:color w:val="auto"/>
        </w:rPr>
        <w:tab/>
      </w:r>
      <w:r>
        <w:rPr>
          <w:rFonts w:ascii="Arial" w:cs="Arial" w:eastAsia="Arial" w:hAnsi="Arial"/>
          <w:sz w:val="18"/>
          <w:szCs w:val="18"/>
          <w:b w:val="1"/>
          <w:bCs w:val="1"/>
          <w:color w:val="auto"/>
        </w:rPr>
        <w:t>Commission File No. 000-19424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17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Delaware</w:t>
      </w:r>
    </w:p>
    <w:p>
      <w:pPr>
        <w:spacing w:after="0" w:line="1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74-2540145</w:t>
      </w:r>
    </w:p>
    <w:p>
      <w:pPr>
        <w:spacing w:after="0" w:line="18"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(I.R.S. Employer Identification No.)</w:t>
      </w:r>
    </w:p>
    <w:p>
      <w:pPr>
        <w:spacing w:after="0" w:line="190" w:lineRule="exact"/>
        <w:rPr>
          <w:sz w:val="20"/>
          <w:szCs w:val="20"/>
          <w:color w:val="auto"/>
        </w:rPr>
      </w:pPr>
    </w:p>
    <w:p>
      <w:pPr>
        <w:sectPr>
          <w:pgSz w:w="11900" w:h="16838" w:orient="portrait"/>
          <w:cols w:equalWidth="0" w:num="2">
            <w:col w:w="6540" w:space="720"/>
            <w:col w:w="416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1901 Capital Parkway</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78746</w:t>
      </w:r>
    </w:p>
    <w:p>
      <w:pPr>
        <w:jc w:val="center"/>
        <w:ind w:right="-1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420"/>
          </w:cols>
          <w:pgMar w:left="240" w:top="122" w:right="239" w:bottom="1440" w:gutter="0" w:footer="0" w:header="0"/>
          <w:type w:val="continuous"/>
        </w:sectPr>
      </w:pP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(512) 314-3400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3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9"/>
              </w:rPr>
              <w:t>Class A Non-voting Common Stock, $.01 par value per share</w:t>
            </w:r>
          </w:p>
        </w:tc>
        <w:tc>
          <w:tcPr>
            <w:tcW w:w="3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6" w:lineRule="exact"/>
        <w:rPr>
          <w:sz w:val="20"/>
          <w:szCs w:val="20"/>
          <w:color w:val="auto"/>
        </w:rPr>
      </w:pPr>
    </w:p>
    <w:p>
      <w:pPr>
        <w:ind w:right="2120"/>
        <w:spacing w:after="0" w:line="220"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right="2000"/>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89"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Indicate by check mark if disclosures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08"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7" w:lineRule="exact"/>
        <w:rPr>
          <w:sz w:val="20"/>
          <w:szCs w:val="20"/>
          <w:color w:val="auto"/>
        </w:rPr>
      </w:pPr>
    </w:p>
    <w:p>
      <w:pPr>
        <w:ind w:left="2820" w:right="80" w:hanging="4888"/>
        <w:spacing w:after="0" w:line="239" w:lineRule="exact"/>
        <w:tabs>
          <w:tab w:leader="none" w:pos="28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(Do not check if a smaller reporting company)</w:t>
      </w:r>
    </w:p>
    <w:p>
      <w:pPr>
        <w:spacing w:after="0" w:line="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only class of voting securities of the registrant issued and outstanding is the Class B Voting Common Stock, par value $.01 per share, all of which is owned by one record holder who is an affiliate of the registrant. There is no trading market for the Class B Voting Common Stock. The aggregate market value of the Class A Non-Voting Common Stock held by non-affiliates of the registrant was $459 million, based on the closing price on the NASDAQ Stock Market on March 31, 2008.</w:t>
      </w:r>
    </w:p>
    <w:p>
      <w:pPr>
        <w:spacing w:after="0" w:line="9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As of October 31, 2008, 40,239,931 shares of the registrant’s Class A Non-voting Common Stock, par value $.01 per share and 2,970,171 shares of the registrant’s Class B Voting Common Stock, par value $.01 per share were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gridSpan w:val="12"/>
          </w:tcPr>
          <w:p>
            <w:pPr>
              <w:jc w:val="center"/>
              <w:ind w:right="4560"/>
              <w:spacing w:after="0"/>
              <w:rPr>
                <w:sz w:val="20"/>
                <w:szCs w:val="20"/>
                <w:color w:val="auto"/>
              </w:rPr>
            </w:pPr>
            <w:r>
              <w:rPr>
                <w:rFonts w:ascii="Arial" w:cs="Arial" w:eastAsia="Arial" w:hAnsi="Arial"/>
                <w:sz w:val="18"/>
                <w:szCs w:val="18"/>
                <w:b w:val="1"/>
                <w:bCs w:val="1"/>
                <w:color w:val="auto"/>
                <w:w w:val="97"/>
              </w:rPr>
              <w:t>EZCORP, INC.</w:t>
            </w:r>
          </w:p>
        </w:tc>
        <w:tc>
          <w:tcPr>
            <w:tcW w:w="38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gridSpan w:val="16"/>
          </w:tcPr>
          <w:p>
            <w:pPr>
              <w:jc w:val="center"/>
              <w:ind w:right="3460"/>
              <w:spacing w:after="0" w:line="202" w:lineRule="exact"/>
              <w:rPr>
                <w:sz w:val="20"/>
                <w:szCs w:val="20"/>
                <w:color w:val="auto"/>
              </w:rPr>
            </w:pPr>
            <w:r>
              <w:rPr>
                <w:rFonts w:ascii="Arial" w:cs="Arial" w:eastAsia="Arial" w:hAnsi="Arial"/>
                <w:sz w:val="18"/>
                <w:szCs w:val="18"/>
                <w:b w:val="1"/>
                <w:bCs w:val="1"/>
                <w:color w:val="auto"/>
                <w:w w:val="99"/>
              </w:rPr>
              <w:t>YEAR ENDED SEPTEMBER 30, 2008</w:t>
            </w:r>
          </w:p>
        </w:tc>
        <w:tc>
          <w:tcPr>
            <w:tcW w:w="380" w:type="dxa"/>
            <w:vAlign w:val="bottom"/>
          </w:tcPr>
          <w:p>
            <w:pPr>
              <w:spacing w:after="0"/>
              <w:rPr>
                <w:sz w:val="17"/>
                <w:szCs w:val="17"/>
                <w:color w:val="auto"/>
              </w:rPr>
            </w:pPr>
          </w:p>
        </w:tc>
      </w:tr>
      <w:tr>
        <w:trPr>
          <w:trHeight w:val="239"/>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60" w:type="dxa"/>
            <w:vAlign w:val="bottom"/>
            <w:gridSpan w:val="13"/>
          </w:tcPr>
          <w:p>
            <w:pPr>
              <w:jc w:val="center"/>
              <w:ind w:right="4100"/>
              <w:spacing w:after="0"/>
              <w:rPr>
                <w:sz w:val="20"/>
                <w:szCs w:val="20"/>
                <w:color w:val="auto"/>
              </w:rPr>
            </w:pPr>
            <w:r>
              <w:rPr>
                <w:rFonts w:ascii="Arial" w:cs="Arial" w:eastAsia="Arial" w:hAnsi="Arial"/>
                <w:sz w:val="18"/>
                <w:szCs w:val="18"/>
                <w:b w:val="1"/>
                <w:bCs w:val="1"/>
                <w:color w:val="auto"/>
                <w:w w:val="99"/>
              </w:rPr>
              <w:t>INDEX TO FORM 10-K</w:t>
            </w:r>
          </w:p>
        </w:tc>
        <w:tc>
          <w:tcPr>
            <w:tcW w:w="380" w:type="dxa"/>
            <w:vAlign w:val="bottom"/>
          </w:tcPr>
          <w:p>
            <w:pPr>
              <w:spacing w:after="0"/>
              <w:rPr>
                <w:sz w:val="20"/>
                <w:szCs w:val="20"/>
                <w:color w:val="auto"/>
              </w:rPr>
            </w:pPr>
          </w:p>
        </w:tc>
      </w:tr>
      <w:tr>
        <w:trPr>
          <w:trHeight w:val="356"/>
        </w:trPr>
        <w:tc>
          <w:tcPr>
            <w:tcW w:w="10940" w:type="dxa"/>
            <w:vAlign w:val="bottom"/>
            <w:gridSpan w:val="30"/>
          </w:tcPr>
          <w:p>
            <w:pPr>
              <w:spacing w:after="0"/>
              <w:rPr>
                <w:sz w:val="20"/>
                <w:szCs w:val="20"/>
                <w:color w:val="auto"/>
              </w:rPr>
            </w:pPr>
            <w:r>
              <w:rPr>
                <w:rFonts w:ascii="Arial" w:cs="Arial" w:eastAsia="Arial" w:hAnsi="Arial"/>
                <w:sz w:val="14"/>
                <w:szCs w:val="14"/>
                <w:color w:val="auto"/>
              </w:rPr>
              <w:t>Item</w:t>
            </w:r>
          </w:p>
        </w:tc>
        <w:tc>
          <w:tcPr>
            <w:tcW w:w="3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57"/>
        </w:trPr>
        <w:tc>
          <w:tcPr>
            <w:tcW w:w="10940" w:type="dxa"/>
            <w:vAlign w:val="bottom"/>
            <w:gridSpan w:val="30"/>
          </w:tcPr>
          <w:p>
            <w:pPr>
              <w:spacing w:after="0" w:line="157" w:lineRule="exact"/>
              <w:rPr>
                <w:sz w:val="20"/>
                <w:szCs w:val="20"/>
                <w:color w:val="auto"/>
              </w:rPr>
            </w:pPr>
            <w:r>
              <w:rPr>
                <w:rFonts w:ascii="Arial" w:cs="Arial" w:eastAsia="Arial" w:hAnsi="Arial"/>
                <w:sz w:val="14"/>
                <w:szCs w:val="14"/>
                <w:color w:val="auto"/>
              </w:rPr>
              <w:t>No.</w:t>
            </w: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No.</w:t>
            </w:r>
          </w:p>
        </w:tc>
      </w:tr>
      <w:tr>
        <w:trPr>
          <w:trHeight w:val="219"/>
        </w:trPr>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60" w:type="dxa"/>
            <w:vAlign w:val="bottom"/>
            <w:gridSpan w:val="13"/>
          </w:tcPr>
          <w:p>
            <w:pPr>
              <w:ind w:left="200"/>
              <w:spacing w:after="0"/>
              <w:rPr>
                <w:sz w:val="20"/>
                <w:szCs w:val="20"/>
                <w:color w:val="auto"/>
              </w:rPr>
            </w:pPr>
            <w:r>
              <w:rPr>
                <w:rFonts w:ascii="Arial" w:cs="Arial" w:eastAsia="Arial" w:hAnsi="Arial"/>
                <w:sz w:val="18"/>
                <w:szCs w:val="18"/>
                <w:b w:val="1"/>
                <w:bCs w:val="1"/>
                <w:color w:val="auto"/>
              </w:rPr>
              <w:t>INTRODUCTION</w:t>
            </w:r>
          </w:p>
        </w:tc>
        <w:tc>
          <w:tcPr>
            <w:tcW w:w="380" w:type="dxa"/>
            <w:vAlign w:val="bottom"/>
            <w:tcBorders>
              <w:top w:val="single" w:sz="8" w:color="auto"/>
            </w:tcBorders>
          </w:tcPr>
          <w:p>
            <w:pPr>
              <w:spacing w:after="0"/>
              <w:rPr>
                <w:sz w:val="19"/>
                <w:szCs w:val="19"/>
                <w:color w:val="auto"/>
              </w:rPr>
            </w:pPr>
          </w:p>
        </w:tc>
      </w:tr>
      <w:tr>
        <w:trPr>
          <w:trHeight w:val="355"/>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80" w:type="dxa"/>
            <w:vAlign w:val="bottom"/>
          </w:tcPr>
          <w:p>
            <w:pPr>
              <w:spacing w:after="0"/>
              <w:rPr>
                <w:sz w:val="24"/>
                <w:szCs w:val="24"/>
                <w:color w:val="auto"/>
              </w:rPr>
            </w:pPr>
          </w:p>
        </w:tc>
      </w:tr>
      <w:tr>
        <w:trPr>
          <w:trHeight w:val="385"/>
        </w:trPr>
        <w:tc>
          <w:tcPr>
            <w:tcW w:w="180" w:type="dxa"/>
            <w:vAlign w:val="bottom"/>
            <w:tcBorders>
              <w:bottom w:val="single" w:sz="8" w:color="0000EE"/>
            </w:tcBorders>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760" w:type="dxa"/>
            <w:vAlign w:val="bottom"/>
            <w:tcBorders>
              <w:bottom w:val="single" w:sz="8" w:color="0000EE"/>
            </w:tcBorders>
            <w:gridSpan w:val="3"/>
          </w:tcPr>
          <w:p>
            <w:pPr>
              <w:ind w:left="20"/>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4440" w:type="dxa"/>
            <w:vAlign w:val="bottom"/>
            <w:gridSpan w:val="18"/>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49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83"/>
        </w:trPr>
        <w:tc>
          <w:tcPr>
            <w:tcW w:w="10940" w:type="dxa"/>
            <w:vAlign w:val="bottom"/>
            <w:gridSpan w:val="30"/>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1A. Risk Factors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180" w:type="dxa"/>
            <w:vAlign w:val="bottom"/>
            <w:tcBorders>
              <w:top w:val="single" w:sz="8" w:color="0000EE"/>
            </w:tcBorders>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2.</w:t>
              </w:r>
            </w:hyperlink>
          </w:p>
        </w:tc>
        <w:tc>
          <w:tcPr>
            <w:tcW w:w="1140" w:type="dxa"/>
            <w:vAlign w:val="bottom"/>
            <w:tcBorders>
              <w:top w:val="single" w:sz="8" w:color="0000EE"/>
            </w:tcBorders>
            <w:gridSpan w:val="6"/>
          </w:tcPr>
          <w:p>
            <w:pPr>
              <w:ind w:left="2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9620" w:type="dxa"/>
            <w:vAlign w:val="bottom"/>
            <w:gridSpan w:val="2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180" w:type="dxa"/>
            <w:vAlign w:val="bottom"/>
            <w:tcBorders>
              <w:bottom w:val="single" w:sz="8" w:color="0000EE"/>
            </w:tcBorders>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c>
          <w:tcPr>
            <w:tcW w:w="1520" w:type="dxa"/>
            <w:vAlign w:val="bottom"/>
            <w:tcBorders>
              <w:bottom w:val="single" w:sz="8" w:color="0000EE"/>
            </w:tcBorders>
            <w:gridSpan w:val="7"/>
          </w:tcPr>
          <w:p>
            <w:pPr>
              <w:ind w:left="20"/>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Legal Proceedings</w:t>
              </w:r>
            </w:hyperlink>
          </w:p>
        </w:tc>
        <w:tc>
          <w:tcPr>
            <w:tcW w:w="9240" w:type="dxa"/>
            <w:vAlign w:val="bottom"/>
            <w:gridSpan w:val="2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180" w:type="dxa"/>
            <w:vAlign w:val="bottom"/>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c>
          <w:tcPr>
            <w:tcW w:w="10760" w:type="dxa"/>
            <w:vAlign w:val="bottom"/>
            <w:gridSpan w:val="29"/>
          </w:tcPr>
          <w:p>
            <w:pPr>
              <w:ind w:left="20"/>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385"/>
        </w:trPr>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9"/>
          </w:tcPr>
          <w:p>
            <w:pPr>
              <w:jc w:val="center"/>
              <w:ind w:right="5060"/>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PART II</w:t>
              </w:r>
            </w:hyperlink>
          </w:p>
        </w:tc>
        <w:tc>
          <w:tcPr>
            <w:tcW w:w="38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5"/>
        </w:trPr>
        <w:tc>
          <w:tcPr>
            <w:tcW w:w="180" w:type="dxa"/>
            <w:vAlign w:val="bottom"/>
            <w:tcBorders>
              <w:bottom w:val="single" w:sz="8" w:color="0000EE"/>
            </w:tcBorders>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5.</w:t>
              </w:r>
            </w:hyperlink>
          </w:p>
        </w:tc>
        <w:tc>
          <w:tcPr>
            <w:tcW w:w="5840" w:type="dxa"/>
            <w:vAlign w:val="bottom"/>
            <w:tcBorders>
              <w:bottom w:val="single" w:sz="8" w:color="0000EE"/>
            </w:tcBorders>
            <w:gridSpan w:val="25"/>
          </w:tcPr>
          <w:p>
            <w:pPr>
              <w:ind w:left="20"/>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Market for Registrant’s Common Equity and Related Stockholder Matters</w:t>
              </w:r>
            </w:hyperlink>
          </w:p>
        </w:tc>
        <w:tc>
          <w:tcPr>
            <w:tcW w:w="49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83"/>
        </w:trPr>
        <w:tc>
          <w:tcPr>
            <w:tcW w:w="180" w:type="dxa"/>
            <w:vAlign w:val="bottom"/>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6.</w:t>
              </w:r>
            </w:hyperlink>
          </w:p>
        </w:tc>
        <w:tc>
          <w:tcPr>
            <w:tcW w:w="10760" w:type="dxa"/>
            <w:vAlign w:val="bottom"/>
            <w:gridSpan w:val="29"/>
          </w:tcPr>
          <w:p>
            <w:pPr>
              <w:ind w:left="20"/>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180" w:type="dxa"/>
            <w:vAlign w:val="bottom"/>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7.</w:t>
              </w:r>
            </w:hyperlink>
          </w:p>
        </w:tc>
        <w:tc>
          <w:tcPr>
            <w:tcW w:w="10760" w:type="dxa"/>
            <w:vAlign w:val="bottom"/>
            <w:gridSpan w:val="29"/>
          </w:tcPr>
          <w:p>
            <w:pPr>
              <w:ind w:left="20"/>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72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7A. Qualitative and Quantitative Disclosures About Market Risk</w:t>
              </w:r>
            </w:hyperlink>
          </w:p>
        </w:tc>
        <w:tc>
          <w:tcPr>
            <w:tcW w:w="3660" w:type="dxa"/>
            <w:vAlign w:val="bottom"/>
            <w:gridSpan w:val="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1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8.</w:t>
              </w:r>
            </w:hyperlink>
          </w:p>
        </w:tc>
        <w:tc>
          <w:tcPr>
            <w:tcW w:w="3760" w:type="dxa"/>
            <w:vAlign w:val="bottom"/>
            <w:tcBorders>
              <w:top w:val="single" w:sz="8" w:color="0000EE"/>
              <w:bottom w:val="single" w:sz="8" w:color="0000EE"/>
            </w:tcBorders>
            <w:gridSpan w:val="13"/>
          </w:tcPr>
          <w:p>
            <w:pPr>
              <w:ind w:left="20"/>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Financial Statements and Supplementary Data</w:t>
              </w:r>
            </w:hyperlink>
          </w:p>
        </w:tc>
        <w:tc>
          <w:tcPr>
            <w:tcW w:w="1100" w:type="dxa"/>
            <w:vAlign w:val="bottom"/>
            <w:tcBorders>
              <w:top w:val="single" w:sz="8" w:color="0000EE"/>
            </w:tcBorders>
            <w:gridSpan w:val="4"/>
          </w:tcPr>
          <w:p>
            <w:pPr>
              <w:spacing w:after="0"/>
              <w:rPr>
                <w:sz w:val="15"/>
                <w:szCs w:val="15"/>
                <w:color w:val="auto"/>
              </w:rPr>
            </w:pPr>
          </w:p>
        </w:tc>
        <w:tc>
          <w:tcPr>
            <w:tcW w:w="5900" w:type="dxa"/>
            <w:vAlign w:val="bottom"/>
            <w:gridSpan w:val="1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183"/>
        </w:trPr>
        <w:tc>
          <w:tcPr>
            <w:tcW w:w="180" w:type="dxa"/>
            <w:vAlign w:val="bottom"/>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9.</w:t>
              </w:r>
            </w:hyperlink>
          </w:p>
        </w:tc>
        <w:tc>
          <w:tcPr>
            <w:tcW w:w="10760" w:type="dxa"/>
            <w:vAlign w:val="bottom"/>
            <w:gridSpan w:val="29"/>
          </w:tcPr>
          <w:p>
            <w:pPr>
              <w:ind w:left="20"/>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183"/>
        </w:trPr>
        <w:tc>
          <w:tcPr>
            <w:tcW w:w="73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85">
              <w:r>
                <w:rPr>
                  <w:rFonts w:ascii="Arial" w:cs="Arial" w:eastAsia="Arial" w:hAnsi="Arial"/>
                  <w:sz w:val="18"/>
                  <w:szCs w:val="18"/>
                  <w:color w:val="0000EE"/>
                </w:rPr>
                <w:t>9A. Controls and Procedures</w:t>
              </w:r>
            </w:hyperlink>
          </w:p>
        </w:tc>
        <w:tc>
          <w:tcPr>
            <w:tcW w:w="3600" w:type="dxa"/>
            <w:vAlign w:val="bottom"/>
            <w:gridSpan w:val="2"/>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r>
      <w:tr>
        <w:trPr>
          <w:trHeight w:val="385"/>
        </w:trPr>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88">
              <w:r>
                <w:rPr>
                  <w:rFonts w:ascii="Arial" w:cs="Arial" w:eastAsia="Arial" w:hAnsi="Arial"/>
                  <w:sz w:val="18"/>
                  <w:szCs w:val="18"/>
                  <w:b w:val="1"/>
                  <w:bCs w:val="1"/>
                  <w:color w:val="0000EE"/>
                  <w:w w:val="98"/>
                </w:rPr>
                <w:t>PART III</w:t>
              </w:r>
            </w:hyperlink>
          </w:p>
        </w:tc>
        <w:tc>
          <w:tcPr>
            <w:tcW w:w="502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r>
      <w:tr>
        <w:trPr>
          <w:trHeight w:val="385"/>
        </w:trPr>
        <w:tc>
          <w:tcPr>
            <w:tcW w:w="10940" w:type="dxa"/>
            <w:vAlign w:val="bottom"/>
            <w:gridSpan w:val="3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10. Directors and 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183"/>
        </w:trPr>
        <w:tc>
          <w:tcPr>
            <w:tcW w:w="23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11. Executive Compensation</w:t>
              </w:r>
            </w:hyperlink>
          </w:p>
        </w:tc>
        <w:tc>
          <w:tcPr>
            <w:tcW w:w="1940" w:type="dxa"/>
            <w:vAlign w:val="bottom"/>
            <w:tcBorders>
              <w:top w:val="single" w:sz="8" w:color="0000EE"/>
            </w:tcBorders>
            <w:gridSpan w:val="5"/>
          </w:tcPr>
          <w:p>
            <w:pPr>
              <w:spacing w:after="0"/>
              <w:rPr>
                <w:sz w:val="15"/>
                <w:szCs w:val="15"/>
                <w:color w:val="auto"/>
              </w:rPr>
            </w:pPr>
          </w:p>
        </w:tc>
        <w:tc>
          <w:tcPr>
            <w:tcW w:w="6700" w:type="dxa"/>
            <w:vAlign w:val="bottom"/>
            <w:gridSpan w:val="15"/>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91</w:t>
            </w:r>
          </w:p>
        </w:tc>
      </w:tr>
      <w:tr>
        <w:trPr>
          <w:trHeight w:val="183"/>
        </w:trPr>
        <w:tc>
          <w:tcPr>
            <w:tcW w:w="10940" w:type="dxa"/>
            <w:vAlign w:val="bottom"/>
            <w:gridSpan w:val="30"/>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12. Security Ownership of Certain Beneficial Owners and Management and Related Stockholder Matters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183"/>
        </w:trPr>
        <w:tc>
          <w:tcPr>
            <w:tcW w:w="832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13. Certain Relationships and Related Party Transactions</w:t>
              </w:r>
            </w:hyperlink>
          </w:p>
        </w:tc>
        <w:tc>
          <w:tcPr>
            <w:tcW w:w="2620" w:type="dxa"/>
            <w:vAlign w:val="bottom"/>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r>
      <w:tr>
        <w:trPr>
          <w:trHeight w:val="183"/>
        </w:trPr>
        <w:tc>
          <w:tcPr>
            <w:tcW w:w="45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14. Principal Accounting Fees and Services</w:t>
              </w:r>
            </w:hyperlink>
          </w:p>
        </w:tc>
        <w:tc>
          <w:tcPr>
            <w:tcW w:w="6360" w:type="dxa"/>
            <w:vAlign w:val="bottom"/>
            <w:gridSpan w:val="13"/>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r>
      <w:tr>
        <w:trPr>
          <w:trHeight w:val="385"/>
        </w:trPr>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20" w:type="dxa"/>
            <w:vAlign w:val="bottom"/>
            <w:gridSpan w:val="11"/>
          </w:tcPr>
          <w:p>
            <w:pPr>
              <w:jc w:val="center"/>
              <w:ind w:right="5020"/>
              <w:spacing w:after="0"/>
              <w:rPr>
                <w:rFonts w:ascii="Arial" w:cs="Arial" w:eastAsia="Arial" w:hAnsi="Arial"/>
                <w:sz w:val="18"/>
                <w:szCs w:val="18"/>
                <w:b w:val="1"/>
                <w:bCs w:val="1"/>
                <w:color w:val="0000EE"/>
                <w:w w:val="98"/>
              </w:rPr>
            </w:pPr>
            <w:hyperlink w:anchor="page112">
              <w:r>
                <w:rPr>
                  <w:rFonts w:ascii="Arial" w:cs="Arial" w:eastAsia="Arial" w:hAnsi="Arial"/>
                  <w:sz w:val="18"/>
                  <w:szCs w:val="18"/>
                  <w:b w:val="1"/>
                  <w:bCs w:val="1"/>
                  <w:color w:val="0000EE"/>
                  <w:w w:val="98"/>
                </w:rPr>
                <w:t>PART IV</w:t>
              </w:r>
            </w:hyperlink>
          </w:p>
        </w:tc>
        <w:tc>
          <w:tcPr>
            <w:tcW w:w="380" w:type="dxa"/>
            <w:vAlign w:val="bottom"/>
          </w:tcPr>
          <w:p>
            <w:pPr>
              <w:spacing w:after="0"/>
              <w:rPr>
                <w:sz w:val="24"/>
                <w:szCs w:val="24"/>
                <w:color w:val="auto"/>
              </w:rPr>
            </w:pPr>
          </w:p>
        </w:tc>
      </w:tr>
      <w:tr>
        <w:trPr>
          <w:trHeight w:val="385"/>
        </w:trPr>
        <w:tc>
          <w:tcPr>
            <w:tcW w:w="522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15. Exhibits and Financial Statement Schedules</w:t>
              </w:r>
            </w:hyperlink>
          </w:p>
        </w:tc>
        <w:tc>
          <w:tcPr>
            <w:tcW w:w="700" w:type="dxa"/>
            <w:vAlign w:val="bottom"/>
            <w:tcBorders>
              <w:top w:val="single" w:sz="8" w:color="0000EE"/>
            </w:tcBorders>
            <w:gridSpan w:val="5"/>
          </w:tcPr>
          <w:p>
            <w:pPr>
              <w:spacing w:after="0"/>
              <w:rPr>
                <w:sz w:val="24"/>
                <w:szCs w:val="24"/>
                <w:color w:val="auto"/>
              </w:rPr>
            </w:pPr>
          </w:p>
        </w:tc>
        <w:tc>
          <w:tcPr>
            <w:tcW w:w="50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85"/>
        </w:trPr>
        <w:tc>
          <w:tcPr>
            <w:tcW w:w="3820" w:type="dxa"/>
            <w:vAlign w:val="bottom"/>
            <w:tcBorders>
              <w:top w:val="single" w:sz="8" w:color="0000EE"/>
            </w:tcBorders>
            <w:gridSpan w:val="1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71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86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900" w:type="dxa"/>
            <w:vAlign w:val="bottom"/>
            <w:gridSpan w:val="2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15">
              <w:r>
                <w:rPr>
                  <w:rFonts w:ascii="Arial" w:cs="Arial" w:eastAsia="Arial" w:hAnsi="Arial"/>
                  <w:sz w:val="18"/>
                  <w:szCs w:val="18"/>
                  <w:color w:val="0000EE"/>
                  <w:w w:val="98"/>
                </w:rPr>
                <w:t>Exhibit Index</w:t>
              </w:r>
            </w:hyperlink>
          </w:p>
        </w:tc>
        <w:tc>
          <w:tcPr>
            <w:tcW w:w="9900" w:type="dxa"/>
            <w:vAlign w:val="bottom"/>
            <w:gridSpan w:val="24"/>
          </w:tcPr>
          <w:p>
            <w:pPr>
              <w:spacing w:after="0"/>
              <w:rPr>
                <w:sz w:val="15"/>
                <w:szCs w:val="15"/>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r>
    </w:tbl>
    <w:p>
      <w:pPr>
        <w:spacing w:after="0" w:line="12" w:lineRule="exact"/>
        <w:rPr>
          <w:sz w:val="20"/>
          <w:szCs w:val="20"/>
          <w:color w:val="auto"/>
        </w:rPr>
      </w:pPr>
    </w:p>
    <w:p>
      <w:pPr>
        <w:ind w:left="6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EX-3.2</w:t>
        </w:r>
      </w:hyperlink>
    </w:p>
    <w:p>
      <w:pPr>
        <w:ind w:left="60"/>
        <w:spacing w:after="0" w:line="234" w:lineRule="auto"/>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EX-10.14</w:t>
        </w:r>
      </w:hyperlink>
    </w:p>
    <w:p>
      <w:pPr>
        <w:ind w:left="60"/>
        <w:spacing w:after="0" w:line="235" w:lineRule="auto"/>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EX-21.1</w:t>
        </w:r>
      </w:hyperlink>
    </w:p>
    <w:p>
      <w:pPr>
        <w:ind w:left="60"/>
        <w:spacing w:after="0" w:line="235" w:lineRule="auto"/>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EX-23.1</w:t>
        </w:r>
      </w:hyperlink>
    </w:p>
    <w:p>
      <w:pPr>
        <w:ind w:left="60"/>
        <w:spacing w:after="0" w:line="235" w:lineRule="auto"/>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EX-31.1</w:t>
        </w:r>
      </w:hyperlink>
    </w:p>
    <w:p>
      <w:pPr>
        <w:ind w:left="60"/>
        <w:spacing w:after="0" w:line="235" w:lineRule="auto"/>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EX-31.2</w:t>
        </w:r>
      </w:hyperlink>
    </w:p>
    <w:p>
      <w:pPr>
        <w:ind w:left="60"/>
        <w:spacing w:after="0" w:line="235" w:lineRule="auto"/>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EX-32.1</w:t>
        </w:r>
      </w:hyperlink>
    </w:p>
    <w:p>
      <w:pPr>
        <w:ind w:left="6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EX-32.2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0"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B</w:t>
      </w:r>
      <w:r>
        <w:rPr>
          <w:rFonts w:ascii="Arial" w:cs="Arial" w:eastAsia="Arial" w:hAnsi="Arial"/>
          <w:sz w:val="12"/>
          <w:szCs w:val="12"/>
          <w:b w:val="1"/>
          <w:bCs w:val="1"/>
          <w:color w:val="auto"/>
        </w:rPr>
        <w:t>USINESS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discussion in this section of the report contains forward-looking statements that involve risks and uncertainties. Our actual results could differ materially from these forward-looking statements. Factors that could cause or contribute to such differences include, but are not limited to, those discussed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EZCORP, Inc. is a Delaware corporation with principal executive offices at 1901 Capital Parkway, Austin, Texas 78746. Our telephone number is (512) 314-3400. You may access our filings with the Securities and Exchange Commission through a link in the Investor Relations section of our website at www.ezcorp.com. Our Code of Conduct and Ethics, Audit Committee Charter and Compensation Committee Charter are also available on our website.</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lend or provide credit services to individuals who do not have cash resources or access to credit to meet their short-term cash needs. We offer pawn loans in 294 domestic pawn stores and 38 Mexico pawn stores open at September 30, 2008. Pawn loans are non-recourse loans collateralized by tangible personal property. At these stores, we also sell merchandise, primarily collateral forfeited from our pawn lending operations, to customers looking for good value. In 477 EZMONEY stores and 71 of our domestic pawn stores open September 30, 2008, we offer short-term non-collateralized loans, often called payday loans, or fee-based credit services to customers seeking loans (collectively, “signature loans”).</w:t>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manage our business as three segments. The EZPAWN US Operations segment offers pawn related activities in all 294 domestic pawn stores, and offers signature loans in 71 pawn stores and six EZMONEY stores. The Empeño Fácil segment offers pawn related activities in all 38 stores in Mexico. The EZMONEY Operations segment offers signature loans in 471 EZMONEY stores in the United States, and accounts for approximately 98% of our consolidated signature loan revenues.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earn pawn service charge revenue on our pawn lending. While allowable service charges vary by state and loan size, a majority of our U.S. pawn loans earn 20% per month, or 240% annually. Our average U.S. pawn loan amount typically ranges between $80 and $100 but varies depending on the valuation of each item pawned. The total U.S. loan term, consisting of the primary term and grace period, ranges between 60 and 120 days. In Mexico, a majority of our pawn loans earn monthly pawn service charges of 13% to 14% net of applicable taxes, and the total loan term is 40 days. In the years ended September 30, 2006, 2007 and 2008 (fiscal 2006, 2007, and 2008), approximately 76%, 77% and 79% of our pawn loans were redeemed in full or were renewed or extended through the payment of accrued pawn service charges.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our pawnshops, we acquire inventory for retail sales through pawn loan forfeitures and, to a lesser extent, through purchases of customers’ merchandise.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We realized gross margins on sales of 40%, 39% and 40% in fiscal 2006, 2007 and 2008.</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 September 30, 2008, 287 of our 477 EZMONEY stores and 47 of our 294 domestic pawn stores offered credit services to customers seeking loans from unaffiliated lenders. We do not participate in any of the loans made by the lenders, but earn a fee for helping customers obtain credit and for enhancing customers’ creditworthiness by providing letters of credit. We also offer a free service to all credit service customers to improve or establish their credit histories by reporting their payments to an external credit-reporting agency.</w:t>
      </w:r>
    </w:p>
    <w:p>
      <w:pPr>
        <w:spacing w:after="0" w:line="9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In connection with our credit services, the unaffiliated lenders offer customers two types of loans. In all 287 EZMONEY stores and 47 domestic pawn stores offering credit services, customers can obtain short-term loans, with principal amounts up to $1,500 but averaging approximately $560. Terms of these short-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term loans are generally less than 30 days, averaging about 18 days, with due dates corresponding with the customers’ next payday. We typically earn a fee of 20% of the loan amount for our short-term loan credit services. In 90 EZMONEY stores offering credit services, customers can obtain longer-term installment loans from the unaffiliated lenders. The installment loans typically carry terms of about five months with ten equal installment payments due on customers’ paydays. Installment loan principal amounts range from $ 1,525 to $3,000, but average about $2,100. With each semi-monthly or bi-weekly installment payment, we earn a fee of 10% of the initial loan amount. At September 30, 2008, short-term loans comprised 98% of the balance of loans brokered through our credit services, and installment loans comprised the remaining 2%.</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earn payday loan fee revenue on our payday loans. In 24 domestic pawn stores and 190 EZMONEY stores, we make payday loans subject to state law. The average payday loan amount is approximately $430 and the term is generally less than 30 days, averaging about 18 days. We typically charge a fee of 15% to 22% of the loan amount for a 7 to 23-day period.</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On June 18, 2007, we completed the acquisition of fifteen pawnshops and one payday loan store from Jumping Jack Cash, a competitor in Colorado, for $23.2 million of cash and direct transaction costs. Results of the acquired stores are included in our consolidated results from the date of acquisition.</w:t>
      </w:r>
    </w:p>
    <w:p>
      <w:pPr>
        <w:spacing w:after="0" w:line="9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On October 22, 2007, we completed the acquisition of twenty Mexico pawnshops from MMFS Intl., S.A. de C.V., a subsidiary of Mister Money Holdings, Inc., for $15.5 million cash and direct transaction costs. Results of the acquired stores are included in our consolidated results from the date of acquisition.</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September 5, 2008, we announced an asset purchase agreement to acquire eleven pawnshops located in Las Vegas, North Las Vegas and Henderson, Nevada that operate under the Pawn Plus, Pawn Place and ASAP Pawn brands. We completed this acquisition on November 13, 2008 for total consideration of approximately $34.3 million plus direct transaction costs. Approximately half the purchase consideration was funded with the issuance of EZCORP Class A Non-voting Common Stock and the remaining half was funded in cash. Results of the acquired stores will be included in our consolidated results from the date of acquisition.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2008, we announced a merger agreement with Value Financial Services, Inc. that we expect to consummate December 31,</w:t>
      </w:r>
    </w:p>
    <w:p>
      <w:pPr>
        <w:spacing w:after="0" w:line="234" w:lineRule="auto"/>
        <w:rPr>
          <w:sz w:val="20"/>
          <w:szCs w:val="20"/>
          <w:color w:val="auto"/>
        </w:rPr>
      </w:pPr>
      <w:r>
        <w:rPr>
          <w:rFonts w:ascii="Arial" w:cs="Arial" w:eastAsia="Arial" w:hAnsi="Arial"/>
          <w:sz w:val="18"/>
          <w:szCs w:val="18"/>
          <w:color w:val="auto"/>
        </w:rPr>
        <w:t>2008. In the merger, we will acquire Value Financial Services’ 67 pawn stores, mostly in Florida, for a total estimated acquisition price of</w:t>
      </w:r>
    </w:p>
    <w:p>
      <w:pPr>
        <w:spacing w:after="0" w:line="235" w:lineRule="auto"/>
        <w:rPr>
          <w:sz w:val="20"/>
          <w:szCs w:val="20"/>
          <w:color w:val="auto"/>
        </w:rPr>
      </w:pPr>
      <w:r>
        <w:rPr>
          <w:rFonts w:ascii="Arial" w:cs="Arial" w:eastAsia="Arial" w:hAnsi="Arial"/>
          <w:sz w:val="18"/>
          <w:szCs w:val="18"/>
          <w:color w:val="auto"/>
        </w:rPr>
        <w:t>$80.6 million, plus the assumption of Value Financial Services’ debt estimated at $35.3 million, for an aggregate cost of approximately</w:t>
      </w:r>
    </w:p>
    <w:p>
      <w:pPr>
        <w:spacing w:after="0" w:line="235" w:lineRule="auto"/>
        <w:rPr>
          <w:sz w:val="20"/>
          <w:szCs w:val="20"/>
          <w:color w:val="auto"/>
        </w:rPr>
      </w:pPr>
      <w:r>
        <w:rPr>
          <w:rFonts w:ascii="Arial" w:cs="Arial" w:eastAsia="Arial" w:hAnsi="Arial"/>
          <w:sz w:val="18"/>
          <w:szCs w:val="18"/>
          <w:color w:val="auto"/>
        </w:rPr>
        <w:t>$115.9 million. The total purchase price may increase upon the payment of contingent consideration depending on the price at which the</w:t>
      </w:r>
    </w:p>
    <w:p>
      <w:pPr>
        <w:spacing w:after="0" w:line="235" w:lineRule="auto"/>
        <w:rPr>
          <w:sz w:val="20"/>
          <w:szCs w:val="20"/>
          <w:color w:val="auto"/>
        </w:rPr>
      </w:pPr>
      <w:r>
        <w:rPr>
          <w:rFonts w:ascii="Arial" w:cs="Arial" w:eastAsia="Arial" w:hAnsi="Arial"/>
          <w:sz w:val="18"/>
          <w:szCs w:val="18"/>
          <w:color w:val="auto"/>
        </w:rPr>
        <w:t>sellers sell, within 125 days of the merger, the EZCORP shares they will acquire as part of the merger consideration. This acquisition is</w:t>
      </w:r>
    </w:p>
    <w:p>
      <w:pPr>
        <w:spacing w:after="0"/>
        <w:rPr>
          <w:sz w:val="20"/>
          <w:szCs w:val="20"/>
          <w:color w:val="auto"/>
        </w:rPr>
      </w:pPr>
      <w:r>
        <w:rPr>
          <w:rFonts w:ascii="Arial" w:cs="Arial" w:eastAsia="Arial" w:hAnsi="Arial"/>
          <w:sz w:val="18"/>
          <w:szCs w:val="18"/>
          <w:color w:val="auto"/>
        </w:rPr>
        <w:t>described more fully later in this annual report.</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fiscal 2008, we opened 66 EZMONEY stores and closed or consolidated 22. Of the 477 total EZMONEY stores, 158 adjoin existing EZPAWN locations but have a different entrance, signage, décor and staffing. Even though they adjoin an EZPAWN, the EZMONEY stores are a separate business from the customers’ point of view. We refer to these as “adjoined stores.” During fiscal 2008, we also opened 14 Empeño Fácil pawn stores in Mexico, in addition to the twenty stores acquired in October 2007. We plan to open another 30 to 35 Empeño Fácil pawn stores in fiscal 2009.</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experienced rapid signature loan growth in the past several years. We expect continued growth in the near term both with the maturation of existing stores and the planned fiscal 2009 opening of another 30 to 35 EZMONEY stores. Customers find signature loans a more attractive alternative than borrowing from friends and family or incurring insufficient fund fees, overdraft protection fees, utility reconnect fees and other charges imposed when they have insufficient cash. Signature loan customers exercise greater control of their personal finances without damaging the relationship they have with their merchants and service providers. Customers also value the excellent service we provide them.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comprised our net revenues (total revenues less cost of goods sold):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Fiscal Year Ended September 30,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56"/>
        </w:trPr>
        <w:tc>
          <w:tcPr>
            <w:tcW w:w="736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Borders>
              <w:bottom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color w:val="auto"/>
              </w:rPr>
              <w:t>2008</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Pawn service charges</w:t>
            </w:r>
          </w:p>
        </w:tc>
        <w:tc>
          <w:tcPr>
            <w:tcW w:w="8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w:t>
            </w:r>
          </w:p>
        </w:tc>
        <w:tc>
          <w:tcPr>
            <w:tcW w:w="1640" w:type="dxa"/>
            <w:vAlign w:val="bottom"/>
            <w:gridSpan w:val="5"/>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Gross profit from merchandise sales</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164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from jewelry scrapping</w:t>
            </w:r>
          </w:p>
        </w:tc>
        <w:tc>
          <w:tcPr>
            <w:tcW w:w="8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64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Signature loan (payday loan and credit service) fees</w:t>
            </w: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164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41%</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40%</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r>
      <w:tr>
        <w:trPr>
          <w:trHeight w:val="20"/>
        </w:trPr>
        <w:tc>
          <w:tcPr>
            <w:tcW w:w="7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w:t>
            </w:r>
          </w:p>
        </w:tc>
        <w:tc>
          <w:tcPr>
            <w:tcW w:w="1640" w:type="dxa"/>
            <w:vAlign w:val="bottom"/>
            <w:gridSpan w:val="5"/>
          </w:tcPr>
          <w:p>
            <w:pPr>
              <w:jc w:val="right"/>
              <w:ind w:right="1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Lending Activities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pawnshops make pawn loans, which typically are small, non-recourse loans collateralized by tangible personal property. At September 30, 2008, we had approximately 757,000 loans outstanding, representing an aggregate principal balance of $75.9 million. A majority of our U.S. pawn loans earn 20% per month, or 240% annually. In Mexico, a majority of our pawn loans earn monthly pawn service charges of 13% to 14% net of applicable taxes. For fiscal 2008, pawn service charges accounted for approximately 21% of our total revenues and 30% of our net revenues.</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Collateral for our pawn loans consists of tangible personal property, generally jewelry, consumer electronics, tools, sporting goods and musical instruments. Approximately 65% of our pawn loan collateral is jewelry and approximately 90% of this amount is gold jewelry. We do not evaluate the creditworthiness of a pawn customer, but rely on the estimated resale value of the collateral and the perceived probability of the loan’s redemption. We generally lend from 25% to 65% of the pledged property’s estimated resale value depending on an evaluation of these factors. The sources for our determination of the resale value of collateral include our computerized valuation software, gold values, internet retail and auction sites, catalogues, newspaper advertisements and previous sales of similar merchandise.</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collateral is held through the duration of the loan, which in most U.S. locations is 60 days and in Mexico is 40 days. The customer generally has the option of renewing or extending the loan. Through our lending guidelines, we generally maintain a redemption rate (the percent of loans made that are redeemed, renewed or extended) between 75% and 80%. In each of our last three fiscal years, the redemption rate was within this range. If a borrower does not repay, extend or renew a loan, the collateral is forfeited to us and becomes inventory available for sale. We do not record loan losses or charge-offs of pawn loans because the principal amount of an unpaid loan becomes the inventory carrying cost of the forfeited collateral. We provide an inventory valuation allowance to ensure that this forfeited collateral is valued at the lower of cost or market.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our dollar amount of pawn loan activity for fiscal 2006, 2007 and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left="334"/>
              <w:spacing w:after="0"/>
              <w:rPr>
                <w:sz w:val="20"/>
                <w:szCs w:val="20"/>
                <w:color w:val="auto"/>
              </w:rPr>
            </w:pPr>
            <w:r>
              <w:rPr>
                <w:rFonts w:ascii="Arial" w:cs="Arial" w:eastAsia="Arial" w:hAnsi="Arial"/>
                <w:sz w:val="14"/>
                <w:szCs w:val="14"/>
                <w:color w:val="auto"/>
              </w:rPr>
              <w:t>Fiscal Year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2"/>
              <w:spacing w:after="0" w:line="155"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3"/>
          </w:tcPr>
          <w:p>
            <w:pPr>
              <w:jc w:val="center"/>
              <w:ind w:left="214"/>
              <w:spacing w:after="0" w:line="155" w:lineRule="exact"/>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made</w:t>
            </w: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191.8</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211.9</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Loans repaid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(101.6)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(109.2)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forfeited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(93.2)</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Loans acquired in business acquisitions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pawn loans outstanding at the end of the year</w:t>
            </w: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10.4</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gridSpan w:val="2"/>
          </w:tcPr>
          <w:p>
            <w:pPr>
              <w:spacing w:after="0"/>
              <w:rPr>
                <w:sz w:val="20"/>
                <w:szCs w:val="20"/>
                <w:color w:val="auto"/>
              </w:rPr>
            </w:pPr>
            <w:r>
              <w:rPr>
                <w:rFonts w:ascii="Arial" w:cs="Arial" w:eastAsia="Arial" w:hAnsi="Arial"/>
                <w:sz w:val="18"/>
                <w:szCs w:val="18"/>
                <w:color w:val="auto"/>
              </w:rPr>
              <w:t>Loans renewed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30.2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Loans extended</w:t>
            </w: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183.3</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267.8</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405"/>
        </w:trPr>
        <w:tc>
          <w:tcPr>
            <w:tcW w:w="6860" w:type="dxa"/>
            <w:vAlign w:val="bottom"/>
            <w:gridSpan w:val="2"/>
          </w:tcPr>
          <w:p>
            <w:pPr>
              <w:jc w:val="right"/>
              <w:ind w:right="101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redemption rate of pawn loans and the gross profit realized on the sale of forfeited collateral are dependent on the appraisal of customer merchandise. Jewelry, which makes up approximately 65% of the value of collateral, can be appraised based on weight, gold content, style and value of gemstones, if any. Other items pawned typically consist of consumer electronics, tools, sporting goods, and musical instruments. These are evaluated based on recent sales experience and the selling price of similar new merchandise, adjusted for age, wear, and obsolescence.</w:t>
      </w:r>
    </w:p>
    <w:p>
      <w:pPr>
        <w:spacing w:after="0" w:line="9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At the time a pawn transaction is made, a pawn loan agreement is given to the borrower. It presents, among other things, the name and address of the pawnshop and the borrower, the borrower’s identification information, the date of the loan and a detailed description of the pledged goods (including applicable serial numbers), the amount financed, the pawn service charge, the maturity date of the loan, the total amount that must be paid to redeem the loan and the annual percentage rate.</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Since a majority of our pawn stores are located in Texas, Texas pawnshop laws and regulations govern most of our pawn operations. The maximum allowable pawn service charges in Texas are set in accordance with the Texas Pawnshop Act and are based on the dollar amount of the loan. Historically, the maximum allowable pawn service charges under Texas law have not changed, but loan amounts have been increased annually in relation to the Consumer Price Index.</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Pawn Loan Service Charges for Texas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Amount Financed per Pawn Loan</w:t>
            </w:r>
          </w:p>
        </w:tc>
        <w:tc>
          <w:tcPr>
            <w:tcW w:w="1600" w:type="dxa"/>
            <w:vAlign w:val="bottom"/>
            <w:tcBorders>
              <w:bottom w:val="single" w:sz="8" w:color="auto"/>
            </w:tcBorders>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Maximum</w:t>
            </w:r>
          </w:p>
        </w:tc>
      </w:tr>
      <w:tr>
        <w:trPr>
          <w:trHeight w:val="160"/>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right"/>
              <w:ind w:right="417"/>
              <w:spacing w:after="0"/>
              <w:rPr>
                <w:sz w:val="20"/>
                <w:szCs w:val="20"/>
                <w:color w:val="auto"/>
              </w:rPr>
            </w:pPr>
            <w:r>
              <w:rPr>
                <w:rFonts w:ascii="Arial" w:cs="Arial" w:eastAsia="Arial" w:hAnsi="Arial"/>
                <w:sz w:val="14"/>
                <w:szCs w:val="14"/>
                <w:color w:val="auto"/>
              </w:rPr>
              <w:t>July 1, 2007 to</w:t>
            </w:r>
          </w:p>
        </w:tc>
        <w:tc>
          <w:tcPr>
            <w:tcW w:w="2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437"/>
              <w:spacing w:after="0"/>
              <w:rPr>
                <w:sz w:val="20"/>
                <w:szCs w:val="20"/>
                <w:color w:val="auto"/>
              </w:rPr>
            </w:pPr>
            <w:r>
              <w:rPr>
                <w:rFonts w:ascii="Arial" w:cs="Arial" w:eastAsia="Arial" w:hAnsi="Arial"/>
                <w:sz w:val="14"/>
                <w:szCs w:val="14"/>
                <w:color w:val="auto"/>
              </w:rPr>
              <w:t>July 1, 2008 to</w:t>
            </w:r>
          </w:p>
        </w:tc>
        <w:tc>
          <w:tcPr>
            <w:tcW w:w="26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Allowable Annual</w:t>
            </w:r>
          </w:p>
        </w:tc>
      </w:tr>
      <w:tr>
        <w:trPr>
          <w:trHeight w:val="157"/>
        </w:trPr>
        <w:tc>
          <w:tcPr>
            <w:tcW w:w="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37"/>
              <w:spacing w:after="0" w:line="157" w:lineRule="exact"/>
              <w:rPr>
                <w:sz w:val="20"/>
                <w:szCs w:val="20"/>
                <w:color w:val="auto"/>
              </w:rPr>
            </w:pPr>
            <w:r>
              <w:rPr>
                <w:rFonts w:ascii="Arial" w:cs="Arial" w:eastAsia="Arial" w:hAnsi="Arial"/>
                <w:sz w:val="14"/>
                <w:szCs w:val="14"/>
                <w:color w:val="auto"/>
              </w:rPr>
              <w:t>June 30, 2008</w:t>
            </w:r>
          </w:p>
        </w:tc>
        <w:tc>
          <w:tcPr>
            <w:tcW w:w="26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37"/>
              <w:spacing w:after="0" w:line="157" w:lineRule="exact"/>
              <w:rPr>
                <w:sz w:val="20"/>
                <w:szCs w:val="20"/>
                <w:color w:val="auto"/>
              </w:rPr>
            </w:pPr>
            <w:r>
              <w:rPr>
                <w:rFonts w:ascii="Arial" w:cs="Arial" w:eastAsia="Arial" w:hAnsi="Arial"/>
                <w:sz w:val="14"/>
                <w:szCs w:val="14"/>
                <w:color w:val="auto"/>
              </w:rPr>
              <w:t>June 30, 2009</w:t>
            </w:r>
          </w:p>
        </w:tc>
        <w:tc>
          <w:tcPr>
            <w:tcW w:w="2620" w:type="dxa"/>
            <w:vAlign w:val="bottom"/>
          </w:tcPr>
          <w:p>
            <w:pPr>
              <w:spacing w:after="0"/>
              <w:rPr>
                <w:sz w:val="13"/>
                <w:szCs w:val="13"/>
                <w:color w:val="auto"/>
              </w:rPr>
            </w:pPr>
          </w:p>
        </w:tc>
        <w:tc>
          <w:tcPr>
            <w:tcW w:w="15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Pawn Service Charge</w:t>
            </w:r>
          </w:p>
        </w:tc>
      </w:tr>
      <w:tr>
        <w:trPr>
          <w:trHeight w:val="196"/>
        </w:trPr>
        <w:tc>
          <w:tcPr>
            <w:tcW w:w="1040" w:type="dxa"/>
            <w:vAlign w:val="bottom"/>
            <w:gridSpan w:val="2"/>
            <w:shd w:val="clear" w:color="auto" w:fill="CCEEFF"/>
          </w:tcPr>
          <w:p>
            <w:pPr>
              <w:ind w:left="88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rPr>
              <w:t>1 to $171</w:t>
            </w:r>
          </w:p>
        </w:tc>
        <w:tc>
          <w:tcPr>
            <w:tcW w:w="3060" w:type="dxa"/>
            <w:vAlign w:val="bottom"/>
            <w:gridSpan w:val="2"/>
            <w:shd w:val="clear" w:color="auto" w:fill="CCEEFF"/>
          </w:tcPr>
          <w:p>
            <w:pPr>
              <w:ind w:left="290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7"/>
              <w:spacing w:after="0" w:line="196" w:lineRule="exact"/>
              <w:rPr>
                <w:sz w:val="20"/>
                <w:szCs w:val="20"/>
                <w:color w:val="auto"/>
              </w:rPr>
            </w:pPr>
            <w:r>
              <w:rPr>
                <w:rFonts w:ascii="Arial" w:cs="Arial" w:eastAsia="Arial" w:hAnsi="Arial"/>
                <w:sz w:val="18"/>
                <w:szCs w:val="18"/>
                <w:color w:val="auto"/>
              </w:rPr>
              <w:t>1 to $180</w:t>
            </w:r>
          </w:p>
        </w:tc>
        <w:tc>
          <w:tcPr>
            <w:tcW w:w="4120" w:type="dxa"/>
            <w:vAlign w:val="bottom"/>
            <w:gridSpan w:val="2"/>
            <w:shd w:val="clear" w:color="auto" w:fill="CCEEFF"/>
          </w:tcPr>
          <w:p>
            <w:pPr>
              <w:jc w:val="right"/>
              <w:ind w:right="368"/>
              <w:spacing w:after="0" w:line="196" w:lineRule="exact"/>
              <w:rPr>
                <w:sz w:val="20"/>
                <w:szCs w:val="20"/>
                <w:color w:val="auto"/>
              </w:rPr>
            </w:pPr>
            <w:r>
              <w:rPr>
                <w:rFonts w:ascii="Arial" w:cs="Arial" w:eastAsia="Arial" w:hAnsi="Arial"/>
                <w:sz w:val="18"/>
                <w:szCs w:val="18"/>
                <w:color w:val="auto"/>
              </w:rPr>
              <w:t>240%</w:t>
            </w:r>
          </w:p>
        </w:tc>
      </w:tr>
      <w:tr>
        <w:trPr>
          <w:trHeight w:val="203"/>
        </w:trPr>
        <w:tc>
          <w:tcPr>
            <w:tcW w:w="104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172 to $1,140</w:t>
            </w:r>
          </w:p>
        </w:tc>
        <w:tc>
          <w:tcPr>
            <w:tcW w:w="3060" w:type="dxa"/>
            <w:vAlign w:val="bottom"/>
            <w:gridSpan w:val="2"/>
          </w:tcPr>
          <w:p>
            <w:pPr>
              <w:ind w:left="290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217"/>
              <w:spacing w:after="0" w:line="202" w:lineRule="exact"/>
              <w:rPr>
                <w:sz w:val="20"/>
                <w:szCs w:val="20"/>
                <w:color w:val="auto"/>
              </w:rPr>
            </w:pPr>
            <w:r>
              <w:rPr>
                <w:rFonts w:ascii="Arial" w:cs="Arial" w:eastAsia="Arial" w:hAnsi="Arial"/>
                <w:sz w:val="18"/>
                <w:szCs w:val="18"/>
                <w:color w:val="auto"/>
              </w:rPr>
              <w:t>181 to $1,200</w:t>
            </w:r>
          </w:p>
        </w:tc>
        <w:tc>
          <w:tcPr>
            <w:tcW w:w="412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rPr>
              <w:t>180%</w:t>
            </w:r>
          </w:p>
        </w:tc>
      </w:tr>
      <w:tr>
        <w:trPr>
          <w:trHeight w:val="203"/>
        </w:trPr>
        <w:tc>
          <w:tcPr>
            <w:tcW w:w="10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1,141 to $1,710</w:t>
            </w:r>
          </w:p>
        </w:tc>
        <w:tc>
          <w:tcPr>
            <w:tcW w:w="3060" w:type="dxa"/>
            <w:vAlign w:val="bottom"/>
            <w:gridSpan w:val="2"/>
            <w:shd w:val="clear" w:color="auto" w:fill="CCEEFF"/>
          </w:tcPr>
          <w:p>
            <w:pPr>
              <w:ind w:left="29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1,201 to $1,800</w:t>
            </w:r>
          </w:p>
        </w:tc>
        <w:tc>
          <w:tcPr>
            <w:tcW w:w="412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30%</w:t>
            </w:r>
          </w:p>
        </w:tc>
      </w:tr>
      <w:tr>
        <w:trPr>
          <w:trHeight w:val="217"/>
        </w:trPr>
        <w:tc>
          <w:tcPr>
            <w:tcW w:w="68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$1,711 to $14,250</w:t>
            </w:r>
          </w:p>
        </w:tc>
        <w:tc>
          <w:tcPr>
            <w:tcW w:w="268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$1,801 to $15,000</w:t>
            </w:r>
          </w:p>
        </w:tc>
        <w:tc>
          <w:tcPr>
            <w:tcW w:w="4120" w:type="dxa"/>
            <w:vAlign w:val="bottom"/>
            <w:gridSpan w:val="2"/>
          </w:tcPr>
          <w:p>
            <w:pPr>
              <w:jc w:val="right"/>
              <w:ind w:right="368"/>
              <w:spacing w:after="0"/>
              <w:rPr>
                <w:sz w:val="20"/>
                <w:szCs w:val="20"/>
                <w:color w:val="auto"/>
              </w:rPr>
            </w:pPr>
            <w:r>
              <w:rPr>
                <w:rFonts w:ascii="Arial" w:cs="Arial" w:eastAsia="Arial" w:hAnsi="Arial"/>
                <w:sz w:val="18"/>
                <w:szCs w:val="18"/>
                <w:color w:val="auto"/>
              </w:rPr>
              <w:t>12%</w:t>
            </w:r>
          </w:p>
        </w:tc>
      </w:tr>
    </w:tbl>
    <w:p>
      <w:pPr>
        <w:spacing w:after="0" w:line="9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Under Texas law, there is a ceiling on the maximum allowable pawn loan. For the year ended June 30, 2008, the loan ceiling was $14,250. For the year ending June 30, 2009, the loan ceiling is $15,000.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Loans</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477 EZMONEY and 71 EZPAWN locations, we offer signature loans, consisting of payday loans or fee-based credit services to customers seeking loans from unaffiliated lenders. The table below shows our dollar amount of signature loan activity for fiscal 2006, 2007 and 2008. For purposes of this table, signature loan balances include the principal portion of payday loans (net of valuation allowance) recorded on our balance sheet and the principal portion of active brokered loans outstanding from unaffiliated lenders, which is not included on our balance sheet.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ind w:left="332"/>
              <w:spacing w:after="0"/>
              <w:rPr>
                <w:sz w:val="20"/>
                <w:szCs w:val="20"/>
                <w:color w:val="auto"/>
              </w:rPr>
            </w:pPr>
            <w:r>
              <w:rPr>
                <w:rFonts w:ascii="Arial" w:cs="Arial" w:eastAsia="Arial" w:hAnsi="Arial"/>
                <w:sz w:val="14"/>
                <w:szCs w:val="14"/>
                <w:color w:val="auto"/>
              </w:rPr>
              <w:t>Fiscal Year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51"/>
              <w:spacing w:after="0" w:line="155" w:lineRule="exact"/>
              <w:rPr>
                <w:sz w:val="20"/>
                <w:szCs w:val="20"/>
                <w:color w:val="auto"/>
              </w:rPr>
            </w:pPr>
            <w:r>
              <w:rPr>
                <w:rFonts w:ascii="Arial" w:cs="Arial" w:eastAsia="Arial" w:hAnsi="Arial"/>
                <w:sz w:val="14"/>
                <w:szCs w:val="14"/>
                <w:color w:val="auto"/>
              </w:rPr>
              <w:t>2007</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3"/>
          </w:tcPr>
          <w:p>
            <w:pPr>
              <w:jc w:val="center"/>
              <w:ind w:left="212"/>
              <w:spacing w:after="0" w:line="155" w:lineRule="exact"/>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Combined Signature Loans: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made</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115.5</w:t>
            </w: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164.3</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Loans repaid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(93.7)</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(130.3)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forfeited, net of collections on bad debt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increase in signature loans outstanding at the end of the year</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5</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Loans renewed</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247.3</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368.4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Credit Services Only (Loans made by unaffiliated lenders):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made</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91.1</w:t>
            </w: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115.8</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Loans repaid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(72.4)</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(89.5)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forfeited, net of collections on bad debt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increase in loans outstanding at the end of the year</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Loans renewed</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236.1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334.4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Payday Loans Only (Loans made by us):</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made</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24.4</w:t>
            </w:r>
          </w:p>
        </w:tc>
        <w:tc>
          <w:tcPr>
            <w:tcW w:w="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48.5</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Loans repaid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(40.8)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400"/>
              <w:spacing w:after="0" w:line="202" w:lineRule="exact"/>
              <w:rPr>
                <w:sz w:val="20"/>
                <w:szCs w:val="20"/>
                <w:color w:val="auto"/>
              </w:rPr>
            </w:pPr>
            <w:r>
              <w:rPr>
                <w:rFonts w:ascii="Arial" w:cs="Arial" w:eastAsia="Arial" w:hAnsi="Arial"/>
                <w:sz w:val="18"/>
                <w:szCs w:val="18"/>
                <w:color w:val="auto"/>
              </w:rPr>
              <w:t>Loans forfeited, net of collections on bad debt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increase in payday loans outstanding at the end of the year</w:t>
            </w:r>
          </w:p>
        </w:tc>
        <w:tc>
          <w:tcPr>
            <w:tcW w:w="1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0.9</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Loans renewed</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Signature loans are unsecured, and their profitability is highly dependent upon our ability to manage the default rate and collect defaulted loan principal, interest and insufficient fund fees. In determining whether to lend or provide credit services, we perform a limited review of customer information, such as making a credit reporting agency inquiry, evaluating and verifying income levels and verifying a telephone number where the customers may be contacted.</w:t>
      </w:r>
    </w:p>
    <w:p>
      <w:pPr>
        <w:spacing w:after="0" w:line="9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At the time a signature loan is made, a loan agreement, and credit services agreement when applicable, is given to the borrower. It presents, among other things, the name and address of the lender, the borrower and the credit services company when applicable, the borrower’s identification information, the date of the loan, the amount financed, the interest or service charges due on maturity, the maturity date of the loan, the total amount that must be paid and the annual percentage 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Services</w:t>
      </w:r>
    </w:p>
    <w:p>
      <w:pPr>
        <w:spacing w:after="0" w:line="12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We offer credit services in our EZMONEY stores in Texas. These services consist of advice and assistance to customers in obtaining loans from unaffiliated lenders. We do not make, fund or participate in the loans made by the lenders, but earn a fee for assisting customers in obtaining credit and by enhancing their creditworthiness by issuing a letter of credit. In connection with our credit services, the unaffiliated lenders offer customers two types of loans. In all 287 EZMONEY stores and 47 EZPAWN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stores offering credit services, customers can obtain short-term loans, with principal amounts up to $1,500, averaging $560. Terms of these short-term loans are generally less than 30 days, averaging about 18 days, with due dates corresponding with the customers’ next payday. We typically earn a fee of 20% of the loan amount for our short-term loan credit services. In 90 EZMONEY stores offering credit services, customers can also obtain longer-term installment loans from the unaffiliated lenders. The installment loans typically carry terms of about five months with ten equal installment payments due on customers’ paydays. Installment loan principal amounts range from $1,525 to $ 3,000, averaging about $2,100. With each semi-monthly or bi-weekly installment payment, we earn a fee of 10% of the initial loan amount. At September 30, 2008, short-term loans comprised 98% of the balance of loans brokered through our credit services, and installment loans comprised the remaining 2%.</w:t>
      </w:r>
    </w:p>
    <w:p>
      <w:pPr>
        <w:spacing w:after="0" w:line="100"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If a credit service customer defaults on the loan, we pay the lender the principal and accrued interest due under the loan and an insufficient funds fee. We then attempt to collect the unpaid principal, interest and insufficient funds fee from the borrower. We consider as our bad debt the amount we pay the lenders under letters of credit, less any amounts we collect from borrowers.</w:t>
      </w:r>
    </w:p>
    <w:p>
      <w:pPr>
        <w:spacing w:after="0" w:line="95"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Although amounts paid under letters of credit may be collected later, we charge those amounts to bad debt expense upon default. Subsequent recoveries under the letters of credit are recorded as a reduction of bad debt at the time of collection. We also record as bad debt expense an accrual of expected losses for principal, interest and insufficient fund fees we expect to pay the lenders on default of the lenders’ current loans under the terms of the letters of credit. This estimate is based on recent default and collection experience and the amount of loans the lenders have outstanding.</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Following an unfavorable outcome from an administrative action in Florida, we closed our eleven Florida EZMONEY stores in June 2008. The stores offered credit services and adjoined EZPAWN locations.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Payday Lending Activities</w:t>
      </w:r>
    </w:p>
    <w:p>
      <w:pPr>
        <w:spacing w:after="0" w:line="12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State law governs our payday loans. The average payday loan amount is approximately $ 430 and the term is generally less than 30 days, averaging about 18 days. We typically charge a fee of 15% to 22% of the loan amount for a 7 to 23-day period.</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consider a loan defaulted if the loan has not been repaid or renewed by the maturity date. Although defaulted loans may be collected later, we charge the loan principal to bad debt upon default, leaving only active loans in the reported balance. Subsequent collections of principal are recorded as a reduction of bad debt at the time of collection. Accrued service charges related to defaulted loans are deducted from service charge revenue upon loan default, and increase service charge revenue upon subsequent collection. We provide for a valuation allowance on both the principal and service charges receivable based on recent default and collection experience. Our payday loan balance represents the principal amount of all active (non-defaulted) loans, net of this valuation allowance.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Activities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our pawnshops, we acquire inventory for retail sales through pawn loan forfeitures and, to a lesser extent, through purchases of customers’ merchandise.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 During fiscal 2006, 2007 and 2008, we realized gross margins on sales of 40%, 39% and 40%. Jewelry sales represent approximately half of our total sales with the remaining sales consisting primarily of consumer electronics, tools, sporting goods and musical instruments. We believe our ability to offer quality used merchandise at prices significantly lower than original retail prices attracts value-conscious customers.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most recent fiscal years, sources of inventory additions 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rPr>
              <w:t>Fiscal Year Ended September 30,</w:t>
            </w:r>
          </w:p>
        </w:tc>
        <w:tc>
          <w:tcPr>
            <w:tcW w:w="700" w:type="dxa"/>
            <w:vAlign w:val="bottom"/>
            <w:tcBorders>
              <w:bottom w:val="single" w:sz="8" w:color="auto"/>
            </w:tcBorders>
          </w:tcPr>
          <w:p>
            <w:pPr>
              <w:spacing w:after="0"/>
              <w:rPr>
                <w:sz w:val="14"/>
                <w:szCs w:val="14"/>
                <w:color w:val="auto"/>
              </w:rPr>
            </w:pPr>
          </w:p>
        </w:tc>
      </w:tr>
      <w:tr>
        <w:trPr>
          <w:trHeight w:val="156"/>
        </w:trPr>
        <w:tc>
          <w:tcPr>
            <w:tcW w:w="7660" w:type="dxa"/>
            <w:vAlign w:val="bottom"/>
          </w:tcPr>
          <w:p>
            <w:pPr>
              <w:spacing w:after="0"/>
              <w:rPr>
                <w:sz w:val="13"/>
                <w:szCs w:val="13"/>
                <w:color w:val="auto"/>
              </w:rPr>
            </w:pPr>
          </w:p>
        </w:tc>
        <w:tc>
          <w:tcPr>
            <w:tcW w:w="74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color w:val="auto"/>
              </w:rPr>
              <w:t>2006</w:t>
            </w:r>
          </w:p>
        </w:tc>
        <w:tc>
          <w:tcPr>
            <w:tcW w:w="12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color w:val="auto"/>
              </w:rPr>
              <w:t>2008</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Forfeited pawn loan collateral</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580" w:type="dxa"/>
            <w:vAlign w:val="bottom"/>
            <w:gridSpan w:val="3"/>
            <w:shd w:val="clear" w:color="auto" w:fill="CCEEFF"/>
          </w:tcPr>
          <w:p>
            <w:pPr>
              <w:jc w:val="right"/>
              <w:ind w:right="108"/>
              <w:spacing w:after="0" w:line="196" w:lineRule="exact"/>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78%</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Purchases from customers</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58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rPr>
              <w:t>18%</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21%</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in business acquisitions</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58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w:t>
            </w:r>
          </w:p>
        </w:tc>
      </w:tr>
    </w:tbl>
    <w:p>
      <w:pPr>
        <w:spacing w:after="0" w:line="10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fiscal 2006, 2007 and 2008, retail activities and jewelry scrapping (sales of precious metals and gemstones to refiners and gemstone wholesalers) accounted for approximately 56%, 52% and 51% of our total revenues, or 34%, 30% and 30% of our net revenues, after deducting the cost of goods sold. As a significant portion of our inventory and sales involve gold jewelry, our results can be heavily influenced by the market price of gold. This is particularly true for gold scrapping, which comprised 24% of total sales in fiscal 2006, 27% in fiscal 2007 and 33% in fiscal 2008.</w:t>
      </w:r>
    </w:p>
    <w:p>
      <w:pPr>
        <w:spacing w:after="0" w:line="9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Analysis of the sales and inventory data provided by our management information systems, along with market intelligence and financial modeling, highlight opportunities for refinement of our marketing and merchandising programs and lending and pricing decisions. The Vice President of EZPAWN U.S. Operations and the Director General for Mexico provide the strategic direction. Our Director of Operations, in conjunction with our Regional Directors and Area Managers oversee the tactical execution of these marketing and merchandising programs and are responsible for balancing inventory levels within their markets.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United States, customers may purchase a product protection plan that allows them to return or exchange certain merchandise sold through our retail operations within six months of purchase, but have experienced a low rate of returns and exchanges as a percentage of sales. Customers may purchase an item on layaway, whereby a customer typically pays a minimum layaway deposit of 20% of an item’s sale price. We hold the item for a 60 to 90-day period, during which the customer is required to pay for the balance of the item. The initial deposit and subsequent payments are recorded as customer layaway deposits. Layaways are recorded as sales when paid in full. As of September 30, 2008, we held $2.3 million in customer layaway deposits.</w:t>
      </w:r>
    </w:p>
    <w:p>
      <w:pPr>
        <w:spacing w:after="0" w:line="9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overall inventory is stated at the lower of cost or market. We provide an inventory valuation allowance for shrinkage and cost in excess of market value. We estimate this valuation allowance through study and analysis of sales trends, inventory turnover, inventory aging, margins achieved on recent sales and shrinkage. At September 30, 2008, total inventory on hand was $43.2 million after deducting the inventory valuation allowance of $4.0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due to relatively low jewelry merchandise sales in that quarter.</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income tax refund season.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typical company pawn store employs approximately six full-time equivalent employees (“FTEs”) consisting of a store manager, an operations manager and four pawnbrokers. Each store manager is responsible for ensuring that the store is run in accordance with our policies, procedures and operating guidelines, and reports to an area manager. Area managers are responsible for the performance of all stores within their area and report to one of our regional directors (district managers in Mexico), who in turn report to the Vice President of EZPAWN U.S. Operations or the Empeño Fácil Director General in Mexico. Area managers, store managers and operations managers receive incentive compensation based on their area or store’s performance in comparison to an operating budget. Beginning in fiscal 2008, our U.S. pawnbrokers are also eligible for incentive compensation based on the store’s performance and their individual productivity performance. The incentive compensation for EZPAWN staff typically ranges between 5% and 30% of their total compensation. Regional directors’ (district managers in Mexico) compensation is also dependent upon the performance of their region (district).</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Signature loan stores typically employ two to three FTEs per location, consisting of a store manager and one to two customer service representatives. Each store manager is responsible for ensuring that the store is run in accordance with our policies, procedures and operating guidelines, and reports to an area manager, who is responsible for the stores within a specific operating area. Area managers report to one of the EZMONEY regional directors, who report to the President — EZMONEY Division. Managers and regional directors receive incentive compensation based on their performance in comparison to an operating budget.</w:t>
      </w:r>
    </w:p>
    <w:p>
      <w:pPr>
        <w:spacing w:after="0" w:line="9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the majority of our EZMONEY stores, store employees attempt to collect defaulted signature loans in the first 30 days after default. After the initial 30 days, our centralized collection center assumes collection responsibility. The collection center also collects defaulted signature loans for all other locations from the date of default. After attempting to collect for approximately 60 days, we then occasionally sell the remaining defaulted signature loans to an outside collection agency.</w:t>
      </w:r>
    </w:p>
    <w:p>
      <w:pPr>
        <w:spacing w:after="0" w:line="9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an internally developed store level point of sale (“POS”) system that automates the recording of store-level pawn transactions. We use a separate POS specifically designed to handle signature loans. Financial data from all stores is processed at the corporate office each day and the preceding day’s data are available for management review via our internal network. Our communications network provides information access between the stores and the corporate office.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internal audit staff, consisting of a Director of Internal Audit, four Audit Managers and 25 Auditors, monitors the perpetual inventory system, lending practices, regulatory compliance and compliance with our policies and procedures. Each location is typically audited four times annually.</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September 30, 2008, we employed approximately 3,300 people. We believe that our success is dependent upon our employees’ ability to provide prompt and courteous customer service and to execute our operating procedures and standards. We seek to hire people who will become long-term, career employees. To achieve our long-range personnel goals, we offer a structured career development program for all of our field associates. This program encompasses computer-based training, formal structured classroom training and supervised on-the-job training. All store associates, including managers, must meet certain competency criteria prior to hire or promotion and participate in on-going training classes and intensive formal instructional programs. We anticipate store manager candidates will be promoted from the ranks of existing store employees, from our store manager in training program and hired from outside the company. Our career development plan develops and advances our employees and provides training for the efficient integration of experienced managers and associates from outside the company.</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At October 31, 2008, we operated our U.S. pawnshops under the names “EZPAWN” and the Mexico pawn stores under the name “Empeño Fácil.” Our payday loan stores operated under the names “EZMONEY Payday Loans,” “EZ Loan Services,” “EZ Payday Advance” and “EZPAWN Payday Loans,” and our credit service stores operated under the name “EZMONEY Loan Services.” We have registered with the United States Patent and Trademark Office the names EZPAWN, EZMONEY and EZCORP,</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among others. We hold a trademark in Mexico for the name “Mister Money” and have applied for a trademark for “Empeño Fácil.” Additionally, we operate under the trade name EZMONEY Payroll Advance.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Expansion</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plan to expand the number of locations we operate through the development of new locations and through acquisitions. We believe that in the near term the largest growth opportunities are with domestic EZMONEY stores and pawn stores in Mexico, as well as pawn store acquisitions in the United States. On November 13, 2008, we acquired the operating assets of an eleven-store pawn chain in Las Vegas, North Las Vegas and Henderson, Nevada. We plan to open approximately 30 to 35 new EZMONEY stores in the United States and an additional 30 to 35 pawn stores in Mexico in fiscal 2009.</w:t>
      </w:r>
    </w:p>
    <w:p>
      <w:pPr>
        <w:spacing w:after="0" w:line="9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66 new EZMONEY stores opened in fiscal 2008 required an average property and equipment investment of approximately $76,000. In addition to the acquired stores, we opened 14 Mexico pawnshops in fiscal 2008 at an average property &amp; equipment investment of approximately $125,000. Although we acquired pawnshops in fiscal 2006 and 2007, we have not opened a new pawnshop location in the United States since fiscal 2000.</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On September 16, 2008, we announced a merger agreement with Value Financial Services, Inc. that we expect to consummate December 31, 2008. In the merger, we will acquire Value Financial Services’ 67 pawn stores, mostly in Florida.</w:t>
      </w:r>
    </w:p>
    <w:p>
      <w:pPr>
        <w:spacing w:after="0" w:line="8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Our ability to add new stores is dependent on several variables, such as the availability of acceptable sites or acquisition candidates, the regulatory environment, local zoning ordinances and the availability of qualified personnel.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encounter significant competition in connection with our lending operations. These competitive conditions may adversely affect our revenues, profitability and ability to expand. In our lending business, we compete with other pawnshops, payday lenders, credit service organizations and financial institutions, such as consumer finance companies. Other lenders may lend money on an unsecured basis, at interest rates that may be lower than our service charges and on other terms that may be more favorable than ours. We believe that the primary elements of competition are the quality of customer service and relationship management, store location and the ability to loan competitive amounts at competitive rates. In addition, we believe the ability to compete effectively will be based increasingly on strong general management, regional market focus, automated management information systems and access to capital.</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competitors for merchandise sales include numerous retail and wholesale stores, including jewelry stores, discount retail stores, consumer electronics stores, other pawnshops, other resale stores, electronic commerce retailers and auction sites. Competitive factors in our retail operations include the ability to provide the customer with a variety of merchandise at an exceptional value.</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pawnshop industry in the United States is large and highly fragmented. The industry consists of approximately 12,000 pawnshops owned primarily by independent operators who own one to three locations, and we consider the industry mature. With 294 domestic pawn locations, we are the second largest operator of pawnshops in the United States. The three largest pawnshop operators account for less than ten percent of the total estimated pawnshops in the United States.</w:t>
      </w:r>
    </w:p>
    <w:p>
      <w:pPr>
        <w:spacing w:after="0" w:line="94"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pawnshop industry in Mexico is also fragmented, but less so than in the United States. The industry consists of approximately 4,000 to 5,000 pawnshops owned by independent operators and chains, including some owned by not-for-profit organizations. The pawn industry remains in more of an expansion stage in Mexico than in the United States.</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signature loan industry in the United States is larger and more concentrated than the pawn industry. The industry consists of approximately 24,000 locations that are either mono-line stores that offer only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signature loans, or other businesses offering signature loans in addition to other products and services, such as check cashing stores and pawnshops. The ten largest signature loan companies, including us, comprise approximately 40% of the total number of locations. The signature loan industry is moving toward a mature stage.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September 30, 2008, we held just under 30% of the outstanding shares of Albemarle &amp; Bond Holdings plc (“A&amp;B”). At June 30, 2008, the latest date at which A&amp;B has publicly reported results, A&amp;B operated 111 locations in the United Kingdom that offer pawn loans, payday loans, installment loans, check cashing and retail jewelry. Prior to its July 2007 acquisition of 26 locations, A&amp;B operated 86 locations. For A&amp;B’s fiscal year ended June 30, 2008, its turnover (gross revenues) increased 42% to £46.9 million ($93.9 million), and the company’s profit after tax (net income) increased 37% over the prior year to approximately £7.2 million ($14.5 million). A&amp;B is based in Bristol, England and publicly trades on the Alternative Investment Market of the London Stock Exchange. As its largest single shareholder, we and our affiliates hold three seats on A&amp;B’s board of directors.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1998, we acquired 13,276,666 shares of A&amp;B’s common stock for approximately $12.8 million. On July 12, 2007, we acquired 3,022,209 additional shares of A&amp;B’s common stock for approximately $ 13.4 million as part of a private placement of stock by A&amp;B to fund an acquisition. Including these additional shares, we now own approximately 29.95% of A&amp;B’s total outstanding shares. Because we include A&amp;B’s earnings in our financial statements on a three-month lag, our incremental share of A&amp;B’s results of operations for the quarter ended September 30, 2007 were first reflected in our results in the quarter ended December 31, 2007.</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We account for our investment in A&amp;B under the equity method. In fiscal 2008, our interest in A&amp;B’s income was $4,342,000 and we received A&amp;B dividends of $ 1,760,000. Based on the closing price and exchange rates on October 31, 2008, the market value of our investment in A&amp;B was approximately $49.9 million compared to its book value of $38.4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Operations</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pawn operations are subject to extensive regulation, examination and licensing under various federal, state, and local statutes, ordinances, and regulations. The laws of Texas, Colorado, Oklahoma, Florida, Indiana, Alabama and Mexico govern the majority of our pawn operations. A summary of these governing pawn statutes and regulations are discussed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Texas Regulations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Texas, pawnshops are regulated by the Office of the Consumer Credit Commissioner (“OCCC”) in accordance with Chapter 371 of the Texas Finance Code, commonly known as the Texas Pawnshop Act and Rules of Operation for Pawnshops. Pawnshops and pawnshop employees are licensed by the OCCC.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To be eligible for a license to operate a pawnshop in Texas, an applicant must:</w:t>
      </w:r>
    </w:p>
    <w:p>
      <w:pPr>
        <w:spacing w:after="0" w:line="104" w:lineRule="exact"/>
        <w:rPr>
          <w:sz w:val="20"/>
          <w:szCs w:val="20"/>
          <w:color w:val="auto"/>
        </w:rPr>
      </w:pPr>
    </w:p>
    <w:p>
      <w:pPr>
        <w:ind w:left="660" w:right="60" w:hanging="436"/>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be of good moral character, which in the case of a business entity applies to each officer, director, and holder of five percent or more of the entity’s outstanding shares;</w:t>
      </w:r>
    </w:p>
    <w:p>
      <w:pPr>
        <w:spacing w:after="0" w:line="102"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have net unencumbered assets of at least $150,000 readily available for use in conducting the business of each pawnshop;</w:t>
      </w:r>
    </w:p>
    <w:p>
      <w:pPr>
        <w:spacing w:after="0" w:line="117" w:lineRule="exact"/>
        <w:rPr>
          <w:rFonts w:ascii="Arial" w:cs="Arial" w:eastAsia="Arial" w:hAnsi="Arial"/>
          <w:sz w:val="18"/>
          <w:szCs w:val="18"/>
          <w:color w:val="auto"/>
        </w:rPr>
      </w:pPr>
    </w:p>
    <w:p>
      <w:pPr>
        <w:ind w:left="660" w:right="200" w:hanging="436"/>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demonstrate that the applicant has the financial responsibility, experience, character, and general fitness to command the confidence of the public in its operation; and</w:t>
      </w:r>
    </w:p>
    <w:p>
      <w:pPr>
        <w:spacing w:after="0" w:line="102" w:lineRule="exact"/>
        <w:rPr>
          <w:rFonts w:ascii="Arial" w:cs="Arial" w:eastAsia="Arial" w:hAnsi="Arial"/>
          <w:sz w:val="18"/>
          <w:szCs w:val="18"/>
          <w:color w:val="auto"/>
        </w:rPr>
      </w:pPr>
    </w:p>
    <w:p>
      <w:pPr>
        <w:ind w:left="660" w:hanging="43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demonstrate that the pawnshop will be operated lawfully and fairly.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Additionally, each pawnshop employee must qualify for and maintain a separate pawnshop employee license.</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a new license application in any Texas county, the OCCC provides notice of the application and the opportunity for a public hearing to the other licensed pawnshops in the county in which the applicant proposes to operate. In counties with 250,000 or more people, applications for new licenses are approved only at locations that are at least two miles from another licensed pawnshop and applications to relocate a license are approved only for locations that are at least one mile from another licensed pawnshop. Any existing store may relocate within one mile of its present location, regardless of the existence of other pawnshops. Our ability to open new stores or relocate existing stores may be adversely affected by these licensing provisions.</w:t>
      </w:r>
    </w:p>
    <w:p>
      <w:pPr>
        <w:spacing w:after="0" w:line="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Texas Pawnshop Act also contains provisions related to the operation of pawnshops and authorizes the Rules of Operation for Pawnshops. The Rules of Operation for Pawnshops regulate the day-to-day operation of our pawnshops including the maximum pawn service charge and principal loan amount.</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Pawn service charges vary based on loan amounts. Historically, the maximum allowable pawn service charge rates have not changed; however, loan amounts are adjusted annually based on fluctuations in the Consumer Price Index. A table of the maximum allowable pawn service charges under the Texas Pawnshop Act for the various loan amounts is presented in “Lending Activities.” Under Texas law, there is a ceiling on the maximum allowable pawn loan. For July 1, 2007 through June 30, 2008, the loan ceiling was $14,250. For July 1, 2008 through June 30, 2009, the loan ceiling is $15,000. Texas requires pawn transactions to be reported to local law enforcement.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Under the Texas Pawnshop Act and the Rules of Operation for Pawnshops, a pawnbroker may not do any of the following:</w:t>
      </w:r>
    </w:p>
    <w:p>
      <w:pPr>
        <w:spacing w:after="0" w:line="104"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 a pledge from a person under the age of 18 years;</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any agreement requiring the personal liability of the borrower;</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 any waiver of any right or protection accorded to a pawn customer;</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 to exercise reasonable care to protect pledged goods from loss or damage;</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 to return pledged goods to a pawn customer upon payment of the full amount due;</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any charge for insurance in connection with a pawn transaction;</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 into any pawn transaction that has a maturity date of more than one month;</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display pistols, swords, canes, blackjacks or similar weapons for sale in storefront windows or sidewalk display cases;</w:t>
      </w:r>
    </w:p>
    <w:p>
      <w:pPr>
        <w:spacing w:after="0" w:line="117" w:lineRule="exact"/>
        <w:rPr>
          <w:rFonts w:ascii="Arial" w:cs="Arial" w:eastAsia="Arial" w:hAnsi="Arial"/>
          <w:sz w:val="18"/>
          <w:szCs w:val="18"/>
          <w:color w:val="auto"/>
        </w:rPr>
      </w:pPr>
    </w:p>
    <w:p>
      <w:pPr>
        <w:ind w:left="660" w:right="4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used or second hand personal property unless a record is established containing the name, address, and identification of the seller, a complete description of the property, including serial number and a signed statement that the seller has the right to sell the property; or</w:t>
      </w:r>
    </w:p>
    <w:p>
      <w:pPr>
        <w:spacing w:after="0" w:line="108"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 into pawn or purchase stolen goods.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OCCC may, after notice and hearing, suspend or revoke any license for a Texas pawnshop or employee upon finding that:</w:t>
      </w:r>
    </w:p>
    <w:p>
      <w:pPr>
        <w:spacing w:after="0" w:line="104"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fees or charges have not been paid;</w:t>
      </w:r>
    </w:p>
    <w:p>
      <w:pPr>
        <w:spacing w:after="0" w:line="117" w:lineRule="exact"/>
        <w:rPr>
          <w:rFonts w:ascii="Arial" w:cs="Arial" w:eastAsia="Arial" w:hAnsi="Arial"/>
          <w:sz w:val="18"/>
          <w:szCs w:val="18"/>
          <w:color w:val="auto"/>
        </w:rPr>
      </w:pPr>
    </w:p>
    <w:p>
      <w:pPr>
        <w:ind w:left="660" w:right="300" w:hanging="436"/>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licensee has knowingly or unknowingly without due care violated any provisions of the Texas Pawnshop Act or any regulation or order; or</w:t>
      </w:r>
    </w:p>
    <w:p>
      <w:pPr>
        <w:spacing w:after="0" w:line="102" w:lineRule="exact"/>
        <w:rPr>
          <w:rFonts w:ascii="Arial" w:cs="Arial" w:eastAsia="Arial" w:hAnsi="Arial"/>
          <w:sz w:val="18"/>
          <w:szCs w:val="18"/>
          <w:color w:val="auto"/>
        </w:rPr>
      </w:pPr>
    </w:p>
    <w:p>
      <w:pPr>
        <w:ind w:left="660" w:right="200" w:hanging="436"/>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fact or condition exists that, if it had existed at the time the original license application was filed would have justified the OCCC in refusing the license.</w:t>
      </w:r>
    </w:p>
    <w:p>
      <w:pPr>
        <w:spacing w:after="0" w:line="89" w:lineRule="exact"/>
        <w:rPr>
          <w:sz w:val="20"/>
          <w:szCs w:val="20"/>
          <w:color w:val="auto"/>
        </w:rPr>
      </w:pPr>
    </w:p>
    <w:p>
      <w:pPr>
        <w:ind w:right="1840"/>
        <w:spacing w:after="0" w:line="360" w:lineRule="auto"/>
        <w:rPr>
          <w:sz w:val="20"/>
          <w:szCs w:val="20"/>
          <w:color w:val="auto"/>
        </w:rPr>
      </w:pPr>
      <w:r>
        <w:rPr>
          <w:rFonts w:ascii="Arial" w:cs="Arial" w:eastAsia="Arial" w:hAnsi="Arial"/>
          <w:sz w:val="18"/>
          <w:szCs w:val="18"/>
          <w:color w:val="auto"/>
        </w:rPr>
        <w:t xml:space="preserve">The OCCC may also take other administrative action against a licensee including the assessment of fines and penalties. </w:t>
      </w:r>
      <w:r>
        <w:rPr>
          <w:rFonts w:ascii="Arial" w:cs="Arial" w:eastAsia="Arial" w:hAnsi="Arial"/>
          <w:sz w:val="18"/>
          <w:szCs w:val="18"/>
          <w:b w:val="1"/>
          <w:bCs w:val="1"/>
          <w:i w:val="1"/>
          <w:iCs w:val="1"/>
          <w:color w:val="auto"/>
        </w:rPr>
        <w:t>Colorado Regulations</w:t>
      </w:r>
    </w:p>
    <w:p>
      <w:pPr>
        <w:ind w:right="160"/>
        <w:spacing w:after="0" w:line="239" w:lineRule="auto"/>
        <w:rPr>
          <w:sz w:val="20"/>
          <w:szCs w:val="20"/>
          <w:color w:val="auto"/>
        </w:rPr>
      </w:pPr>
      <w:r>
        <w:rPr>
          <w:rFonts w:ascii="Arial" w:cs="Arial" w:eastAsia="Arial" w:hAnsi="Arial"/>
          <w:sz w:val="18"/>
          <w:szCs w:val="18"/>
          <w:color w:val="auto"/>
        </w:rPr>
        <w:t>The Colorado Pawnbroker Act is limited in scope and primarily establishes the terms and prohibitions of a pawn loan. In Colorado, local municipalities subject pawnshops to extensive and varied regulation, including licensing and bonding. Pawn transactions must be reported to local authorities and pawnbrokers must maintain certain bookkeeping records. Colorado law allows a maximum pawn service charge of 240% annually for all pawn loans regardless of the amount financed.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Regulations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Oklahoma Pawnshop Act follows a statutory scheme similar to the Texas Pawnshop Act, requires pawnshops to be licensed and bonded, and regulates their day-to-day operations. The Oklahoma Administrator of Consumer Credit administers the Oklahoma Pawnshop Act, has broad rule-making authority, and is responsible for investigating the general fitness of pawnshop applicants. Unlike Texas, Oklahoma pawnshop employees are not individually licensed.</w:t>
      </w:r>
    </w:p>
    <w:p>
      <w:pPr>
        <w:spacing w:after="0" w:line="9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general, the Oklahoma Pawnshop Act prescribes loan amounts and maximum rates of service charges that pawnbrokers may charge. The regulations provide for a graduated rate structure, similar to the structure used for federal income tax purposes. Under this rate structure, a $500 loan, for example, earns interest as follows:</w:t>
      </w:r>
    </w:p>
    <w:p>
      <w:pPr>
        <w:spacing w:after="0" w:line="95"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$150 at 240% annually,</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next $100 at 180% annually,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remaining $250 at 120% annually.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maximum allowable pawn service charges for the various loan amounts in Oklahoma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jc w:val="center"/>
              <w:ind w:right="378"/>
              <w:spacing w:after="0"/>
              <w:rPr>
                <w:sz w:val="20"/>
                <w:szCs w:val="20"/>
                <w:color w:val="auto"/>
              </w:rPr>
            </w:pPr>
            <w:r>
              <w:rPr>
                <w:rFonts w:ascii="Arial" w:cs="Arial" w:eastAsia="Arial" w:hAnsi="Arial"/>
                <w:sz w:val="14"/>
                <w:szCs w:val="14"/>
                <w:color w:val="auto"/>
              </w:rPr>
              <w:t>Maximum Allowable</w:t>
            </w:r>
          </w:p>
        </w:tc>
        <w:tc>
          <w:tcPr>
            <w:tcW w:w="7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jc w:val="center"/>
              <w:ind w:right="358"/>
              <w:spacing w:after="0"/>
              <w:rPr>
                <w:sz w:val="20"/>
                <w:szCs w:val="20"/>
                <w:color w:val="auto"/>
              </w:rPr>
            </w:pPr>
            <w:r>
              <w:rPr>
                <w:rFonts w:ascii="Arial" w:cs="Arial" w:eastAsia="Arial" w:hAnsi="Arial"/>
                <w:sz w:val="14"/>
                <w:szCs w:val="14"/>
                <w:color w:val="auto"/>
              </w:rPr>
              <w:t>Amount Financed</w:t>
            </w:r>
          </w:p>
        </w:tc>
        <w:tc>
          <w:tcPr>
            <w:tcW w:w="7240" w:type="dxa"/>
            <w:vAlign w:val="bottom"/>
          </w:tcPr>
          <w:p>
            <w:pPr>
              <w:spacing w:after="0"/>
              <w:rPr>
                <w:sz w:val="14"/>
                <w:szCs w:val="14"/>
                <w:color w:val="auto"/>
              </w:rPr>
            </w:pP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Annual Percentage</w:t>
            </w:r>
          </w:p>
        </w:tc>
      </w:tr>
      <w:tr>
        <w:trPr>
          <w:trHeight w:val="157"/>
        </w:trPr>
        <w:tc>
          <w:tcPr>
            <w:tcW w:w="3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358"/>
              <w:spacing w:after="0" w:line="157" w:lineRule="exact"/>
              <w:rPr>
                <w:sz w:val="20"/>
                <w:szCs w:val="20"/>
                <w:color w:val="auto"/>
              </w:rPr>
            </w:pPr>
            <w:r>
              <w:rPr>
                <w:rFonts w:ascii="Arial" w:cs="Arial" w:eastAsia="Arial" w:hAnsi="Arial"/>
                <w:sz w:val="14"/>
                <w:szCs w:val="14"/>
                <w:color w:val="auto"/>
              </w:rPr>
              <w:t>Per Pawn Loan</w:t>
            </w:r>
          </w:p>
        </w:tc>
        <w:tc>
          <w:tcPr>
            <w:tcW w:w="7240" w:type="dxa"/>
            <w:vAlign w:val="bottom"/>
          </w:tcPr>
          <w:p>
            <w:pPr>
              <w:spacing w:after="0"/>
              <w:rPr>
                <w:sz w:val="13"/>
                <w:szCs w:val="13"/>
                <w:color w:val="auto"/>
              </w:rPr>
            </w:pPr>
          </w:p>
        </w:tc>
        <w:tc>
          <w:tcPr>
            <w:tcW w:w="1580" w:type="dxa"/>
            <w:vAlign w:val="bottom"/>
            <w:tcBorders>
              <w:bottom w:val="single" w:sz="8" w:color="auto"/>
            </w:tcBorders>
          </w:tcPr>
          <w:p>
            <w:pPr>
              <w:jc w:val="right"/>
              <w:ind w:right="568"/>
              <w:spacing w:after="0" w:line="157" w:lineRule="exact"/>
              <w:rPr>
                <w:sz w:val="20"/>
                <w:szCs w:val="20"/>
                <w:color w:val="auto"/>
              </w:rPr>
            </w:pPr>
            <w:r>
              <w:rPr>
                <w:rFonts w:ascii="Arial" w:cs="Arial" w:eastAsia="Arial" w:hAnsi="Arial"/>
                <w:sz w:val="14"/>
                <w:szCs w:val="14"/>
                <w:color w:val="auto"/>
              </w:rPr>
              <w:t>Rate</w:t>
            </w:r>
          </w:p>
        </w:tc>
      </w:tr>
      <w:tr>
        <w:trPr>
          <w:trHeight w:val="196"/>
        </w:trPr>
        <w:tc>
          <w:tcPr>
            <w:tcW w:w="820" w:type="dxa"/>
            <w:vAlign w:val="bottom"/>
            <w:gridSpan w:val="2"/>
            <w:shd w:val="clear" w:color="auto" w:fill="CCEEFF"/>
          </w:tcPr>
          <w:p>
            <w:pPr>
              <w:ind w:left="700"/>
              <w:spacing w:after="0" w:line="196"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38"/>
              <w:spacing w:after="0" w:line="196" w:lineRule="exact"/>
              <w:rPr>
                <w:sz w:val="20"/>
                <w:szCs w:val="20"/>
                <w:color w:val="auto"/>
              </w:rPr>
            </w:pPr>
            <w:r>
              <w:rPr>
                <w:rFonts w:ascii="Arial" w:cs="Arial" w:eastAsia="Arial" w:hAnsi="Arial"/>
                <w:sz w:val="18"/>
                <w:szCs w:val="18"/>
                <w:color w:val="auto"/>
              </w:rPr>
              <w:t>1 to $150</w:t>
            </w:r>
          </w:p>
        </w:tc>
        <w:tc>
          <w:tcPr>
            <w:tcW w:w="8820" w:type="dxa"/>
            <w:vAlign w:val="bottom"/>
            <w:gridSpan w:val="2"/>
            <w:shd w:val="clear" w:color="auto" w:fill="CCEEFF"/>
          </w:tcPr>
          <w:p>
            <w:pPr>
              <w:jc w:val="right"/>
              <w:ind w:right="408"/>
              <w:spacing w:after="0" w:line="196" w:lineRule="exact"/>
              <w:rPr>
                <w:sz w:val="20"/>
                <w:szCs w:val="20"/>
                <w:color w:val="auto"/>
              </w:rPr>
            </w:pPr>
            <w:r>
              <w:rPr>
                <w:rFonts w:ascii="Arial" w:cs="Arial" w:eastAsia="Arial" w:hAnsi="Arial"/>
                <w:sz w:val="18"/>
                <w:szCs w:val="18"/>
                <w:color w:val="auto"/>
              </w:rPr>
              <w:t>240%</w:t>
            </w:r>
          </w:p>
        </w:tc>
      </w:tr>
      <w:tr>
        <w:trPr>
          <w:trHeight w:val="203"/>
        </w:trPr>
        <w:tc>
          <w:tcPr>
            <w:tcW w:w="82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151 to $250</w:t>
            </w:r>
          </w:p>
        </w:tc>
        <w:tc>
          <w:tcPr>
            <w:tcW w:w="882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180%</w:t>
            </w:r>
          </w:p>
        </w:tc>
      </w:tr>
      <w:tr>
        <w:trPr>
          <w:trHeight w:val="203"/>
        </w:trPr>
        <w:tc>
          <w:tcPr>
            <w:tcW w:w="8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38"/>
              <w:spacing w:after="0" w:line="202" w:lineRule="exact"/>
              <w:rPr>
                <w:sz w:val="20"/>
                <w:szCs w:val="20"/>
                <w:color w:val="auto"/>
              </w:rPr>
            </w:pPr>
            <w:r>
              <w:rPr>
                <w:rFonts w:ascii="Arial" w:cs="Arial" w:eastAsia="Arial" w:hAnsi="Arial"/>
                <w:sz w:val="18"/>
                <w:szCs w:val="18"/>
                <w:color w:val="auto"/>
              </w:rPr>
              <w:t>251 to $500</w:t>
            </w:r>
          </w:p>
        </w:tc>
        <w:tc>
          <w:tcPr>
            <w:tcW w:w="88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120%</w:t>
            </w:r>
          </w:p>
        </w:tc>
      </w:tr>
      <w:tr>
        <w:trPr>
          <w:trHeight w:val="203"/>
        </w:trPr>
        <w:tc>
          <w:tcPr>
            <w:tcW w:w="820" w:type="dxa"/>
            <w:vAlign w:val="bottom"/>
            <w:gridSpan w:val="2"/>
          </w:tcPr>
          <w:p>
            <w:pPr>
              <w:ind w:left="70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501 to $1,000</w:t>
            </w:r>
          </w:p>
        </w:tc>
        <w:tc>
          <w:tcPr>
            <w:tcW w:w="882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60%</w:t>
            </w:r>
          </w:p>
        </w:tc>
      </w:tr>
      <w:tr>
        <w:trPr>
          <w:trHeight w:val="203"/>
        </w:trPr>
        <w:tc>
          <w:tcPr>
            <w:tcW w:w="38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$ 1,001 to $25,000</w:t>
            </w:r>
          </w:p>
        </w:tc>
        <w:tc>
          <w:tcPr>
            <w:tcW w:w="88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color w:val="auto"/>
              </w:rPr>
              <w:t>36%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amount of an Oklahoma pawn loan may not exceed $25,000 per transaction.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Florida Regulations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Florida pawnshops are governed by the Florida Pawnbroking Act and accompanying regulations. The Division of Consumer Services of the Department of Agriculture and Consumer Services licenses and regulates pawnshops.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Pawn loans in Florida have a 30-day minimum term. The pawnbroker is entitled to charge two percent of the amount financed for each 30-day period as interest, and an additional amount as pawn service charges, provided the total amount of such charges, inclusive of interest, does not exceed 25% of the amount financed for each 30-day period. The pawnbroker may charge a minimum pawn service charge of $5.00 for each 30-day period. Pawn loans may be extended by agreement, with the charge being one-thirtieth of the original total pawn service charge for each day by which the loan is extended. For loans redeemed greater than 60 days after the date made, pawn service charges continue to accrue at the daily rate of one-thirtieth of the original total pawn service charge.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Indiana Regulations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Indiana, the Pawnbroking Law governs pawnshops. The Department of Financial Institutions regulates our Indiana operations. The Department of Financial Institutions requires the licensing of all pawnshops and investigates the general fitness of pawn license applicants to determine whether the convenience and needs of the public will be served by granting a pawn license. The Department of Financial Institutions has broad investigatory and enforcement authority. It may grant, revoke, and suspend licenses. Pawnshops are required to keep books, accounts, and records to enable The Department of Financial Institutions to determine if the pawnshop is complying with the statute. Each pawnshop is required to give authorized agents of The Department of Financial Institutions free access to its books and accounts for these purposes.</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Indiana Pawnbroking Law prescribes loan amounts and maximum interest rates that pawnbrokers in Indiana may charge. The regulations provide for a graduated rate structure similar to the structure used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for federal income tax purposes. Under this rate structure, for July 1, 2008 through June 30, 2010, a $3,600 loan, for example, may earn interest as follows:</w:t>
      </w:r>
    </w:p>
    <w:p>
      <w:pPr>
        <w:spacing w:after="0" w:line="89"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first $1,050 at 36% annually,</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next $2,450 at 21% annually, and</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remaining $100 at 15% annually.</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addition to interest, we may also charge a service charge of 240% annually. The maximum combined allowable interest and service charges for the various loan amounts under the Indiana statute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jc w:val="right"/>
              <w:ind w:right="361"/>
              <w:spacing w:after="0"/>
              <w:rPr>
                <w:sz w:val="20"/>
                <w:szCs w:val="20"/>
                <w:color w:val="auto"/>
              </w:rPr>
            </w:pPr>
            <w:r>
              <w:rPr>
                <w:rFonts w:ascii="Arial" w:cs="Arial" w:eastAsia="Arial" w:hAnsi="Arial"/>
                <w:sz w:val="14"/>
                <w:szCs w:val="14"/>
                <w:color w:val="auto"/>
              </w:rPr>
              <w:t>Maximum Allowable</w:t>
            </w:r>
          </w:p>
        </w:tc>
        <w:tc>
          <w:tcPr>
            <w:tcW w:w="73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tcPr>
          <w:p>
            <w:pPr>
              <w:jc w:val="right"/>
              <w:ind w:right="421"/>
              <w:spacing w:after="0"/>
              <w:rPr>
                <w:sz w:val="20"/>
                <w:szCs w:val="20"/>
                <w:color w:val="auto"/>
              </w:rPr>
            </w:pPr>
            <w:r>
              <w:rPr>
                <w:rFonts w:ascii="Arial" w:cs="Arial" w:eastAsia="Arial" w:hAnsi="Arial"/>
                <w:sz w:val="14"/>
                <w:szCs w:val="14"/>
                <w:color w:val="auto"/>
              </w:rPr>
              <w:t>Amount Financed</w:t>
            </w:r>
          </w:p>
        </w:tc>
        <w:tc>
          <w:tcPr>
            <w:tcW w:w="7300" w:type="dxa"/>
            <w:vAlign w:val="bottom"/>
          </w:tcPr>
          <w:p>
            <w:pPr>
              <w:spacing w:after="0"/>
              <w:rPr>
                <w:sz w:val="14"/>
                <w:szCs w:val="14"/>
                <w:color w:val="auto"/>
              </w:rPr>
            </w:pPr>
          </w:p>
        </w:tc>
        <w:tc>
          <w:tcPr>
            <w:tcW w:w="1600" w:type="dxa"/>
            <w:vAlign w:val="bottom"/>
          </w:tcPr>
          <w:p>
            <w:pPr>
              <w:ind w:left="200"/>
              <w:spacing w:after="0"/>
              <w:rPr>
                <w:sz w:val="20"/>
                <w:szCs w:val="20"/>
                <w:color w:val="auto"/>
              </w:rPr>
            </w:pPr>
            <w:r>
              <w:rPr>
                <w:rFonts w:ascii="Arial" w:cs="Arial" w:eastAsia="Arial" w:hAnsi="Arial"/>
                <w:sz w:val="14"/>
                <w:szCs w:val="14"/>
                <w:color w:val="auto"/>
              </w:rPr>
              <w:t>Annual Percentage</w:t>
            </w:r>
          </w:p>
        </w:tc>
      </w:tr>
      <w:tr>
        <w:trPr>
          <w:trHeight w:val="157"/>
        </w:trPr>
        <w:tc>
          <w:tcPr>
            <w:tcW w:w="3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01"/>
              <w:spacing w:after="0" w:line="157" w:lineRule="exact"/>
              <w:rPr>
                <w:sz w:val="20"/>
                <w:szCs w:val="20"/>
                <w:color w:val="auto"/>
              </w:rPr>
            </w:pPr>
            <w:r>
              <w:rPr>
                <w:rFonts w:ascii="Arial" w:cs="Arial" w:eastAsia="Arial" w:hAnsi="Arial"/>
                <w:sz w:val="14"/>
                <w:szCs w:val="14"/>
                <w:color w:val="auto"/>
              </w:rPr>
              <w:t>Per Pawn Loan</w:t>
            </w:r>
          </w:p>
        </w:tc>
        <w:tc>
          <w:tcPr>
            <w:tcW w:w="7300" w:type="dxa"/>
            <w:vAlign w:val="bottom"/>
          </w:tcPr>
          <w:p>
            <w:pPr>
              <w:spacing w:after="0"/>
              <w:rPr>
                <w:sz w:val="13"/>
                <w:szCs w:val="13"/>
                <w:color w:val="auto"/>
              </w:rPr>
            </w:pPr>
          </w:p>
        </w:tc>
        <w:tc>
          <w:tcPr>
            <w:tcW w:w="160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Rate</w:t>
            </w:r>
          </w:p>
        </w:tc>
      </w:tr>
      <w:tr>
        <w:trPr>
          <w:trHeight w:val="196"/>
        </w:trPr>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61"/>
              <w:spacing w:after="0" w:line="196" w:lineRule="exact"/>
              <w:rPr>
                <w:sz w:val="20"/>
                <w:szCs w:val="20"/>
                <w:color w:val="auto"/>
              </w:rPr>
            </w:pPr>
            <w:r>
              <w:rPr>
                <w:rFonts w:ascii="Arial" w:cs="Arial" w:eastAsia="Arial" w:hAnsi="Arial"/>
                <w:sz w:val="18"/>
                <w:szCs w:val="18"/>
                <w:color w:val="auto"/>
              </w:rPr>
              <w:t>1 to $1,050</w:t>
            </w:r>
          </w:p>
        </w:tc>
        <w:tc>
          <w:tcPr>
            <w:tcW w:w="8900" w:type="dxa"/>
            <w:vAlign w:val="bottom"/>
            <w:gridSpan w:val="2"/>
            <w:shd w:val="clear" w:color="auto" w:fill="CCEEFF"/>
          </w:tcPr>
          <w:p>
            <w:pPr>
              <w:ind w:left="7960"/>
              <w:spacing w:after="0" w:line="196" w:lineRule="exact"/>
              <w:rPr>
                <w:sz w:val="20"/>
                <w:szCs w:val="20"/>
                <w:color w:val="auto"/>
              </w:rPr>
            </w:pPr>
            <w:r>
              <w:rPr>
                <w:rFonts w:ascii="Arial" w:cs="Arial" w:eastAsia="Arial" w:hAnsi="Arial"/>
                <w:sz w:val="18"/>
                <w:szCs w:val="18"/>
                <w:color w:val="auto"/>
              </w:rPr>
              <w:t>276%</w:t>
            </w:r>
          </w:p>
        </w:tc>
      </w:tr>
      <w:tr>
        <w:trPr>
          <w:trHeight w:val="203"/>
        </w:trPr>
        <w:tc>
          <w:tcPr>
            <w:tcW w:w="380" w:type="dxa"/>
            <w:vAlign w:val="bottom"/>
          </w:tcPr>
          <w:p>
            <w:pPr>
              <w:spacing w:after="0"/>
              <w:rPr>
                <w:sz w:val="17"/>
                <w:szCs w:val="17"/>
                <w:color w:val="auto"/>
              </w:rPr>
            </w:pPr>
          </w:p>
        </w:tc>
        <w:tc>
          <w:tcPr>
            <w:tcW w:w="214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$ 1,051 to $3,500</w:t>
            </w:r>
          </w:p>
        </w:tc>
        <w:tc>
          <w:tcPr>
            <w:tcW w:w="8900" w:type="dxa"/>
            <w:vAlign w:val="bottom"/>
            <w:gridSpan w:val="2"/>
          </w:tcPr>
          <w:p>
            <w:pPr>
              <w:ind w:left="7960"/>
              <w:spacing w:after="0" w:line="202" w:lineRule="exact"/>
              <w:rPr>
                <w:sz w:val="20"/>
                <w:szCs w:val="20"/>
                <w:color w:val="auto"/>
              </w:rPr>
            </w:pPr>
            <w:r>
              <w:rPr>
                <w:rFonts w:ascii="Arial" w:cs="Arial" w:eastAsia="Arial" w:hAnsi="Arial"/>
                <w:sz w:val="18"/>
                <w:szCs w:val="18"/>
                <w:color w:val="auto"/>
              </w:rPr>
              <w:t>261%</w:t>
            </w:r>
          </w:p>
        </w:tc>
      </w:tr>
      <w:tr>
        <w:trPr>
          <w:trHeight w:val="203"/>
        </w:trPr>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3,501 and up</w:t>
            </w:r>
          </w:p>
        </w:tc>
        <w:tc>
          <w:tcPr>
            <w:tcW w:w="8900" w:type="dxa"/>
            <w:vAlign w:val="bottom"/>
            <w:gridSpan w:val="2"/>
            <w:shd w:val="clear" w:color="auto" w:fill="CCEEFF"/>
          </w:tcPr>
          <w:p>
            <w:pPr>
              <w:ind w:left="7960"/>
              <w:spacing w:after="0" w:line="202" w:lineRule="exact"/>
              <w:rPr>
                <w:sz w:val="20"/>
                <w:szCs w:val="20"/>
                <w:color w:val="auto"/>
              </w:rPr>
            </w:pPr>
            <w:r>
              <w:rPr>
                <w:rFonts w:ascii="Arial" w:cs="Arial" w:eastAsia="Arial" w:hAnsi="Arial"/>
                <w:sz w:val="18"/>
                <w:szCs w:val="18"/>
                <w:color w:val="auto"/>
              </w:rPr>
              <w:t>255%</w:t>
            </w:r>
          </w:p>
        </w:tc>
      </w:tr>
    </w:tbl>
    <w:p>
      <w:pPr>
        <w:spacing w:after="0" w:line="107"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The Indiana Pawnbroking Law provides for a grace period of 60 days after the initial 30-day term of the loan. During the grace period, interest and service charges continue to accrue and are prorated to the date of loan redemption.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Alabama Regulations</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Alabama Pawnshop Act regulates the licensing and operation of Alabama pawnshops. The Supervisor of the Bureau of Loans of the State Department of Banking is responsible for licensing and investigating the general fitness of pawnshop applicants. The Alabama Pawnshop Act requires that certain bookkeeping records be maintained and made available to the Supervisor and to local law enforcement authorities. The Alabama Pawnshop Act establishes a maximum allowable pawn service charge of 300% annually.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Pawn Regulations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At the local level, most of our pawnshops voluntarily or pursuant to state law or municipal ordinance, provide reports of pawn transactions and purchases from customers to local law enforcement on a regular basis. These reports are designed to provide local law enforcement with a detailed description of the goods involved, including any serial numbers and the names and addresses of the customers.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record of each transaction is provided to local law enforcement agencies to aid in the investigation of property crimes. Pawn loan collateral or goods purchased which are determined to belong to an individual other than the pawnshop’s customer are subject to recovery by the rightful owner. While a risk exists that pledged or purchased merchandise may be subject to claims of rightful owners, our claims experience is historically less than 0.25% of pawn loans made. Additionally, some counties and municipalities regulate pawn operations through local business licenses and zoning restrictions.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Regulations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Mexico has enacted federal legislation that provides for administrative regulation of the pawn industry by PROFECO, the federal consumer protection agency. Under these regulations, PROFECO regulates the form of pawn loan contracts, consumer disclosures, and certain operating procedures of pawnshops. Neither PROFECO nor the federal statute impose interest rate caps on pawn loans. The pawn industry in Mexico is subject to various regulations in the areas of tax compliance, customs, consumer protections and employment matters, among others, by various federal, state and local governmental agencies. Additionally, certain states, including the state of Tamaulipas have pawn statutes that purportedly require pawnshops to be licensed and regulate the pawn operations including rate, pawn ticket and other terms of the pawn transaction; however, federal regulations are intended to supersede the state statutes.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Firearms Regulations</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Each of our 220 U.S. locations with firearm licenses at September 30, 2008 must comply with the regulations issued by the Bureau of Alcohol, Tobacco, and Firearms (the “ATF”). ATF regulations require each location dealing in firearms to maintain a federal firearms license and a permanent written record of all transactions involving the receipt or disposition of firearms. We do not sell or make pawn loans on handguns.</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Brady Handgun Violence Prevention Act and the related ATF rules require us, in either selling firearms or releasing pawned firearms, to have the customer complete appropriate forms and pass a background check through the National Instant Criminal Background Check System before we may transfer a firearm to any customer.</w:t>
      </w:r>
    </w:p>
    <w:p>
      <w:pPr>
        <w:spacing w:after="0" w:line="9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We comply with the Brady Act and the ATF regulations. We do not believe that compliance with the Brady Act and the ATF regulations materially affects our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Service Organization Regulations</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Texas, we are registered as a Credit Service Organization (“CSO”). We provide fee-based advice, assistance, and services in obtaining loans from unaffiliated lenders. Texas CSOs are required to register with the Texas Office of the Secretary of State pursuant to Chapter 393 of the Texas Finance Code. We have registered each location where we offer credit services and posted a surety bond in the amount of $10,000 per location as required. We must renew our Texas CSO registration annually.</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Texas law requires us to provide each CSO customer a disclosure statement describing the services to be provided, the fees, explanation of the customer’s rights, identification of the surety bond company, and other specified information. This disclosure must be delivered to the customer prior to us entering into any contract with the customer for credit services. We must enter into a written contract with each customer fully describing the services, the payment terms, our principal place of business, and agent authorized to receive service. Customers have three days to cancel a CSO contract. The CSO statute also prohibits us from making false or misleading representations or statements, receiving compensation solely for referring a customer to a lender who will or may make the loan on substantially the same terms, and engaging in fraudulent or deceptive conduct. Violations of the CSO statute could subject us to criminal and civil liability.</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Texas, we do business with two unaffiliated lenders. The maximum loan currently offered by the unaffiliated lenders is $3,000. The lenders are not required to be licensed and are not regulated by a state agency, provided the interest rate charged on their loans does not exceed 10% annually. The lenders are authorized to charge a late fee for loans past due more than 10 days and an insufficient funds fee, but the lenders that we do business with do not assess late fees. The insufficient funds fee is $30. If a customer defaults on a loan, the letter of credit issued by us authorizes the unaffiliated lender to make demand on us for payment of the principal, interest, and insufficient funds fee. We are obligated to pay the lender on any demand made on the letter of credit pursuant to the terms and conditions set forth in the letter of credit. We then may recover those amounts from the borrower.</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During this fiscal year, we also offered credit services in eleven EZMONEY stores in Florida under a CSO statute similar to Texas. We ceased offering credit services in Florida in June 2008. The Florida CSO statute did not require registration or bonds. We did business with one unaffiliated lender in Florida. Like Texas, the Florida lender was not required to be licensed or regulated provided the interest rate charged on its loans did not exceed eighteen percent (18%) annually.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currently offer credit services only in Texas.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Payday Loan Regulations</w:t>
      </w:r>
    </w:p>
    <w:p>
      <w:pPr>
        <w:spacing w:after="0" w:line="126"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State statutes regulate our payday lending. These statutes vary in scope, but generally require licensing, establish loan terms, provide for consumer protections and disclosures, and allow regulatory examinations. The statutes regulating payday loans generally limit the loan amount, duration, rates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fees, ability to renew or extend, and the number of loans, and allow payment plans and cooling-off periods, among other things.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key terms of the payday loan statutes that we operate under in the states in which we do business.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Table of Payday Loan Statutes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Rollovers</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Cooling-Off</w:t>
            </w:r>
          </w:p>
        </w:tc>
        <w:tc>
          <w:tcPr>
            <w:tcW w:w="20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auto"/>
              </w:rPr>
              <w:t>Maximum</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Payment</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7"/>
              </w:rPr>
              <w:t>State</w:t>
            </w:r>
          </w:p>
        </w:tc>
      </w:t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Allowed</w:t>
            </w: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Period Required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center"/>
              <w:ind w:right="808"/>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Maximum</w:t>
            </w: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Plan</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Database</w:t>
            </w:r>
          </w:p>
        </w:tc>
      </w:tr>
      <w:tr>
        <w:trPr>
          <w:trHeight w:val="157"/>
        </w:trPr>
        <w:tc>
          <w:tcPr>
            <w:tcW w:w="1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State</w:t>
            </w:r>
          </w:p>
        </w:tc>
        <w:tc>
          <w:tcPr>
            <w:tcW w:w="200" w:type="dxa"/>
            <w:vAlign w:val="bottom"/>
          </w:tcPr>
          <w:p>
            <w:pPr>
              <w:spacing w:after="0"/>
              <w:rPr>
                <w:sz w:val="13"/>
                <w:szCs w:val="13"/>
                <w:color w:val="auto"/>
              </w:rPr>
            </w:pPr>
          </w:p>
        </w:tc>
        <w:tc>
          <w:tcPr>
            <w:tcW w:w="21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Fees</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(Yes/No)</w:t>
            </w: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(Yes/No)</w:t>
            </w:r>
          </w:p>
        </w:tc>
        <w:tc>
          <w:tcPr>
            <w:tcW w:w="200" w:type="dxa"/>
            <w:vAlign w:val="bottom"/>
          </w:tcPr>
          <w:p>
            <w:pPr>
              <w:spacing w:after="0"/>
              <w:rPr>
                <w:sz w:val="13"/>
                <w:szCs w:val="13"/>
                <w:color w:val="auto"/>
              </w:rPr>
            </w:pPr>
          </w:p>
        </w:tc>
        <w:tc>
          <w:tcPr>
            <w:tcW w:w="2120" w:type="dxa"/>
            <w:vAlign w:val="bottom"/>
            <w:tcBorders>
              <w:bottom w:val="single" w:sz="8" w:color="auto"/>
            </w:tcBorders>
            <w:gridSpan w:val="2"/>
          </w:tcPr>
          <w:p>
            <w:pPr>
              <w:ind w:left="820"/>
              <w:spacing w:after="0" w:line="157"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7"/>
              </w:rPr>
              <w:t>Term</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(Yes/No)</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(Yes/No)</w:t>
            </w:r>
          </w:p>
        </w:tc>
      </w:tr>
      <w:tr>
        <w:trPr>
          <w:trHeight w:val="156"/>
        </w:trPr>
        <w:tc>
          <w:tcPr>
            <w:tcW w:w="1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Alabama</w:t>
            </w:r>
          </w:p>
        </w:tc>
        <w:tc>
          <w:tcPr>
            <w:tcW w:w="20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17.5% of amount advanced</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1080" w:type="dxa"/>
            <w:vAlign w:val="bottom"/>
            <w:gridSpan w:val="2"/>
            <w:shd w:val="clear" w:color="auto" w:fill="CCEEFF"/>
          </w:tcPr>
          <w:p>
            <w:pPr>
              <w:ind w:left="1000"/>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08"/>
              <w:spacing w:after="0" w:line="155" w:lineRule="exact"/>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31 days</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9"/>
              </w:rPr>
              <w:t>Yes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Yes</w:t>
            </w:r>
          </w:p>
        </w:tc>
      </w:tr>
      <w:tr>
        <w:trPr>
          <w:trHeight w:val="329"/>
        </w:trPr>
        <w:tc>
          <w:tcPr>
            <w:tcW w:w="1620" w:type="dxa"/>
            <w:vAlign w:val="bottom"/>
          </w:tcPr>
          <w:p>
            <w:pPr>
              <w:spacing w:after="0"/>
              <w:rPr>
                <w:sz w:val="20"/>
                <w:szCs w:val="20"/>
                <w:color w:val="auto"/>
              </w:rPr>
            </w:pPr>
            <w:r>
              <w:rPr>
                <w:rFonts w:ascii="Arial" w:cs="Arial" w:eastAsia="Arial" w:hAnsi="Arial"/>
                <w:sz w:val="14"/>
                <w:szCs w:val="14"/>
                <w:color w:val="auto"/>
              </w:rPr>
              <w:t>Colorado</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rPr>
              <w:t>20% on first $300; 7.5% above</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08"/>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40 days</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r>
        <w:trPr>
          <w:trHeight w:val="172"/>
        </w:trPr>
        <w:tc>
          <w:tcPr>
            <w:tcW w:w="1620" w:type="dxa"/>
            <w:vAlign w:val="bottom"/>
          </w:tcPr>
          <w:p>
            <w:pPr>
              <w:spacing w:after="0"/>
              <w:rPr>
                <w:sz w:val="14"/>
                <w:szCs w:val="14"/>
                <w:color w:val="auto"/>
              </w:rPr>
            </w:pPr>
          </w:p>
        </w:tc>
        <w:tc>
          <w:tcPr>
            <w:tcW w:w="2360" w:type="dxa"/>
            <w:vAlign w:val="bottom"/>
            <w:gridSpan w:val="2"/>
          </w:tcPr>
          <w:p>
            <w:pPr>
              <w:jc w:val="center"/>
              <w:ind w:left="128"/>
              <w:spacing w:after="0"/>
              <w:rPr>
                <w:sz w:val="20"/>
                <w:szCs w:val="20"/>
                <w:color w:val="auto"/>
              </w:rPr>
            </w:pPr>
            <w:r>
              <w:rPr>
                <w:rFonts w:ascii="Arial" w:cs="Arial" w:eastAsia="Arial" w:hAnsi="Arial"/>
                <w:sz w:val="14"/>
                <w:szCs w:val="14"/>
                <w:color w:val="auto"/>
              </w:rPr>
              <w:t>$300</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7"/>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Idaho</w:t>
            </w: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No cap</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320" w:type="dxa"/>
            <w:vAlign w:val="bottom"/>
            <w:gridSpan w:val="3"/>
            <w:shd w:val="clear" w:color="auto" w:fill="CCEEFF"/>
          </w:tcPr>
          <w:p>
            <w:pPr>
              <w:jc w:val="right"/>
              <w:ind w:right="808"/>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 months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No</w:t>
            </w:r>
          </w:p>
        </w:tc>
      </w:tr>
      <w:tr>
        <w:trPr>
          <w:trHeight w:val="339"/>
        </w:trPr>
        <w:tc>
          <w:tcPr>
            <w:tcW w:w="1620" w:type="dxa"/>
            <w:vAlign w:val="bottom"/>
          </w:tcPr>
          <w:p>
            <w:pPr>
              <w:spacing w:after="0"/>
              <w:rPr>
                <w:sz w:val="20"/>
                <w:szCs w:val="20"/>
                <w:color w:val="auto"/>
              </w:rPr>
            </w:pPr>
            <w:r>
              <w:rPr>
                <w:rFonts w:ascii="Arial" w:cs="Arial" w:eastAsia="Arial" w:hAnsi="Arial"/>
                <w:sz w:val="14"/>
                <w:szCs w:val="14"/>
                <w:color w:val="auto"/>
              </w:rPr>
              <w:t>Kansas</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rPr>
              <w:t>15% of amount advanced.</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08"/>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30 days</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r>
        <w:trPr>
          <w:trHeight w:val="147"/>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Louisiana</w:t>
            </w: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16.75% of face amount of check</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 days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No</w:t>
            </w:r>
          </w:p>
        </w:tc>
      </w:tr>
      <w:tr>
        <w:trPr>
          <w:trHeight w:val="157"/>
        </w:trPr>
        <w:tc>
          <w:tcPr>
            <w:tcW w:w="1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($45 maximum)</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39"/>
        </w:trPr>
        <w:tc>
          <w:tcPr>
            <w:tcW w:w="1620" w:type="dxa"/>
            <w:vAlign w:val="bottom"/>
          </w:tcPr>
          <w:p>
            <w:pPr>
              <w:spacing w:after="0"/>
              <w:rPr>
                <w:sz w:val="20"/>
                <w:szCs w:val="20"/>
                <w:color w:val="auto"/>
              </w:rPr>
            </w:pPr>
            <w:r>
              <w:rPr>
                <w:rFonts w:ascii="Arial" w:cs="Arial" w:eastAsia="Arial" w:hAnsi="Arial"/>
                <w:sz w:val="14"/>
                <w:szCs w:val="14"/>
                <w:color w:val="auto"/>
              </w:rPr>
              <w:t>Missouri</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rPr>
              <w:t>75% of original loan amount</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08"/>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31 days</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r>
        <w:trPr>
          <w:trHeight w:val="147"/>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Nebraska</w:t>
            </w: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 of face amount of check</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$500 (maximum check)</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 days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No</w:t>
            </w:r>
          </w:p>
        </w:tc>
      </w:tr>
      <w:tr>
        <w:trPr>
          <w:trHeight w:val="339"/>
        </w:trPr>
        <w:tc>
          <w:tcPr>
            <w:tcW w:w="1620" w:type="dxa"/>
            <w:vAlign w:val="bottom"/>
          </w:tcPr>
          <w:p>
            <w:pPr>
              <w:spacing w:after="0"/>
              <w:rPr>
                <w:sz w:val="20"/>
                <w:szCs w:val="20"/>
                <w:color w:val="auto"/>
              </w:rPr>
            </w:pPr>
            <w:r>
              <w:rPr>
                <w:rFonts w:ascii="Arial" w:cs="Arial" w:eastAsia="Arial" w:hAnsi="Arial"/>
                <w:sz w:val="14"/>
                <w:szCs w:val="14"/>
                <w:color w:val="auto"/>
              </w:rPr>
              <w:t>Nevada</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No cap</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4"/>
                <w:szCs w:val="2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auto"/>
              </w:rPr>
              <w:t>25% of gross monthly income</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None</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r>
        <w:trPr>
          <w:trHeight w:val="147"/>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Oklahoma</w:t>
            </w: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 of amount advanced up to</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 days</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Yes</w:t>
            </w:r>
          </w:p>
        </w:tc>
      </w:tr>
      <w:tr>
        <w:trPr>
          <w:trHeight w:val="162"/>
        </w:trPr>
        <w:tc>
          <w:tcPr>
            <w:tcW w:w="1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first $300; 10% for amounts in</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excess of $300</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39"/>
        </w:trPr>
        <w:tc>
          <w:tcPr>
            <w:tcW w:w="1620" w:type="dxa"/>
            <w:vAlign w:val="bottom"/>
          </w:tcPr>
          <w:p>
            <w:pPr>
              <w:spacing w:after="0"/>
              <w:rPr>
                <w:sz w:val="20"/>
                <w:szCs w:val="20"/>
                <w:color w:val="auto"/>
              </w:rPr>
            </w:pPr>
            <w:r>
              <w:rPr>
                <w:rFonts w:ascii="Arial" w:cs="Arial" w:eastAsia="Arial" w:hAnsi="Arial"/>
                <w:sz w:val="14"/>
                <w:szCs w:val="14"/>
                <w:color w:val="auto"/>
              </w:rPr>
              <w:t>South Dakota</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No cap</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1080" w:type="dxa"/>
            <w:vAlign w:val="bottom"/>
            <w:gridSpan w:val="2"/>
          </w:tcPr>
          <w:p>
            <w:pPr>
              <w:ind w:left="100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08"/>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None</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r>
        <w:trPr>
          <w:trHeight w:val="147"/>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Utah</w:t>
            </w:r>
          </w:p>
        </w:tc>
        <w:tc>
          <w:tcPr>
            <w:tcW w:w="2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No cap</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788"/>
              <w:spacing w:after="0"/>
              <w:rPr>
                <w:sz w:val="20"/>
                <w:szCs w:val="20"/>
                <w:color w:val="auto"/>
              </w:rPr>
            </w:pPr>
            <w:r>
              <w:rPr>
                <w:rFonts w:ascii="Arial" w:cs="Arial" w:eastAsia="Arial" w:hAnsi="Arial"/>
                <w:sz w:val="14"/>
                <w:szCs w:val="14"/>
                <w:color w:val="auto"/>
              </w:rPr>
              <w:t>None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None</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No</w:t>
            </w:r>
          </w:p>
        </w:tc>
      </w:tr>
      <w:tr>
        <w:trPr>
          <w:trHeight w:val="339"/>
        </w:trPr>
        <w:tc>
          <w:tcPr>
            <w:tcW w:w="1620" w:type="dxa"/>
            <w:vAlign w:val="bottom"/>
          </w:tcPr>
          <w:p>
            <w:pPr>
              <w:spacing w:after="0"/>
              <w:rPr>
                <w:sz w:val="20"/>
                <w:szCs w:val="20"/>
                <w:color w:val="auto"/>
              </w:rPr>
            </w:pPr>
            <w:r>
              <w:rPr>
                <w:rFonts w:ascii="Arial" w:cs="Arial" w:eastAsia="Arial" w:hAnsi="Arial"/>
                <w:sz w:val="14"/>
                <w:szCs w:val="14"/>
                <w:color w:val="auto"/>
              </w:rPr>
              <w:t>Wisconsin</w:t>
            </w:r>
          </w:p>
        </w:tc>
        <w:tc>
          <w:tcPr>
            <w:tcW w:w="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No cap</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jc w:val="center"/>
              <w:ind w:right="788"/>
              <w:spacing w:after="0"/>
              <w:rPr>
                <w:sz w:val="20"/>
                <w:szCs w:val="20"/>
                <w:color w:val="auto"/>
              </w:rPr>
            </w:pPr>
            <w:r>
              <w:rPr>
                <w:rFonts w:ascii="Arial" w:cs="Arial" w:eastAsia="Arial" w:hAnsi="Arial"/>
                <w:sz w:val="14"/>
                <w:szCs w:val="14"/>
                <w:color w:val="auto"/>
              </w:rPr>
              <w:t>None</w:t>
            </w: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None</w:t>
            </w:r>
          </w:p>
        </w:tc>
        <w:tc>
          <w:tcPr>
            <w:tcW w:w="2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No</w:t>
            </w:r>
          </w:p>
        </w:tc>
        <w:tc>
          <w:tcPr>
            <w:tcW w:w="2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No</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 Payday Loan Regulation</w:t>
      </w:r>
    </w:p>
    <w:p>
      <w:pPr>
        <w:spacing w:after="0" w:line="126"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are also subject to various local rules and regulations primarily related to zoning and licensing that affect our business. These local rules and regulations vary from city to city and state to state. The existence of these local rules has been increasing and may affect our ability to expand our operations or do business. We comply with these local rules and regulations and regularly monitor their impact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 xml:space="preserve">Privacy: </w:t>
      </w:r>
      <w:r>
        <w:rPr>
          <w:rFonts w:ascii="Arial" w:cs="Arial" w:eastAsia="Arial" w:hAnsi="Arial"/>
          <w:sz w:val="18"/>
          <w:szCs w:val="18"/>
          <w:color w:val="auto"/>
        </w:rPr>
        <w:t>We are subject to a variety of federal and state laws and regulations intended to protect customer non-public personal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disclose our privacy policies to our customers and have policies, procedures, and systems in place intended to safeguard this information to the extent required by law.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Federal: </w:t>
      </w:r>
      <w:r>
        <w:rPr>
          <w:rFonts w:ascii="Arial" w:cs="Arial" w:eastAsia="Arial" w:hAnsi="Arial"/>
          <w:sz w:val="18"/>
          <w:szCs w:val="18"/>
          <w:color w:val="auto"/>
        </w:rPr>
        <w:t>Our pawn, CSO, and payday loan operations are subject to extensive state and federal statutes and regulations such as the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Credit Opportunity Act, the Fair Credit Reporting Act, the Truth in Lending Act, the Gramm-Leach-Bliley Act, the Fair Debt Collection Practices Act and the regulations promulgated for each. We comply with the requirements of these federal and state statutes and their regulations.</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1A. R</w:t>
      </w:r>
      <w:r>
        <w:rPr>
          <w:rFonts w:ascii="Arial" w:cs="Arial" w:eastAsia="Arial" w:hAnsi="Arial"/>
          <w:sz w:val="12"/>
          <w:szCs w:val="12"/>
          <w:b w:val="1"/>
          <w:bCs w:val="1"/>
          <w:color w:val="auto"/>
        </w:rPr>
        <w:t>ISK</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ACTORS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Important risk factors that could cause results or events to differ from current expectations are described below. These factors are not intended to be an all-encompassing list of risks and uncertainties that may affect the operations, performance, development and results of our business. You are cautioned not to place undue reliance on this discussion, which speaks only as of the date hereof. We undertake no obligation to release publicly the results of any revisions to these risk factors which may be made to reflect events or circumstances after the date hereon, including without limitation, changes in our business strategy or planned capital expenditures, store growth plans, or to reflect the occurrence of unanticipated events.</w:t>
      </w:r>
    </w:p>
    <w:p>
      <w:pPr>
        <w:spacing w:after="0" w:line="75" w:lineRule="exact"/>
        <w:rPr>
          <w:sz w:val="20"/>
          <w:szCs w:val="20"/>
          <w:color w:val="auto"/>
        </w:rPr>
      </w:pPr>
    </w:p>
    <w:p>
      <w:pPr>
        <w:ind w:left="340" w:right="80" w:hanging="224"/>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earnings and financial position are affected by changes in gold values and the resulting impact on pawn lending and jewelry sales; a significant or sudden decrease in gold values may have a material impact on our earnings. </w:t>
      </w:r>
      <w:r>
        <w:rPr>
          <w:rFonts w:ascii="Arial" w:cs="Arial" w:eastAsia="Arial" w:hAnsi="Arial"/>
          <w:sz w:val="18"/>
          <w:szCs w:val="18"/>
          <w:color w:val="auto"/>
        </w:rPr>
        <w:t>Pawn service charges, sales</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and our ability to liquidate excess jewelry inventory at an acceptable margin are dependent upon gold values. We periodically change our lending guidelines on jewelry in response to gold values and other market factors, such as competitor loan values. Gold scrapping revenues were $76.7 million and gross profit from gold scrapping was $29.9 million in fiscal 2008. The impact on our financial position and results of operations of a hypothetical decrease in gold values cannot be reasonably estimated because the market and competitive response to changes in gold values is not known; however, changes in gold values would lead to changes in sales, sales margins, and pawn service charge revenues.</w:t>
      </w:r>
    </w:p>
    <w:p>
      <w:pPr>
        <w:spacing w:after="0" w:line="72" w:lineRule="exact"/>
        <w:rPr>
          <w:rFonts w:ascii="Arial" w:cs="Arial" w:eastAsia="Arial" w:hAnsi="Arial"/>
          <w:sz w:val="18"/>
          <w:szCs w:val="18"/>
          <w:b w:val="1"/>
          <w:bCs w:val="1"/>
          <w:color w:val="auto"/>
        </w:rPr>
      </w:pPr>
    </w:p>
    <w:p>
      <w:pPr>
        <w:ind w:left="340" w:hanging="224"/>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laws, governmental rules or regulations applicable to the specialty financial services industry could have a negative impact on our lending activities. </w:t>
      </w:r>
      <w:r>
        <w:rPr>
          <w:rFonts w:ascii="Arial" w:cs="Arial" w:eastAsia="Arial" w:hAnsi="Arial"/>
          <w:sz w:val="18"/>
          <w:szCs w:val="18"/>
          <w:color w:val="auto"/>
        </w:rPr>
        <w:t>The passage of new laws and regulations or changes in existing laws and regulations could have a</w:t>
      </w:r>
      <w:r>
        <w:rPr>
          <w:rFonts w:ascii="Arial" w:cs="Arial" w:eastAsia="Arial" w:hAnsi="Arial"/>
          <w:sz w:val="18"/>
          <w:szCs w:val="18"/>
          <w:b w:val="1"/>
          <w:bCs w:val="1"/>
          <w:color w:val="auto"/>
        </w:rPr>
        <w:t xml:space="preserve"> </w:t>
      </w:r>
      <w:r>
        <w:rPr>
          <w:rFonts w:ascii="Arial" w:cs="Arial" w:eastAsia="Arial" w:hAnsi="Arial"/>
          <w:sz w:val="18"/>
          <w:szCs w:val="18"/>
          <w:color w:val="auto"/>
        </w:rPr>
        <w:t>negative impact on our lending activities, including our ability to provide credit services in Texas, where a majority of our signature loans are made. Our lending is subject to extensive regulation and licensing requirements under various federal, state and local laws, ordinances and regulations. Recent legislative action has concentrated on attempts to regulate, prohibit, or severely restrict payday lending, including applicable rates and the ability for customers to renew their loans. We can give no assurance that additional local, state, or federal legislation will not be enacted or that existing laws and regulations will not be changed or amended or that events of noncompliance may occur which would materially, adversely impact our operations, financial condition, and the ability to expand our operations.</w:t>
      </w:r>
    </w:p>
    <w:p>
      <w:pPr>
        <w:spacing w:after="0" w:line="72" w:lineRule="exact"/>
        <w:rPr>
          <w:rFonts w:ascii="Arial" w:cs="Arial" w:eastAsia="Arial" w:hAnsi="Arial"/>
          <w:sz w:val="18"/>
          <w:szCs w:val="18"/>
          <w:b w:val="1"/>
          <w:bCs w:val="1"/>
          <w:color w:val="auto"/>
        </w:rPr>
      </w:pPr>
    </w:p>
    <w:p>
      <w:pPr>
        <w:ind w:left="340" w:right="260" w:hanging="224"/>
        <w:spacing w:after="0" w:line="25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CSO revenues are dependent upon unaffiliated lenders’ ability and willingness to make loans to our customers. </w:t>
      </w:r>
      <w:r>
        <w:rPr>
          <w:rFonts w:ascii="Arial" w:cs="Arial" w:eastAsia="Arial" w:hAnsi="Arial"/>
          <w:sz w:val="18"/>
          <w:szCs w:val="18"/>
          <w:color w:val="auto"/>
        </w:rPr>
        <w:t>The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relationships with our unaffiliated lenders or a decrease in those lenders’ ability to lend money could significantly decrease our revenues and earnings.</w:t>
      </w:r>
    </w:p>
    <w:p>
      <w:pPr>
        <w:spacing w:after="0" w:line="61" w:lineRule="exact"/>
        <w:rPr>
          <w:rFonts w:ascii="Arial" w:cs="Arial" w:eastAsia="Arial" w:hAnsi="Arial"/>
          <w:sz w:val="18"/>
          <w:szCs w:val="18"/>
          <w:b w:val="1"/>
          <w:bCs w:val="1"/>
          <w:color w:val="auto"/>
        </w:rPr>
      </w:pPr>
    </w:p>
    <w:p>
      <w:pPr>
        <w:ind w:left="340" w:right="100" w:hanging="224"/>
        <w:spacing w:after="0" w:line="25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Achievement of our growth objectives is dependent upon our ability to open and acquire new stores. </w:t>
      </w:r>
      <w:r>
        <w:rPr>
          <w:rFonts w:ascii="Arial" w:cs="Arial" w:eastAsia="Arial" w:hAnsi="Arial"/>
          <w:sz w:val="18"/>
          <w:szCs w:val="18"/>
          <w:color w:val="auto"/>
        </w:rPr>
        <w:t>Our expansion program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numerous factors that cannot be predicted or controlled, such as identifying acceptable locations or attractive acquisition targets and our ability to attract, train and retain qualified associates.</w:t>
      </w:r>
    </w:p>
    <w:p>
      <w:pPr>
        <w:spacing w:after="0" w:line="61" w:lineRule="exact"/>
        <w:rPr>
          <w:rFonts w:ascii="Arial" w:cs="Arial" w:eastAsia="Arial" w:hAnsi="Arial"/>
          <w:sz w:val="18"/>
          <w:szCs w:val="18"/>
          <w:b w:val="1"/>
          <w:bCs w:val="1"/>
          <w:color w:val="auto"/>
        </w:rPr>
      </w:pPr>
    </w:p>
    <w:p>
      <w:pPr>
        <w:ind w:left="340" w:right="140" w:hanging="224"/>
        <w:spacing w:after="0" w:line="244"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Fluctuations in our sales, pawn loan balances, sales margins, pawn redemption rates, and signature loan default and collection rates could have a material adverse impact on our operating results. </w:t>
      </w:r>
      <w:r>
        <w:rPr>
          <w:rFonts w:ascii="Arial" w:cs="Arial" w:eastAsia="Arial" w:hAnsi="Arial"/>
          <w:sz w:val="18"/>
          <w:szCs w:val="18"/>
          <w:color w:val="auto"/>
        </w:rPr>
        <w:t>We regularly experience fluctuations in these operating metrics.</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any of these factors, as might be caused by changes in the economic environment, competitive pressures, changes in customers’ tastes and preferences or a significant decrease in gold prices, could materially and adversely affect our profitability and ability to achieve our planned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220" w:right="80" w:hanging="212"/>
        <w:spacing w:after="0" w:line="24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the business, regulatory, or political climate in Mexico could affect our Mexico operations and growth plans. </w:t>
      </w:r>
      <w:r>
        <w:rPr>
          <w:rFonts w:ascii="Arial" w:cs="Arial" w:eastAsia="Arial" w:hAnsi="Arial"/>
          <w:sz w:val="18"/>
          <w:szCs w:val="18"/>
          <w:color w:val="auto"/>
        </w:rPr>
        <w:t>Our plans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further growth in Mexico. Significant changes in the business, regulatory or political climate in Mexico, or significant fluctuations in currency exchange rates could limit or cease our ability to continue operating and growing our operations in Mexico, which could have a material adverse impact on our financial position, results of operations, and cash flows.</w:t>
      </w:r>
    </w:p>
    <w:p>
      <w:pPr>
        <w:spacing w:after="0" w:line="66" w:lineRule="exact"/>
        <w:rPr>
          <w:rFonts w:ascii="Arial" w:cs="Arial" w:eastAsia="Arial" w:hAnsi="Arial"/>
          <w:sz w:val="18"/>
          <w:szCs w:val="18"/>
          <w:b w:val="1"/>
          <w:bCs w:val="1"/>
          <w:color w:val="auto"/>
        </w:rPr>
      </w:pPr>
    </w:p>
    <w:p>
      <w:pPr>
        <w:ind w:left="220" w:right="20" w:hanging="212"/>
        <w:spacing w:after="0" w:line="238"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our liquidity and capital requirements or in banks’ abilities to lend to us could limit our ability to achieve our plans.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continued access to capital; a significant reduction in cash flows from operations or the availability of credit could materially and adversely affect our ability to achieve our planned growth and operating results, and to complete our planned acquisition of Value Financial Services, Inc. (“VFS”). We are exposed to some credit risk related to our credit agreement to the extent that our lenders, Wells Fargo Bank and Guaranty Bank, may be unable to provide necessary funding to us under our existing credit agreement if either or both of the lenders experience liquidity problems. If either lender is unable to provide funding in accordance with the lender’s commitment, our available credit would be reduced by the amount of that lender’s commitment, but we would still have access to the other lender’s credit commitment. We face the same risk in relation to our Fifth Amended and Restated Credit Agreement we expect to become effective at the time we acquire VFS on December 31, 2008, however we believe the risk is lower due to the larger number of banks participating in that credit agreement and the other lenders’ remaining commitments if one or more lenders are unable to honor their commitments. The lenders participating in that credit agreement are Wells Fargo Bank, Union Bank of California, U.S. Bank, Guaranty Bank, and Allied Irish Bank. Liquidity problems at any of these banks could limit or eliminate such bank’s ability to lend to us and, in turn, would reduce our available credit by the lender’s commitment. The remaining lenders’ commitments would remain available to us.</w:t>
      </w:r>
    </w:p>
    <w:p>
      <w:pPr>
        <w:spacing w:after="0" w:line="73" w:lineRule="exact"/>
        <w:rPr>
          <w:rFonts w:ascii="Arial" w:cs="Arial" w:eastAsia="Arial" w:hAnsi="Arial"/>
          <w:sz w:val="18"/>
          <w:szCs w:val="18"/>
          <w:b w:val="1"/>
          <w:bCs w:val="1"/>
          <w:color w:val="auto"/>
        </w:rPr>
      </w:pPr>
    </w:p>
    <w:p>
      <w:pPr>
        <w:ind w:left="220" w:hanging="212"/>
        <w:spacing w:after="0" w:line="24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competition from various sources could have a material adverse impact on our ability to achieve our plans.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encounter significant competition in connection with our lending and retail operations from other pawnshops, cash advance companies and other forms of financial institutions and other retailers, many of which have significantly greater financial resources than us. Significant increases in these competitive influences could adversely affect our operations through a decrease in the number or quality of signature loan and pawn loans or our ability to liquidate forfeited collateral at acceptable margins.</w:t>
      </w:r>
    </w:p>
    <w:p>
      <w:pPr>
        <w:spacing w:after="0" w:line="68" w:lineRule="exact"/>
        <w:rPr>
          <w:rFonts w:ascii="Arial" w:cs="Arial" w:eastAsia="Arial" w:hAnsi="Arial"/>
          <w:sz w:val="18"/>
          <w:szCs w:val="18"/>
          <w:b w:val="1"/>
          <w:bCs w:val="1"/>
          <w:color w:val="auto"/>
        </w:rPr>
      </w:pPr>
    </w:p>
    <w:p>
      <w:pPr>
        <w:ind w:left="220" w:right="80" w:hanging="212"/>
        <w:spacing w:after="0" w:line="253"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One person holds voting control of our stock and controls the outcome of all matters requiring a vote of stockholders, which may influence the value of our publicly traded stock. </w:t>
      </w:r>
      <w:r>
        <w:rPr>
          <w:rFonts w:ascii="Arial" w:cs="Arial" w:eastAsia="Arial" w:hAnsi="Arial"/>
          <w:sz w:val="18"/>
          <w:szCs w:val="18"/>
          <w:color w:val="auto"/>
        </w:rPr>
        <w:t>Mr. Phillip E. Cohen controls all of our Class B Voting Common Stock. He controls the</w:t>
      </w:r>
      <w:r>
        <w:rPr>
          <w:rFonts w:ascii="Arial" w:cs="Arial" w:eastAsia="Arial" w:hAnsi="Arial"/>
          <w:sz w:val="18"/>
          <w:szCs w:val="18"/>
          <w:b w:val="1"/>
          <w:bCs w:val="1"/>
          <w:color w:val="auto"/>
        </w:rPr>
        <w:t xml:space="preserve"> </w:t>
      </w:r>
      <w:r>
        <w:rPr>
          <w:rFonts w:ascii="Arial" w:cs="Arial" w:eastAsia="Arial" w:hAnsi="Arial"/>
          <w:sz w:val="18"/>
          <w:szCs w:val="18"/>
          <w:color w:val="auto"/>
        </w:rPr>
        <w:t>outcome of all issues requiring a vote of stockholders, including the election of our directors.</w:t>
      </w:r>
    </w:p>
    <w:p>
      <w:pPr>
        <w:spacing w:after="0" w:line="61" w:lineRule="exact"/>
        <w:rPr>
          <w:rFonts w:ascii="Arial" w:cs="Arial" w:eastAsia="Arial" w:hAnsi="Arial"/>
          <w:sz w:val="18"/>
          <w:szCs w:val="18"/>
          <w:b w:val="1"/>
          <w:bCs w:val="1"/>
          <w:color w:val="auto"/>
        </w:rPr>
      </w:pPr>
    </w:p>
    <w:p>
      <w:pPr>
        <w:ind w:left="220" w:hanging="212"/>
        <w:spacing w:after="0" w:line="241"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we are unable to complete our acquisition of Value Financial Services, Inc. by December 31, 2008, we may not be able to complete the acquisition at all. </w:t>
      </w:r>
      <w:r>
        <w:rPr>
          <w:rFonts w:ascii="Arial" w:cs="Arial" w:eastAsia="Arial" w:hAnsi="Arial"/>
          <w:sz w:val="18"/>
          <w:szCs w:val="18"/>
          <w:color w:val="auto"/>
        </w:rPr>
        <w:t>The commitment we have obtained from several lenders for an expanded credit facility expires</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2008, and we may need the expanded credit facility to finance the cash portion of the consideration to be issued to VFS shareholders. We expect the acquisition to be completed immediately following the vote of VFS’s shareholders on December 31, 2008. If the acquisition is not completed by December 31, 2008, the lending commitment from our bank group will expire. Unless the lenders are willing to extend the lending commitment beyond December 31, 2008, we may not have the cash or access to credit necessary to complete the planned acquisition.</w:t>
      </w:r>
    </w:p>
    <w:p>
      <w:pPr>
        <w:spacing w:after="0" w:line="71" w:lineRule="exact"/>
        <w:rPr>
          <w:rFonts w:ascii="Arial" w:cs="Arial" w:eastAsia="Arial" w:hAnsi="Arial"/>
          <w:sz w:val="18"/>
          <w:szCs w:val="18"/>
          <w:b w:val="1"/>
          <w:bCs w:val="1"/>
          <w:color w:val="auto"/>
        </w:rPr>
      </w:pPr>
    </w:p>
    <w:p>
      <w:pPr>
        <w:ind w:left="220" w:right="140" w:hanging="212"/>
        <w:spacing w:after="0" w:line="24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integration with our business of the eleven Nevada pawn stores acquired in November 2008 and the 67 pawn stores we anticipate acquiring from Value Financial Services, Inc. on December 31, 2008 may not be successful or anticipated benefits from the acquisitions may not be realized. </w:t>
      </w:r>
      <w:r>
        <w:rPr>
          <w:rFonts w:ascii="Arial" w:cs="Arial" w:eastAsia="Arial" w:hAnsi="Arial"/>
          <w:sz w:val="18"/>
          <w:szCs w:val="18"/>
          <w:color w:val="auto"/>
        </w:rPr>
        <w:t>After completion of the acquisitions, we will have significantly larger operations than we did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Our ability to realize the benefits of the acquisitions will depend in part on the timely integration of the acquired organizations, operations, procedures, policies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technologies with ours, as well as the harmonization of differences in the acquired businesses’ cultures and practices with ours. Our management will be required to devote a significant amount of time and attention to integrating the acquired businesses with ours. There is a significant degree of difficulty and management involvement inherent in that process. These difficulties include the following:</w:t>
      </w:r>
    </w:p>
    <w:p>
      <w:pPr>
        <w:spacing w:after="0" w:line="95"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integrating the operations of the acquired businesses with our business while maintaining our ongoing operations;</w:t>
      </w:r>
    </w:p>
    <w:p>
      <w:pPr>
        <w:spacing w:after="0" w:line="117" w:lineRule="exact"/>
        <w:rPr>
          <w:rFonts w:ascii="Arial" w:cs="Arial" w:eastAsia="Arial" w:hAnsi="Arial"/>
          <w:sz w:val="18"/>
          <w:szCs w:val="18"/>
          <w:b w:val="1"/>
          <w:bCs w:val="1"/>
          <w:color w:val="auto"/>
        </w:rPr>
      </w:pPr>
    </w:p>
    <w:p>
      <w:pPr>
        <w:ind w:left="900" w:right="40" w:hanging="446"/>
        <w:spacing w:after="0" w:line="246"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the management of daily operations to the integration of the acquired businesses with our business;</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managing a significantly larger company than before completion of the acquisitions;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realizing economies of scale and eliminating duplicative overheads;</w:t>
      </w:r>
    </w:p>
    <w:p>
      <w:pPr>
        <w:spacing w:after="0" w:line="117" w:lineRule="exact"/>
        <w:rPr>
          <w:rFonts w:ascii="Arial" w:cs="Arial" w:eastAsia="Arial" w:hAnsi="Arial"/>
          <w:sz w:val="18"/>
          <w:szCs w:val="18"/>
          <w:b w:val="1"/>
          <w:bCs w:val="1"/>
          <w:color w:val="auto"/>
        </w:rPr>
      </w:pPr>
    </w:p>
    <w:p>
      <w:pPr>
        <w:ind w:left="900" w:right="1040" w:hanging="446"/>
        <w:spacing w:after="0" w:line="246"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possibility of faulty assumptions underlying our expectations regarding the integration process or expected earnings enhancement;</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coordinating businesses located in different geographic regions;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integrating the acquired businesses’ cultures and practices with ours, which may prove to be incompatible;</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attracting and retaining the personnel associated with the acquired businesses following the acquisitions;</w:t>
      </w:r>
    </w:p>
    <w:p>
      <w:pPr>
        <w:spacing w:after="0" w:line="117" w:lineRule="exact"/>
        <w:rPr>
          <w:rFonts w:ascii="Arial" w:cs="Arial" w:eastAsia="Arial" w:hAnsi="Arial"/>
          <w:sz w:val="18"/>
          <w:szCs w:val="18"/>
          <w:b w:val="1"/>
          <w:bCs w:val="1"/>
          <w:color w:val="auto"/>
        </w:rPr>
      </w:pPr>
    </w:p>
    <w:p>
      <w:pPr>
        <w:ind w:left="900" w:right="780" w:hanging="446"/>
        <w:spacing w:after="0" w:line="246" w:lineRule="auto"/>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creating and instituting uniform standards, controls, procedures, policies and information systems and minimizing the costs associated with such matters; and</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integrating information, purchasing, accounting, finance, sales, payroll and regulatory compliance systems.</w:t>
      </w:r>
    </w:p>
    <w:p>
      <w:pPr>
        <w:spacing w:after="0" w:line="104"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There is no assurance that the acquisitions will be successfully or cost-effectively integrated into our business operations. The process of integrating the acquired businesses into our operations may cause an interruption of, or loss of momentum in, the activities of our business. If our management is not able to effectively manage the integration process, or if any significant business activities are interrupted as a result of the integration process, our business could suffer and the results of our operations and financial condition may be harmed.</w:t>
      </w:r>
    </w:p>
    <w:p>
      <w:pPr>
        <w:spacing w:after="0" w:line="107" w:lineRule="exact"/>
        <w:rPr>
          <w:sz w:val="20"/>
          <w:szCs w:val="20"/>
          <w:color w:val="auto"/>
        </w:rPr>
      </w:pPr>
    </w:p>
    <w:p>
      <w:pPr>
        <w:ind w:left="220" w:right="320"/>
        <w:spacing w:after="0" w:line="239" w:lineRule="auto"/>
        <w:rPr>
          <w:sz w:val="20"/>
          <w:szCs w:val="20"/>
          <w:color w:val="auto"/>
        </w:rPr>
      </w:pPr>
      <w:r>
        <w:rPr>
          <w:rFonts w:ascii="Arial" w:cs="Arial" w:eastAsia="Arial" w:hAnsi="Arial"/>
          <w:sz w:val="18"/>
          <w:szCs w:val="18"/>
          <w:color w:val="auto"/>
        </w:rPr>
        <w:t>All of the risks associated with the integration process could be exacerbated by the fact that we may not have a sufficient number of employees with the requisite expertise to integrate the businesses or to operate the combined businesses after the acquisitions. If the combined companies do not hire or retain employees with the requisite skills and knowledge to run its business — including the acquired businesses — after the acquisitions, it may have a material adverse effect on the combined companies.</w:t>
      </w:r>
    </w:p>
    <w:p>
      <w:pPr>
        <w:spacing w:after="0" w:line="107" w:lineRule="exact"/>
        <w:rPr>
          <w:sz w:val="20"/>
          <w:szCs w:val="20"/>
          <w:color w:val="auto"/>
        </w:rPr>
      </w:pPr>
    </w:p>
    <w:p>
      <w:pPr>
        <w:ind w:left="220" w:right="180"/>
        <w:spacing w:after="0" w:line="237" w:lineRule="auto"/>
        <w:rPr>
          <w:sz w:val="20"/>
          <w:szCs w:val="20"/>
          <w:color w:val="auto"/>
        </w:rPr>
      </w:pPr>
      <w:r>
        <w:rPr>
          <w:rFonts w:ascii="Arial" w:cs="Arial" w:eastAsia="Arial" w:hAnsi="Arial"/>
          <w:sz w:val="18"/>
          <w:szCs w:val="18"/>
          <w:color w:val="auto"/>
        </w:rPr>
        <w:t>We cannot assure you that we will realize the anticipated benefits and value of the acquisitions or successfully integrate the acquired businesses with our existing operations. Even if we are able to successfully integrate the acquired businesses with ours, it may not be possible to realize the full benefits and value that are currently expected to result from the acquisitions, or realize these benefits and value within the time frames that are currently expected. For example, the benefits and value gained from the acquisitions may be offset by costs incurred or delays in integrating the acquired businesses with ours. If we fail to realize anticipated cost savings, synergies or revenue enhancements we anticipate from the acquisitions, our financial position and results of operations may be adversely affected.</w:t>
      </w:r>
    </w:p>
    <w:p>
      <w:pPr>
        <w:spacing w:after="0" w:line="111" w:lineRule="exact"/>
        <w:rPr>
          <w:sz w:val="20"/>
          <w:szCs w:val="20"/>
          <w:color w:val="auto"/>
        </w:rPr>
      </w:pPr>
    </w:p>
    <w:p>
      <w:pPr>
        <w:ind w:left="220" w:right="140"/>
        <w:spacing w:after="0"/>
        <w:rPr>
          <w:sz w:val="20"/>
          <w:szCs w:val="20"/>
          <w:color w:val="auto"/>
        </w:rPr>
      </w:pPr>
      <w:r>
        <w:rPr>
          <w:rFonts w:ascii="Arial" w:cs="Arial" w:eastAsia="Arial" w:hAnsi="Arial"/>
          <w:sz w:val="18"/>
          <w:szCs w:val="18"/>
          <w:color w:val="auto"/>
        </w:rPr>
        <w:t>We have not engaged in any prior mergers as we plan with VFS and have not made any other acquisitions of companies or assets as large as VFS. We have engaged in other acquisitions in the range of $20 million and less. We have not experienced significant operating problems with these acquisitions.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220" w:right="60" w:hanging="212"/>
        <w:spacing w:after="0" w:line="244"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change in the business climate may cause the actual benefits and value of acquired businesses to differ from the anticipated benefits and value of the acquisitions. </w:t>
      </w:r>
      <w:r>
        <w:rPr>
          <w:rFonts w:ascii="Arial" w:cs="Arial" w:eastAsia="Arial" w:hAnsi="Arial"/>
          <w:sz w:val="18"/>
          <w:szCs w:val="18"/>
          <w:color w:val="auto"/>
        </w:rPr>
        <w:t>A change in the business climate surrounding our business after the completed Nevada and</w:t>
      </w:r>
      <w:r>
        <w:rPr>
          <w:rFonts w:ascii="Arial" w:cs="Arial" w:eastAsia="Arial" w:hAnsi="Arial"/>
          <w:sz w:val="18"/>
          <w:szCs w:val="18"/>
          <w:b w:val="1"/>
          <w:bCs w:val="1"/>
          <w:color w:val="auto"/>
        </w:rPr>
        <w:t xml:space="preserve"> </w:t>
      </w:r>
      <w:r>
        <w:rPr>
          <w:rFonts w:ascii="Arial" w:cs="Arial" w:eastAsia="Arial" w:hAnsi="Arial"/>
          <w:sz w:val="18"/>
          <w:szCs w:val="18"/>
          <w:color w:val="auto"/>
        </w:rPr>
        <w:t>planned VFS acquisitions may affect our customers’ activities and actions. This could cause our financial results and results of operations to be adversely affected. This may also cause the actual benefits and value of the acquired businesses to differ from the benefits and value we anticipate from the acquisitions.</w:t>
      </w:r>
    </w:p>
    <w:p>
      <w:pPr>
        <w:spacing w:after="0" w:line="68" w:lineRule="exact"/>
        <w:rPr>
          <w:rFonts w:ascii="Arial" w:cs="Arial" w:eastAsia="Arial" w:hAnsi="Arial"/>
          <w:sz w:val="18"/>
          <w:szCs w:val="18"/>
          <w:b w:val="1"/>
          <w:bCs w:val="1"/>
          <w:color w:val="auto"/>
        </w:rPr>
      </w:pPr>
    </w:p>
    <w:p>
      <w:pPr>
        <w:ind w:left="220" w:hanging="212"/>
        <w:spacing w:after="0" w:line="241"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will incur significant costs and expenses associated with acquisitions. </w:t>
      </w:r>
      <w:r>
        <w:rPr>
          <w:rFonts w:ascii="Arial" w:cs="Arial" w:eastAsia="Arial" w:hAnsi="Arial"/>
          <w:sz w:val="18"/>
          <w:szCs w:val="18"/>
          <w:color w:val="auto"/>
        </w:rPr>
        <w:t>We expect to incur significant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recently completed Nevada acquisition and planned VFS acquisition, which include but are not limited to transaction fees (approximately $0.6 million) and professional service fees and regulatory filing fees (approximately $0.7 million). We also believe we may incur charges to operations, which are not currently reasonably estimable, in the quarter in which the acquisitions are completed or the following quarters, to reflect costs associated with integrating the acquired businesses into ours. There can be no assurance that we will not incur additional material charges in subsequent quarters to reflect additional costs associated with the acquisitions and the integration of the acquired businesses into our business.</w:t>
      </w:r>
    </w:p>
    <w:p>
      <w:pPr>
        <w:spacing w:after="0" w:line="71" w:lineRule="exact"/>
        <w:rPr>
          <w:rFonts w:ascii="Arial" w:cs="Arial" w:eastAsia="Arial" w:hAnsi="Arial"/>
          <w:sz w:val="18"/>
          <w:szCs w:val="18"/>
          <w:b w:val="1"/>
          <w:bCs w:val="1"/>
          <w:color w:val="auto"/>
        </w:rPr>
      </w:pPr>
    </w:p>
    <w:p>
      <w:pPr>
        <w:ind w:left="220" w:right="4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Issuance of the EZCORP Shares in the Nevada and Value Financial Services, Inc. acquisitions could have a dilutive effect and cause EZCORP’s earnings per share to decrease. </w:t>
      </w:r>
      <w:r>
        <w:rPr>
          <w:rFonts w:ascii="Arial" w:cs="Arial" w:eastAsia="Arial" w:hAnsi="Arial"/>
          <w:sz w:val="18"/>
          <w:szCs w:val="18"/>
          <w:color w:val="auto"/>
        </w:rPr>
        <w:t>In the November 2008 Nevada acquisition, we issued 1.1 million shares of our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Common Stock as part of the purchase consideration. Assuming we complete the VFS acquisition as planned on December 31, 2008, we will issue a total of nearly 5 million shares of our Class A Non-voting Common Stock if all VFS shareholders elect to receive such shares pursuant to the merger agreement with VFS. Together, these transactions will increase the number of issued and outstanding shares of our Class A Non-voting Common Stock by approximately 15%. If we are unable to realize sufficient value from the acquisitions, the issuance of these shares will decrease the net asset value per share of our stock, thereby decreasing the value of those shares in the hands of our shareholders and possibly causing our stock market price to drop.</w:t>
      </w:r>
    </w:p>
    <w:p>
      <w:pPr>
        <w:spacing w:after="0" w:line="72" w:lineRule="exact"/>
        <w:rPr>
          <w:rFonts w:ascii="Arial" w:cs="Arial" w:eastAsia="Arial" w:hAnsi="Arial"/>
          <w:sz w:val="18"/>
          <w:szCs w:val="18"/>
          <w:b w:val="1"/>
          <w:bCs w:val="1"/>
          <w:color w:val="auto"/>
        </w:rPr>
      </w:pPr>
    </w:p>
    <w:p>
      <w:pPr>
        <w:ind w:left="220" w:right="20" w:hanging="212"/>
        <w:spacing w:after="0" w:line="242"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Florida Business Corporation Act gives Value Financial Services, Inc. shareholders the right to have the value of their stock appraised by a Florida court, which could raise the cost of acquiring the Value Financial Services, Inc. stock. </w:t>
      </w:r>
      <w:r>
        <w:rPr>
          <w:rFonts w:ascii="Arial" w:cs="Arial" w:eastAsia="Arial" w:hAnsi="Arial"/>
          <w:sz w:val="18"/>
          <w:szCs w:val="18"/>
          <w:color w:val="auto"/>
        </w:rPr>
        <w:t>The Florida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Act provides that VFS shareholders who do not vote in favor of the merger with EZCORP, assert their right to be paid “fair value” for their shares and do not accept our estimate of the fair value of VFS shares after the merger, can seek to have a Florida state court review the transaction and award them fair value for their shares. If a significant number of minority shareholders assert these appraisal rights, a Florida court might disagree with our valuation and award the shareholders a significantly higher price than we intend to pay.</w:t>
      </w:r>
    </w:p>
    <w:p>
      <w:pPr>
        <w:spacing w:after="0" w:line="71" w:lineRule="exact"/>
        <w:rPr>
          <w:rFonts w:ascii="Arial" w:cs="Arial" w:eastAsia="Arial" w:hAnsi="Arial"/>
          <w:sz w:val="18"/>
          <w:szCs w:val="18"/>
          <w:b w:val="1"/>
          <w:bCs w:val="1"/>
          <w:color w:val="auto"/>
        </w:rPr>
      </w:pPr>
    </w:p>
    <w:p>
      <w:pPr>
        <w:ind w:left="220" w:right="40" w:hanging="212"/>
        <w:spacing w:after="0" w:line="241"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contingent consideration we offered in the Value Financial Services, Inc. merger may increase the incentive of the Value Financial Services, Inc. shareholders to sell the EZCORP shares they obtain in the merger and drive down the price of our stock. </w:t>
      </w:r>
      <w:r>
        <w:rPr>
          <w:rFonts w:ascii="Arial" w:cs="Arial" w:eastAsia="Arial" w:hAnsi="Arial"/>
          <w:sz w:val="18"/>
          <w:szCs w:val="18"/>
          <w:color w:val="auto"/>
        </w:rPr>
        <w:t>To induce VFS’s board of directors and shareholders to approve the merger, we agreed to pay additional cash consideration to the VFS shareholders if they sell their stock within 125 days after closing of the merger, if they sell at a price either above or below $14.67 per EZCORP share. During the 125 day period, the additional cash consideration gives a limited amount of price protection to VFS shareholders if our stock price falls, and to provide an incentive to sell our stock at prices only in excess of the $14.67 valuation on which the merger consideration was based.</w:t>
      </w:r>
    </w:p>
    <w:p>
      <w:pPr>
        <w:spacing w:after="0" w:line="187" w:lineRule="exact"/>
        <w:rPr>
          <w:rFonts w:ascii="Arial" w:cs="Arial" w:eastAsia="Arial" w:hAnsi="Arial"/>
          <w:sz w:val="18"/>
          <w:szCs w:val="18"/>
          <w:b w:val="1"/>
          <w:bCs w:val="1"/>
          <w:color w:val="auto"/>
        </w:rPr>
      </w:pPr>
    </w:p>
    <w:p>
      <w:pPr>
        <w:ind w:left="220" w:right="26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Because these additional payments are available for only a limited, 125 day period after closing, VFS shareholders may feel an additional urge to sell their EZCORP shares. Thus, these potential payments could increase selling of our stock and send our stock price down.</w:t>
      </w:r>
    </w:p>
    <w:p>
      <w:pPr>
        <w:spacing w:after="0" w:line="66" w:lineRule="exact"/>
        <w:rPr>
          <w:rFonts w:ascii="Arial" w:cs="Arial" w:eastAsia="Arial" w:hAnsi="Arial"/>
          <w:sz w:val="18"/>
          <w:szCs w:val="18"/>
          <w:b w:val="1"/>
          <w:bCs w:val="1"/>
          <w:color w:val="auto"/>
        </w:rPr>
      </w:pPr>
    </w:p>
    <w:p>
      <w:pPr>
        <w:ind w:left="220" w:hanging="212"/>
        <w:spacing w:after="0"/>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face other risks discussed under Qualitative and Quantitative Disclosures about Market Risk in Item 7A of this Form 10-K.</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P</w:t>
      </w:r>
      <w:r>
        <w:rPr>
          <w:rFonts w:ascii="Arial" w:cs="Arial" w:eastAsia="Arial" w:hAnsi="Arial"/>
          <w:sz w:val="12"/>
          <w:szCs w:val="12"/>
          <w:b w:val="1"/>
          <w:bCs w:val="1"/>
          <w:color w:val="auto"/>
        </w:rPr>
        <w:t>ROPERTIES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typical pawnshop is a freestanding building or part of a retail strip center with contiguous parking. Store interiors are designed to resemble small retail operations and attractively display merchandise by category. Distinctive exterior design and attractive in-store signage provide an appealing atmosphere to customers. The typical pawn store has approximately 1,800 square feet of retail space and approximately 3,200 square feet dedicated to collateral storage. An EZMONEY signature loan store is designed to resemble a bank interior and offers payday loans or credit services to help customers obtain short-term signature loans. The typical EZMONEY store is approximately 1,000 to 1,500 square feet and is located in a retail strip center. Some of our EZMONEY stores adjoin an EZPAWN location and occupy approximately 300 to 500 square feet, with a different entrance, signage, décor, and staffing. From the customers’ perspective, these are viewed as a separate business. We maintain property and general liability insurance for each of our stores. Our stores are open six or seven days a week.</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of October 31, 2008, we leased 294 U.S. and 38 Mexico locations containing pawn stores and 158 adjoining EZMONEYs, and leased 320 EZMONEY locations. In five of these EZMONEY locations, we lease the land, but own the portable modular EZMONEY store. We also own the real estate and building for one non-operating location. We generally lease facilities for a term of three to ten years with one or more renewal options. Our existing leases expire on dates ranging between December 31, 2008 and July 31, 2026,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changes in the number of store locations during fiscal 2006, 2007 and 2008.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rPr>
              <w:t>Fiscal Year Ended September 30,</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82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color w:val="auto"/>
              </w:rPr>
              <w:t>2006</w:t>
            </w:r>
          </w:p>
        </w:tc>
        <w:tc>
          <w:tcPr>
            <w:tcW w:w="1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Borders>
              <w:bottom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Store count at beginning of fiscal year</w:t>
            </w:r>
          </w:p>
        </w:tc>
        <w:tc>
          <w:tcPr>
            <w:tcW w:w="82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514</w:t>
            </w:r>
          </w:p>
        </w:tc>
        <w:tc>
          <w:tcPr>
            <w:tcW w:w="1700" w:type="dxa"/>
            <w:vAlign w:val="bottom"/>
            <w:gridSpan w:val="5"/>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614</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New stores opened</w:t>
            </w: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101</w:t>
            </w:r>
          </w:p>
        </w:tc>
        <w:tc>
          <w:tcPr>
            <w:tcW w:w="170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104</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Acquired stores</w:t>
            </w:r>
          </w:p>
        </w:tc>
        <w:tc>
          <w:tcPr>
            <w:tcW w:w="8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70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Arial" w:cs="Arial" w:eastAsia="Arial" w:hAnsi="Arial"/>
                <w:sz w:val="18"/>
                <w:szCs w:val="18"/>
                <w:color w:val="auto"/>
              </w:rPr>
              <w:t>Stores closed or consolidated</w:t>
            </w:r>
          </w:p>
        </w:tc>
        <w:tc>
          <w:tcPr>
            <w:tcW w:w="34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70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(3)</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 count at end of fiscal year</w:t>
            </w:r>
          </w:p>
        </w:tc>
        <w:tc>
          <w:tcPr>
            <w:tcW w:w="3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3"/>
              </w:rPr>
              <w:t>614</w:t>
            </w:r>
          </w:p>
        </w:tc>
        <w:tc>
          <w:tcPr>
            <w:tcW w:w="170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731</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Included in the new stores opened in 2006, 2007 and 2008 are 7, 6 and 3 EZMONEY stores adjoining existing pawnshop locations. In 2008, we opened 14 Empeño Fácil stores in Mexico. All other new stores are separate EZMONEY locations. We also acquired 20 pawn stores in Mexico during fiscal 2008.</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On an ongoing basis, we may close or consolidate under-performing store locations. In fiscal 2007, we closed one EZMONEY store, consolidated one EZMONEY store into another existing EZMONEY store, and consolidated one existing EZPAWN store into a newly acquired store. In fiscal 2008, we closed 16 EZMONEY stores and consolidated six EZMONEY stores into other existing EZMONEY stores.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locations serving each metropolitan area or region as of October 31,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color w:val="auto"/>
              </w:rPr>
              <w:t>Pawn</w:t>
            </w: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EZMONEY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line="157" w:lineRule="exact"/>
              <w:rPr>
                <w:sz w:val="20"/>
                <w:szCs w:val="20"/>
                <w:color w:val="auto"/>
              </w:rPr>
            </w:pPr>
            <w:r>
              <w:rPr>
                <w:rFonts w:ascii="Arial" w:cs="Arial" w:eastAsia="Arial" w:hAnsi="Arial"/>
                <w:sz w:val="14"/>
                <w:szCs w:val="14"/>
                <w:color w:val="auto"/>
              </w:rPr>
              <w:t>Region/Area</w:t>
            </w:r>
          </w:p>
        </w:tc>
        <w:tc>
          <w:tcPr>
            <w:tcW w:w="4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560" w:type="dxa"/>
            <w:vAlign w:val="bottom"/>
          </w:tcPr>
          <w:p>
            <w:pPr>
              <w:spacing w:after="0"/>
              <w:rPr>
                <w:sz w:val="13"/>
                <w:szCs w:val="13"/>
                <w:color w:val="auto"/>
              </w:rPr>
            </w:pPr>
          </w:p>
        </w:tc>
        <w:tc>
          <w:tcPr>
            <w:tcW w:w="9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Texas:</w:t>
            </w:r>
          </w:p>
        </w:tc>
        <w:tc>
          <w:tcPr>
            <w:tcW w:w="452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Houston</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60</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Dallas / Ft. Worth</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San Antonio</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21</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West and Southwest</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Valley</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Austin Area</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Panhandle</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Central</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Corpus Christi</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Laredo Area</w:t>
            </w:r>
          </w:p>
        </w:tc>
        <w:tc>
          <w:tcPr>
            <w:tcW w:w="5420" w:type="dxa"/>
            <w:vAlign w:val="bottom"/>
            <w:gridSpan w:val="3"/>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Total Texas</w:t>
            </w:r>
          </w:p>
        </w:tc>
        <w:tc>
          <w:tcPr>
            <w:tcW w:w="5420" w:type="dxa"/>
            <w:vAlign w:val="bottom"/>
            <w:gridSpan w:val="3"/>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182</w:t>
            </w:r>
          </w:p>
        </w:tc>
        <w:tc>
          <w:tcPr>
            <w:tcW w:w="1540" w:type="dxa"/>
            <w:vAlign w:val="bottom"/>
            <w:gridSpan w:val="4"/>
          </w:tcPr>
          <w:p>
            <w:pPr>
              <w:jc w:val="right"/>
              <w:ind w:right="3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Colorado:</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Denver Area</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Colorado Springs Area</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Other Areas</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Colorado</w:t>
            </w:r>
          </w:p>
        </w:tc>
        <w:tc>
          <w:tcPr>
            <w:tcW w:w="5420" w:type="dxa"/>
            <w:vAlign w:val="bottom"/>
            <w:gridSpan w:val="3"/>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05"/>
        </w:trPr>
        <w:tc>
          <w:tcPr>
            <w:tcW w:w="382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Milwaukee</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Green Bay</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Madison</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Central</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Total Wisconsin</w:t>
            </w:r>
          </w:p>
        </w:tc>
        <w:tc>
          <w:tcPr>
            <w:tcW w:w="4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Oklahoma:</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Tulsa Area</w:t>
            </w:r>
          </w:p>
        </w:tc>
        <w:tc>
          <w:tcPr>
            <w:tcW w:w="606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Oklahoma City Area</w:t>
            </w:r>
          </w:p>
        </w:tc>
        <w:tc>
          <w:tcPr>
            <w:tcW w:w="606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Other Areas</w:t>
            </w:r>
          </w:p>
        </w:tc>
        <w:tc>
          <w:tcPr>
            <w:tcW w:w="5420" w:type="dxa"/>
            <w:vAlign w:val="bottom"/>
            <w:gridSpan w:val="3"/>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Oklahoma</w:t>
            </w:r>
          </w:p>
        </w:tc>
        <w:tc>
          <w:tcPr>
            <w:tcW w:w="5420" w:type="dxa"/>
            <w:vAlign w:val="bottom"/>
            <w:gridSpan w:val="3"/>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5"/>
        </w:trPr>
        <w:tc>
          <w:tcPr>
            <w:tcW w:w="3820" w:type="dxa"/>
            <w:vAlign w:val="bottom"/>
            <w:gridSpan w:val="2"/>
          </w:tcPr>
          <w:p>
            <w:pPr>
              <w:spacing w:after="0"/>
              <w:rPr>
                <w:sz w:val="20"/>
                <w:szCs w:val="20"/>
                <w:color w:val="auto"/>
              </w:rPr>
            </w:pPr>
            <w:r>
              <w:rPr>
                <w:rFonts w:ascii="Arial" w:cs="Arial" w:eastAsia="Arial" w:hAnsi="Arial"/>
                <w:sz w:val="18"/>
                <w:szCs w:val="18"/>
                <w:color w:val="auto"/>
              </w:rPr>
              <w:t>Utah:</w:t>
            </w: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Salt Lake City</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Provo</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00"/>
              <w:spacing w:after="0"/>
              <w:rPr>
                <w:sz w:val="20"/>
                <w:szCs w:val="20"/>
                <w:color w:val="auto"/>
              </w:rPr>
            </w:pPr>
            <w:r>
              <w:rPr>
                <w:rFonts w:ascii="Arial" w:cs="Arial" w:eastAsia="Arial" w:hAnsi="Arial"/>
                <w:sz w:val="18"/>
                <w:szCs w:val="18"/>
                <w:color w:val="auto"/>
              </w:rPr>
              <w:t>Total Utah</w:t>
            </w:r>
          </w:p>
        </w:tc>
        <w:tc>
          <w:tcPr>
            <w:tcW w:w="4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Idaho:</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Boise</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Idaho Falls</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Other Areas</w:t>
            </w:r>
          </w:p>
        </w:tc>
        <w:tc>
          <w:tcPr>
            <w:tcW w:w="4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Idaho</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520" w:type="dxa"/>
            <w:vAlign w:val="bottom"/>
          </w:tcPr>
          <w:p>
            <w:pPr>
              <w:jc w:val="right"/>
              <w:ind w:right="243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tcBorders>
              <w:bottom w:val="single" w:sz="8" w:color="808080"/>
            </w:tcBorders>
          </w:tcPr>
          <w:p>
            <w:pPr>
              <w:spacing w:after="0"/>
              <w:rPr>
                <w:sz w:val="18"/>
                <w:szCs w:val="18"/>
                <w:color w:val="auto"/>
              </w:rPr>
            </w:pPr>
          </w:p>
        </w:tc>
        <w:tc>
          <w:tcPr>
            <w:tcW w:w="45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rPr>
              <w:t>Pawn</w:t>
            </w:r>
          </w:p>
        </w:tc>
        <w:tc>
          <w:tcPr>
            <w:tcW w:w="5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rPr>
              <w:t>EZMONEY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5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0" w:type="dxa"/>
            <w:vAlign w:val="bottom"/>
          </w:tcPr>
          <w:p>
            <w:pPr>
              <w:spacing w:after="0"/>
              <w:rPr>
                <w:sz w:val="1"/>
                <w:szCs w:val="1"/>
                <w:color w:val="auto"/>
              </w:rPr>
            </w:pPr>
          </w:p>
        </w:tc>
      </w:tr>
      <w:tr>
        <w:trPr>
          <w:trHeight w:val="157"/>
        </w:trPr>
        <w:tc>
          <w:tcPr>
            <w:tcW w:w="3780" w:type="dxa"/>
            <w:vAlign w:val="bottom"/>
            <w:gridSpan w:val="2"/>
          </w:tcPr>
          <w:p>
            <w:pPr>
              <w:spacing w:after="0" w:line="157" w:lineRule="exact"/>
              <w:rPr>
                <w:sz w:val="20"/>
                <w:szCs w:val="20"/>
                <w:color w:val="auto"/>
              </w:rPr>
            </w:pPr>
            <w:r>
              <w:rPr>
                <w:rFonts w:ascii="Arial" w:cs="Arial" w:eastAsia="Arial" w:hAnsi="Arial"/>
                <w:sz w:val="14"/>
                <w:szCs w:val="14"/>
                <w:color w:val="auto"/>
              </w:rPr>
              <w:t>Region/Area</w:t>
            </w:r>
          </w:p>
        </w:tc>
        <w:tc>
          <w:tcPr>
            <w:tcW w:w="4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560" w:type="dxa"/>
            <w:vAlign w:val="bottom"/>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Florida:</w:t>
            </w:r>
          </w:p>
        </w:tc>
        <w:tc>
          <w:tcPr>
            <w:tcW w:w="474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Tampa</w:t>
            </w:r>
          </w:p>
        </w:tc>
        <w:tc>
          <w:tcPr>
            <w:tcW w:w="620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9</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Orlando</w:t>
            </w:r>
          </w:p>
        </w:tc>
        <w:tc>
          <w:tcPr>
            <w:tcW w:w="620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Other Areas</w:t>
            </w:r>
          </w:p>
        </w:tc>
        <w:tc>
          <w:tcPr>
            <w:tcW w:w="5660" w:type="dxa"/>
            <w:vAlign w:val="bottom"/>
            <w:gridSpan w:val="3"/>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Florida</w:t>
            </w:r>
          </w:p>
        </w:tc>
        <w:tc>
          <w:tcPr>
            <w:tcW w:w="6200" w:type="dxa"/>
            <w:vAlign w:val="bottom"/>
            <w:gridSpan w:val="5"/>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05"/>
        </w:trPr>
        <w:tc>
          <w:tcPr>
            <w:tcW w:w="378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Omaha</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Lincoln</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Nebraska</w:t>
            </w:r>
          </w:p>
        </w:tc>
        <w:tc>
          <w:tcPr>
            <w:tcW w:w="4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Kansas:</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Topeka</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Kansas City</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Wichita</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Kansas</w:t>
            </w:r>
          </w:p>
        </w:tc>
        <w:tc>
          <w:tcPr>
            <w:tcW w:w="4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Indiana:</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Indianapolis</w:t>
            </w:r>
          </w:p>
        </w:tc>
        <w:tc>
          <w:tcPr>
            <w:tcW w:w="620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5660" w:type="dxa"/>
            <w:vAlign w:val="bottom"/>
            <w:gridSpan w:val="3"/>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Indiana</w:t>
            </w:r>
          </w:p>
        </w:tc>
        <w:tc>
          <w:tcPr>
            <w:tcW w:w="6200" w:type="dxa"/>
            <w:vAlign w:val="bottom"/>
            <w:gridSpan w:val="5"/>
          </w:tcPr>
          <w:p>
            <w:pPr>
              <w:jc w:val="right"/>
              <w:ind w:right="3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Alabama:</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Birmingham Area</w:t>
            </w:r>
          </w:p>
        </w:tc>
        <w:tc>
          <w:tcPr>
            <w:tcW w:w="620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5660" w:type="dxa"/>
            <w:vAlign w:val="bottom"/>
            <w:gridSpan w:val="3"/>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Alabama</w:t>
            </w:r>
          </w:p>
        </w:tc>
        <w:tc>
          <w:tcPr>
            <w:tcW w:w="5660" w:type="dxa"/>
            <w:vAlign w:val="bottom"/>
            <w:gridSpan w:val="3"/>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Missouri:</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Central</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 Charles</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Kansas City</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Missouri</w:t>
            </w:r>
          </w:p>
        </w:tc>
        <w:tc>
          <w:tcPr>
            <w:tcW w:w="4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South Dakota:</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Sioux Falls</w:t>
            </w:r>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South Dakota</w:t>
            </w:r>
          </w:p>
        </w:tc>
        <w:tc>
          <w:tcPr>
            <w:tcW w:w="4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Nevada:</w:t>
            </w:r>
          </w:p>
        </w:tc>
        <w:tc>
          <w:tcPr>
            <w:tcW w:w="4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200"/>
              <w:spacing w:after="0" w:line="202" w:lineRule="exact"/>
              <w:rPr>
                <w:sz w:val="20"/>
                <w:szCs w:val="20"/>
                <w:color w:val="auto"/>
              </w:rPr>
            </w:pPr>
            <w:r>
              <w:rPr>
                <w:rFonts w:ascii="Arial" w:cs="Arial" w:eastAsia="Arial" w:hAnsi="Arial"/>
                <w:sz w:val="18"/>
                <w:szCs w:val="18"/>
                <w:color w:val="auto"/>
              </w:rPr>
              <w:t>Las Vegas</w:t>
            </w:r>
          </w:p>
        </w:tc>
        <w:tc>
          <w:tcPr>
            <w:tcW w:w="5660" w:type="dxa"/>
            <w:vAlign w:val="bottom"/>
            <w:gridSpan w:val="3"/>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Nevada</w:t>
            </w:r>
          </w:p>
        </w:tc>
        <w:tc>
          <w:tcPr>
            <w:tcW w:w="5660" w:type="dxa"/>
            <w:vAlign w:val="bottom"/>
            <w:gridSpan w:val="3"/>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05"/>
        </w:trPr>
        <w:tc>
          <w:tcPr>
            <w:tcW w:w="378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Memphis</w:t>
            </w:r>
          </w:p>
        </w:tc>
        <w:tc>
          <w:tcPr>
            <w:tcW w:w="5660" w:type="dxa"/>
            <w:vAlign w:val="bottom"/>
            <w:gridSpan w:val="3"/>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Tennessee</w:t>
            </w:r>
          </w:p>
        </w:tc>
        <w:tc>
          <w:tcPr>
            <w:tcW w:w="5660" w:type="dxa"/>
            <w:vAlign w:val="bottom"/>
            <w:gridSpan w:val="3"/>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740" w:type="dxa"/>
            <w:vAlign w:val="bottom"/>
          </w:tcPr>
          <w:p>
            <w:pPr>
              <w:jc w:val="right"/>
              <w:ind w:right="261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47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color w:val="auto"/>
              </w:rPr>
              <w:t>Pawn</w:t>
            </w: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EZMONEY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5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rPr>
              <w:t>Stores in</w:t>
            </w:r>
          </w:p>
        </w:tc>
        <w:tc>
          <w:tcPr>
            <w:tcW w:w="0" w:type="dxa"/>
            <w:vAlign w:val="bottom"/>
          </w:tcPr>
          <w:p>
            <w:pPr>
              <w:spacing w:after="0"/>
              <w:rPr>
                <w:sz w:val="1"/>
                <w:szCs w:val="1"/>
                <w:color w:val="auto"/>
              </w:rPr>
            </w:pPr>
          </w:p>
        </w:tc>
      </w:tr>
      <w:tr>
        <w:trPr>
          <w:trHeight w:val="157"/>
        </w:trPr>
        <w:tc>
          <w:tcPr>
            <w:tcW w:w="8340" w:type="dxa"/>
            <w:vAlign w:val="bottom"/>
            <w:gridSpan w:val="2"/>
          </w:tcPr>
          <w:p>
            <w:pPr>
              <w:spacing w:after="0" w:line="157" w:lineRule="exact"/>
              <w:rPr>
                <w:sz w:val="20"/>
                <w:szCs w:val="20"/>
                <w:color w:val="auto"/>
              </w:rPr>
            </w:pPr>
            <w:r>
              <w:rPr>
                <w:rFonts w:ascii="Arial" w:cs="Arial" w:eastAsia="Arial" w:hAnsi="Arial"/>
                <w:sz w:val="14"/>
                <w:szCs w:val="14"/>
                <w:color w:val="auto"/>
              </w:rPr>
              <w:t>Region/Area</w:t>
            </w:r>
          </w:p>
        </w:tc>
        <w:tc>
          <w:tcPr>
            <w:tcW w:w="560" w:type="dxa"/>
            <w:vAlign w:val="bottom"/>
          </w:tcPr>
          <w:p>
            <w:pPr>
              <w:spacing w:after="0"/>
              <w:rPr>
                <w:sz w:val="13"/>
                <w:szCs w:val="13"/>
                <w:color w:val="auto"/>
              </w:rPr>
            </w:pPr>
          </w:p>
        </w:tc>
        <w:tc>
          <w:tcPr>
            <w:tcW w:w="9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560" w:type="dxa"/>
            <w:vAlign w:val="bottom"/>
          </w:tcPr>
          <w:p>
            <w:pPr>
              <w:spacing w:after="0"/>
              <w:rPr>
                <w:sz w:val="13"/>
                <w:szCs w:val="13"/>
                <w:color w:val="auto"/>
              </w:rPr>
            </w:pPr>
          </w:p>
        </w:tc>
        <w:tc>
          <w:tcPr>
            <w:tcW w:w="98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Each Area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Louisiana:</w:t>
            </w: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New Orleans Area</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90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Total Louisiana</w:t>
            </w:r>
          </w:p>
        </w:tc>
        <w:tc>
          <w:tcPr>
            <w:tcW w:w="900" w:type="dxa"/>
            <w:vAlign w:val="bottom"/>
            <w:gridSpan w:val="2"/>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Mississippi:</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Jackson</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Areas</w:t>
            </w:r>
          </w:p>
        </w:tc>
        <w:tc>
          <w:tcPr>
            <w:tcW w:w="90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Total Mississippi</w:t>
            </w:r>
          </w:p>
        </w:tc>
        <w:tc>
          <w:tcPr>
            <w:tcW w:w="900" w:type="dxa"/>
            <w:vAlign w:val="bottom"/>
            <w:gridSpan w:val="2"/>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Arkansas:</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West Helena</w:t>
            </w:r>
          </w:p>
        </w:tc>
        <w:tc>
          <w:tcPr>
            <w:tcW w:w="900" w:type="dxa"/>
            <w:vAlign w:val="bottom"/>
            <w:gridSpan w:val="2"/>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Arkansas</w:t>
            </w:r>
          </w:p>
        </w:tc>
        <w:tc>
          <w:tcPr>
            <w:tcW w:w="90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3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Mexico City</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Veracruz</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Bajio / León Area</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tcPr>
          <w:p>
            <w:pPr>
              <w:ind w:left="200"/>
              <w:spacing w:after="0" w:line="202" w:lineRule="exact"/>
              <w:rPr>
                <w:sz w:val="20"/>
                <w:szCs w:val="20"/>
                <w:color w:val="auto"/>
              </w:rPr>
            </w:pPr>
            <w:r>
              <w:rPr>
                <w:rFonts w:ascii="Arial" w:cs="Arial" w:eastAsia="Arial" w:hAnsi="Arial"/>
                <w:sz w:val="18"/>
                <w:szCs w:val="18"/>
                <w:color w:val="auto"/>
              </w:rPr>
              <w:t>Matamoros</w:t>
            </w:r>
          </w:p>
        </w:tc>
        <w:tc>
          <w:tcPr>
            <w:tcW w:w="154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Reynosa</w:t>
            </w:r>
          </w:p>
        </w:tc>
        <w:tc>
          <w:tcPr>
            <w:tcW w:w="90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Total Mexico</w:t>
            </w:r>
          </w:p>
        </w:tc>
        <w:tc>
          <w:tcPr>
            <w:tcW w:w="900" w:type="dxa"/>
            <w:vAlign w:val="bottom"/>
            <w:gridSpan w:val="2"/>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Company</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154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addition to our store locations, we lease our two Austin, Texas corporate offices totaling 39,500 square feet, and our 4,000 square foot Empeño Fácil corporate office in Queretaro, Mexico.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L</w:t>
      </w:r>
      <w:r>
        <w:rPr>
          <w:rFonts w:ascii="Arial" w:cs="Arial" w:eastAsia="Arial" w:hAnsi="Arial"/>
          <w:sz w:val="12"/>
          <w:szCs w:val="12"/>
          <w:b w:val="1"/>
          <w:bCs w:val="1"/>
          <w:color w:val="auto"/>
        </w:rPr>
        <w:t>EGAL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ROCEEDINGS</w:t>
      </w:r>
    </w:p>
    <w:p>
      <w:pPr>
        <w:spacing w:after="0" w:line="12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May 2007, the State of Texas filed suit against EZCORP, Inc. and our Texas affiliates in state district court alleging violations of the Texas Identity Theft statute, Deceptive Trade Practices Act, and a provision of the Business and Commerce Code by allegedly failing to safeguard and properly dispose of customers’ sensitive personal information. We are not aware of any customer that was harmed by our alleged actions, and have reviewed and enhanced our information security polices to address the State’s concerns. In June 2008, we reached a $0.6 million settlement of the lawsuit with the Attorney General’s Office, and agreed to a permanent injunction regarding the safeguarding and disposal of the customer information. The settlement was recorded as a charge to Administrative Expense in the current year.</w:t>
      </w:r>
    </w:p>
    <w:p>
      <w:pPr>
        <w:spacing w:after="0" w:line="9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Florida Office of Financial Regulation previously filed an administrative action against us alleging that our Florida credit service organization business model used in eleven stores adjoining EZPAWN locations violated state usury law. After a contested administrative hearing, the Office of Financial Regulation issued a cease and desist order against our credit services operations in Florida on June 12, 2008. 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June 13, 2008 we filed a Notice of Appeal with the First District Court of Appeal of Florida. To comply with the Office of Financial Regulation’s order pending the final outcome on appeal, we closed our eleven EZMONEY credit service organization stores in Florida. As a result of the closure of these stores, we recorded in the current year a loss on disposal of property and equipment of $0.2 million and a $0.5 million charge to EZMONEY Operating Income. The Operating income charge was comprised of a $0.2 million fee reduction, a $0.3 million bad debt charge for increases in loan defaults resulting from the closure, and a $38,000 charge for employee severance payments. We expect no further charges as a result of these store 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S</w:t>
      </w:r>
      <w:r>
        <w:rPr>
          <w:rFonts w:ascii="Arial" w:cs="Arial" w:eastAsia="Arial" w:hAnsi="Arial"/>
          <w:sz w:val="12"/>
          <w:szCs w:val="12"/>
          <w:b w:val="1"/>
          <w:bCs w:val="1"/>
          <w:color w:val="auto"/>
        </w:rPr>
        <w:t>UBMISSION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 TO A</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OTE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M</w:t>
      </w:r>
      <w:r>
        <w:rPr>
          <w:rFonts w:ascii="Arial" w:cs="Arial" w:eastAsia="Arial" w:hAnsi="Arial"/>
          <w:sz w:val="12"/>
          <w:szCs w:val="12"/>
          <w:b w:val="1"/>
          <w:bCs w:val="1"/>
          <w:color w:val="auto"/>
        </w:rPr>
        <w:t>ARKET FOR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QUITY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Since August 27, 1991, our Class A Non-voting Common Stock (“Class A Common Stock”) has traded on The NASDAQ Stock Market under the symbol EZPW. As of October 31, 2008, there were 107 stockholders of record of our Class A Common Stock. There is no trading market for our Class B Voting Common Stock (“Class B Common Stock”), which was held by one stockholder as of October 31, 2008.</w:t>
      </w:r>
    </w:p>
    <w:p>
      <w:pPr>
        <w:spacing w:after="0" w:line="9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The high and low per share closing price for our Class A Common Stock for the past two fiscal years, as reported by The NASDAQ Stock Market (adjusted to reflect a three-for-one stock split issued to shareholders as of November 27, 2006),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High</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Low</w:t>
            </w: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2007:</w:t>
            </w: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660" w:type="dxa"/>
            <w:vAlign w:val="bottom"/>
          </w:tcPr>
          <w:p>
            <w:pPr>
              <w:ind w:left="220"/>
              <w:spacing w:after="0" w:line="202" w:lineRule="exact"/>
              <w:rPr>
                <w:sz w:val="20"/>
                <w:szCs w:val="20"/>
                <w:color w:val="auto"/>
              </w:rPr>
            </w:pPr>
            <w:r>
              <w:rPr>
                <w:rFonts w:ascii="Arial" w:cs="Arial" w:eastAsia="Arial" w:hAnsi="Arial"/>
                <w:sz w:val="18"/>
                <w:szCs w:val="18"/>
                <w:color w:val="auto"/>
              </w:rPr>
              <w:t>First quarter ended December 31, 2006</w:t>
            </w:r>
          </w:p>
        </w:tc>
        <w:tc>
          <w:tcPr>
            <w:tcW w:w="11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$16.95</w:t>
            </w:r>
          </w:p>
        </w:tc>
        <w:tc>
          <w:tcPr>
            <w:tcW w:w="164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$11.64</w:t>
            </w:r>
          </w:p>
        </w:tc>
      </w:tr>
      <w:tr>
        <w:trPr>
          <w:trHeight w:val="203"/>
        </w:trPr>
        <w:tc>
          <w:tcPr>
            <w:tcW w:w="8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Second quarter ended March 31, 2007</w:t>
            </w:r>
          </w:p>
        </w:tc>
        <w:tc>
          <w:tcPr>
            <w:tcW w:w="11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17.05</w:t>
            </w:r>
          </w:p>
        </w:tc>
        <w:tc>
          <w:tcPr>
            <w:tcW w:w="16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13.54</w:t>
            </w:r>
          </w:p>
        </w:tc>
      </w:tr>
      <w:tr>
        <w:trPr>
          <w:trHeight w:val="203"/>
        </w:trPr>
        <w:tc>
          <w:tcPr>
            <w:tcW w:w="8660" w:type="dxa"/>
            <w:vAlign w:val="bottom"/>
          </w:tcPr>
          <w:p>
            <w:pPr>
              <w:ind w:left="220"/>
              <w:spacing w:after="0" w:line="202" w:lineRule="exact"/>
              <w:rPr>
                <w:sz w:val="20"/>
                <w:szCs w:val="20"/>
                <w:color w:val="auto"/>
              </w:rPr>
            </w:pPr>
            <w:r>
              <w:rPr>
                <w:rFonts w:ascii="Arial" w:cs="Arial" w:eastAsia="Arial" w:hAnsi="Arial"/>
                <w:sz w:val="18"/>
                <w:szCs w:val="18"/>
                <w:color w:val="auto"/>
              </w:rPr>
              <w:t>Third quarter ended June 30, 2007</w:t>
            </w:r>
          </w:p>
        </w:tc>
        <w:tc>
          <w:tcPr>
            <w:tcW w:w="11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16.68</w:t>
            </w:r>
          </w:p>
        </w:tc>
        <w:tc>
          <w:tcPr>
            <w:tcW w:w="164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12.82</w:t>
            </w:r>
          </w:p>
        </w:tc>
      </w:tr>
      <w:tr>
        <w:trPr>
          <w:trHeight w:val="203"/>
        </w:trPr>
        <w:tc>
          <w:tcPr>
            <w:tcW w:w="8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Fourth quarter ended September 30, 2007</w:t>
            </w:r>
          </w:p>
        </w:tc>
        <w:tc>
          <w:tcPr>
            <w:tcW w:w="11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13.57</w:t>
            </w:r>
          </w:p>
        </w:tc>
        <w:tc>
          <w:tcPr>
            <w:tcW w:w="16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10.46</w:t>
            </w:r>
          </w:p>
        </w:tc>
      </w:tr>
      <w:tr>
        <w:trPr>
          <w:trHeight w:val="405"/>
        </w:trPr>
        <w:tc>
          <w:tcPr>
            <w:tcW w:w="8660" w:type="dxa"/>
            <w:vAlign w:val="bottom"/>
          </w:tcPr>
          <w:p>
            <w:pPr>
              <w:spacing w:after="0"/>
              <w:rPr>
                <w:sz w:val="20"/>
                <w:szCs w:val="20"/>
                <w:color w:val="auto"/>
              </w:rPr>
            </w:pPr>
            <w:r>
              <w:rPr>
                <w:rFonts w:ascii="Arial" w:cs="Arial" w:eastAsia="Arial" w:hAnsi="Arial"/>
                <w:sz w:val="18"/>
                <w:szCs w:val="18"/>
                <w:color w:val="auto"/>
              </w:rPr>
              <w:t>Fiscal 2008:</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8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 quarter ended December 31, 2007</w:t>
            </w:r>
          </w:p>
        </w:tc>
        <w:tc>
          <w:tcPr>
            <w:tcW w:w="11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$14.75</w:t>
            </w:r>
          </w:p>
        </w:tc>
        <w:tc>
          <w:tcPr>
            <w:tcW w:w="16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$11.05</w:t>
            </w:r>
          </w:p>
        </w:tc>
      </w:tr>
      <w:tr>
        <w:trPr>
          <w:trHeight w:val="203"/>
        </w:trPr>
        <w:tc>
          <w:tcPr>
            <w:tcW w:w="8660" w:type="dxa"/>
            <w:vAlign w:val="bottom"/>
          </w:tcPr>
          <w:p>
            <w:pPr>
              <w:ind w:left="220"/>
              <w:spacing w:after="0" w:line="202" w:lineRule="exact"/>
              <w:rPr>
                <w:sz w:val="20"/>
                <w:szCs w:val="20"/>
                <w:color w:val="auto"/>
              </w:rPr>
            </w:pPr>
            <w:r>
              <w:rPr>
                <w:rFonts w:ascii="Arial" w:cs="Arial" w:eastAsia="Arial" w:hAnsi="Arial"/>
                <w:sz w:val="18"/>
                <w:szCs w:val="18"/>
                <w:color w:val="auto"/>
              </w:rPr>
              <w:t>Second quarter ended March 31, 2008</w:t>
            </w:r>
          </w:p>
        </w:tc>
        <w:tc>
          <w:tcPr>
            <w:tcW w:w="11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13.45</w:t>
            </w:r>
          </w:p>
        </w:tc>
        <w:tc>
          <w:tcPr>
            <w:tcW w:w="164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10.40</w:t>
            </w:r>
          </w:p>
        </w:tc>
      </w:tr>
      <w:tr>
        <w:trPr>
          <w:trHeight w:val="203"/>
        </w:trPr>
        <w:tc>
          <w:tcPr>
            <w:tcW w:w="8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Third quarter ended June 30, 2008</w:t>
            </w:r>
          </w:p>
        </w:tc>
        <w:tc>
          <w:tcPr>
            <w:tcW w:w="11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14.70</w:t>
            </w:r>
          </w:p>
        </w:tc>
        <w:tc>
          <w:tcPr>
            <w:tcW w:w="16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11.89</w:t>
            </w:r>
          </w:p>
        </w:tc>
      </w:tr>
      <w:tr>
        <w:trPr>
          <w:trHeight w:val="217"/>
        </w:trPr>
        <w:tc>
          <w:tcPr>
            <w:tcW w:w="8660" w:type="dxa"/>
            <w:vAlign w:val="bottom"/>
          </w:tcPr>
          <w:p>
            <w:pPr>
              <w:ind w:left="220"/>
              <w:spacing w:after="0"/>
              <w:rPr>
                <w:sz w:val="20"/>
                <w:szCs w:val="20"/>
                <w:color w:val="auto"/>
              </w:rPr>
            </w:pPr>
            <w:r>
              <w:rPr>
                <w:rFonts w:ascii="Arial" w:cs="Arial" w:eastAsia="Arial" w:hAnsi="Arial"/>
                <w:sz w:val="18"/>
                <w:szCs w:val="18"/>
                <w:color w:val="auto"/>
              </w:rPr>
              <w:t>Fourth quarter ended September 30, 2008</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18.80</w:t>
            </w:r>
          </w:p>
        </w:tc>
        <w:tc>
          <w:tcPr>
            <w:tcW w:w="1640" w:type="dxa"/>
            <w:vAlign w:val="bottom"/>
            <w:gridSpan w:val="2"/>
          </w:tcPr>
          <w:p>
            <w:pPr>
              <w:jc w:val="right"/>
              <w:ind w:right="248"/>
              <w:spacing w:after="0"/>
              <w:rPr>
                <w:sz w:val="20"/>
                <w:szCs w:val="20"/>
                <w:color w:val="auto"/>
              </w:rPr>
            </w:pPr>
            <w:r>
              <w:rPr>
                <w:rFonts w:ascii="Arial" w:cs="Arial" w:eastAsia="Arial" w:hAnsi="Arial"/>
                <w:sz w:val="18"/>
                <w:szCs w:val="18"/>
                <w:color w:val="auto"/>
              </w:rPr>
              <w:t>12.87</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On October 31, 2008, our Class A Common Stock closed at $15.84 per share.</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During the past three fiscal years, we have not declared or paid any dividends. Under the terms of our credit agreement, which matures October 1, 2009, payment of dividends is allowed but restricted. Should we pay dividends in the future, our certificate of incorporation provides that cash dividends on common stock, when declared, must be declared and paid at the same per share amounts on both classes of stock.</w:t>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 xml:space="preserve">Any interested party may request a copy of this Annual Report on Form 10-K free of charge by submitting a written request to EZCORP, Inc., Investor Relations, 1901 Capital Parkway, Austin, Texas 78746, by e-mail to </w:t>
      </w:r>
      <w:r>
        <w:rPr>
          <w:rFonts w:ascii="Arial" w:cs="Arial" w:eastAsia="Arial" w:hAnsi="Arial"/>
          <w:sz w:val="18"/>
          <w:szCs w:val="18"/>
          <w:u w:val="single" w:color="auto"/>
          <w:color w:val="auto"/>
        </w:rPr>
        <w:t>investorrelations@ezcorp.com</w:t>
      </w:r>
      <w:r>
        <w:rPr>
          <w:rFonts w:ascii="Arial" w:cs="Arial" w:eastAsia="Arial" w:hAnsi="Arial"/>
          <w:sz w:val="18"/>
          <w:szCs w:val="18"/>
          <w:color w:val="auto"/>
        </w:rPr>
        <w:t xml:space="preserve">, or by printing a copy from the Investor Relations section of our website at </w:t>
      </w:r>
      <w:r>
        <w:rPr>
          <w:rFonts w:ascii="Arial" w:cs="Arial" w:eastAsia="Arial" w:hAnsi="Arial"/>
          <w:sz w:val="18"/>
          <w:szCs w:val="18"/>
          <w:u w:val="single" w:color="auto"/>
          <w:color w:val="auto"/>
        </w:rPr>
        <w:t>www.ezcorp.com</w:t>
      </w:r>
      <w:r>
        <w:rPr>
          <w:rFonts w:ascii="Arial" w:cs="Arial" w:eastAsia="Arial" w:hAnsi="Arial"/>
          <w:sz w:val="18"/>
          <w:szCs w:val="18"/>
          <w:color w:val="auto"/>
        </w:rPr>
        <w:t xml:space="preserve">. The Code of Conduct and Ethics, Audit Committee Charter and Compensation Committee Charter also may be obtained from the Investor Relations section of our website at </w:t>
      </w:r>
      <w:r>
        <w:rPr>
          <w:rFonts w:ascii="Arial" w:cs="Arial" w:eastAsia="Arial" w:hAnsi="Arial"/>
          <w:sz w:val="18"/>
          <w:szCs w:val="18"/>
          <w:u w:val="single" w:color="auto"/>
          <w:color w:val="auto"/>
        </w:rPr>
        <w:t>www.ezcorp.com</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26"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The following table compares cumulative total shareholder returns for our Class A Non-voting Common Stock for the period September 30, 2003 through September 30, 2008 with the cumulative total return on the NASDAQ Composite Index (ticker symbol IXIC) and the NASDAQ Other Financial Index (ticker symbol IXFN) over the same period. The graph assumes $100 was invested in each on 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60960</wp:posOffset>
            </wp:positionV>
            <wp:extent cx="5042535" cy="257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4253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i w:val="1"/>
          <w:iCs w:val="1"/>
          <w:color w:val="auto"/>
        </w:rPr>
        <w:t>The Stock Performance Graph above and related information does not constitute “soliciting material” and will not be deemed “filed” or incorporated by reference into any future filing under the Securities Act of 1933, as amended, or the Securities Exchange Act of 1934, as amended, except to the extent that we specifically incorporate it by reference into such filing.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Securities authorized under equity compensation plans as of September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color w:val="auto"/>
              </w:rPr>
              <w:t>Number of Securities Remaining</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80" w:type="dxa"/>
            <w:vAlign w:val="bottom"/>
            <w:gridSpan w:val="3"/>
          </w:tcPr>
          <w:p>
            <w:pPr>
              <w:jc w:val="center"/>
              <w:ind w:left="79"/>
              <w:spacing w:after="0"/>
              <w:rPr>
                <w:sz w:val="20"/>
                <w:szCs w:val="20"/>
                <w:color w:val="auto"/>
              </w:rPr>
            </w:pPr>
            <w:r>
              <w:rPr>
                <w:rFonts w:ascii="Arial" w:cs="Arial" w:eastAsia="Arial" w:hAnsi="Arial"/>
                <w:sz w:val="14"/>
                <w:szCs w:val="14"/>
                <w:color w:val="auto"/>
              </w:rPr>
              <w:t>Number of Securities</w:t>
            </w:r>
          </w:p>
        </w:tc>
        <w:tc>
          <w:tcPr>
            <w:tcW w:w="1660" w:type="dxa"/>
            <w:vAlign w:val="bottom"/>
            <w:gridSpan w:val="4"/>
          </w:tcPr>
          <w:p>
            <w:pPr>
              <w:jc w:val="center"/>
              <w:spacing w:after="0"/>
              <w:rPr>
                <w:sz w:val="20"/>
                <w:szCs w:val="20"/>
                <w:color w:val="auto"/>
              </w:rPr>
            </w:pPr>
            <w:r>
              <w:rPr>
                <w:rFonts w:ascii="Arial" w:cs="Arial" w:eastAsia="Arial" w:hAnsi="Arial"/>
                <w:sz w:val="14"/>
                <w:szCs w:val="14"/>
                <w:color w:val="auto"/>
              </w:rPr>
              <w:t>Weighted Average</w:t>
            </w:r>
          </w:p>
        </w:tc>
        <w:tc>
          <w:tcPr>
            <w:tcW w:w="2620" w:type="dxa"/>
            <w:vAlign w:val="bottom"/>
            <w:gridSpan w:val="3"/>
          </w:tcPr>
          <w:p>
            <w:pPr>
              <w:jc w:val="center"/>
              <w:ind w:left="88"/>
              <w:spacing w:after="0"/>
              <w:rPr>
                <w:sz w:val="20"/>
                <w:szCs w:val="20"/>
                <w:color w:val="auto"/>
              </w:rPr>
            </w:pPr>
            <w:r>
              <w:rPr>
                <w:rFonts w:ascii="Arial" w:cs="Arial" w:eastAsia="Arial" w:hAnsi="Arial"/>
                <w:sz w:val="14"/>
                <w:szCs w:val="14"/>
                <w:color w:val="auto"/>
              </w:rPr>
              <w:t>Available for Future Issuance Under</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color w:val="auto"/>
              </w:rPr>
              <w:t>to be Issued Upon</w:t>
            </w:r>
          </w:p>
        </w:tc>
        <w:tc>
          <w:tcPr>
            <w:tcW w:w="240" w:type="dxa"/>
            <w:vAlign w:val="bottom"/>
          </w:tcPr>
          <w:p>
            <w:pPr>
              <w:spacing w:after="0"/>
              <w:rPr>
                <w:sz w:val="14"/>
                <w:szCs w:val="1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color w:val="auto"/>
              </w:rPr>
              <w:t>Exercise Price of</w:t>
            </w:r>
          </w:p>
        </w:tc>
        <w:tc>
          <w:tcPr>
            <w:tcW w:w="24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Compensation Plans</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color w:val="auto"/>
              </w:rPr>
              <w:t>Exercise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rPr>
              <w:t>Outstanding</w:t>
            </w:r>
          </w:p>
        </w:tc>
        <w:tc>
          <w:tcPr>
            <w:tcW w:w="24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4"/>
                <w:szCs w:val="14"/>
                <w:color w:val="auto"/>
              </w:rPr>
              <w:t>(Excluding Securities Reflected in</w:t>
            </w: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color w:val="auto"/>
              </w:rPr>
              <w:t>Outstanding Options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color w:val="auto"/>
              </w:rPr>
              <w:t>Option</w:t>
            </w:r>
          </w:p>
        </w:tc>
        <w:tc>
          <w:tcPr>
            <w:tcW w:w="24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color w:val="auto"/>
              </w:rPr>
              <w:t>Column (a))</w:t>
            </w:r>
          </w:p>
        </w:tc>
      </w:tr>
      <w:tr>
        <w:trPr>
          <w:trHeight w:val="157"/>
        </w:trPr>
        <w:tc>
          <w:tcPr>
            <w:tcW w:w="5160" w:type="dxa"/>
            <w:vAlign w:val="bottom"/>
            <w:gridSpan w:val="2"/>
          </w:tcPr>
          <w:p>
            <w:pPr>
              <w:spacing w:after="0" w:line="157" w:lineRule="exact"/>
              <w:rPr>
                <w:sz w:val="20"/>
                <w:szCs w:val="20"/>
                <w:color w:val="auto"/>
              </w:rPr>
            </w:pPr>
            <w:r>
              <w:rPr>
                <w:rFonts w:ascii="Arial" w:cs="Arial" w:eastAsia="Arial" w:hAnsi="Arial"/>
                <w:sz w:val="14"/>
                <w:szCs w:val="14"/>
                <w:color w:val="auto"/>
              </w:rPr>
              <w:t>Plan Category</w:t>
            </w:r>
          </w:p>
        </w:tc>
        <w:tc>
          <w:tcPr>
            <w:tcW w:w="400" w:type="dxa"/>
            <w:vAlign w:val="bottom"/>
          </w:tcPr>
          <w:p>
            <w:pPr>
              <w:spacing w:after="0"/>
              <w:rPr>
                <w:sz w:val="13"/>
                <w:szCs w:val="13"/>
                <w:color w:val="auto"/>
              </w:rPr>
            </w:pPr>
          </w:p>
        </w:tc>
        <w:tc>
          <w:tcPr>
            <w:tcW w:w="15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rPr>
              <w:t>(a)</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line="157" w:lineRule="exact"/>
              <w:rPr>
                <w:sz w:val="20"/>
                <w:szCs w:val="20"/>
                <w:color w:val="auto"/>
              </w:rPr>
            </w:pPr>
            <w:r>
              <w:rPr>
                <w:rFonts w:ascii="Arial" w:cs="Arial" w:eastAsia="Arial" w:hAnsi="Arial"/>
                <w:sz w:val="14"/>
                <w:szCs w:val="14"/>
                <w:color w:val="auto"/>
              </w:rPr>
              <w:t>(b)</w:t>
            </w:r>
          </w:p>
        </w:tc>
        <w:tc>
          <w:tcPr>
            <w:tcW w:w="240" w:type="dxa"/>
            <w:vAlign w:val="bottom"/>
          </w:tcPr>
          <w:p>
            <w:pPr>
              <w:spacing w:after="0"/>
              <w:rPr>
                <w:sz w:val="13"/>
                <w:szCs w:val="13"/>
                <w:color w:val="auto"/>
              </w:rPr>
            </w:pPr>
          </w:p>
        </w:tc>
        <w:tc>
          <w:tcPr>
            <w:tcW w:w="238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7"/>
              </w:rPr>
              <w:t>(c)</w:t>
            </w: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40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2,307,366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413,584</w:t>
            </w:r>
          </w:p>
        </w:tc>
        <w:tc>
          <w:tcPr>
            <w:tcW w:w="100" w:type="dxa"/>
            <w:vAlign w:val="bottom"/>
            <w:shd w:val="clear" w:color="auto" w:fill="CCEEFF"/>
          </w:tcPr>
          <w:p>
            <w:pPr>
              <w:spacing w:after="0"/>
              <w:rPr>
                <w:sz w:val="17"/>
                <w:szCs w:val="17"/>
                <w:color w:val="auto"/>
              </w:rPr>
            </w:pPr>
          </w:p>
        </w:tc>
      </w:tr>
      <w:tr>
        <w:trPr>
          <w:trHeight w:val="412"/>
        </w:trPr>
        <w:tc>
          <w:tcPr>
            <w:tcW w:w="51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2,307,366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413,584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740" w:type="dxa"/>
            <w:vAlign w:val="bottom"/>
            <w:gridSpan w:val="2"/>
          </w:tcPr>
          <w:p>
            <w:pPr>
              <w:jc w:val="right"/>
              <w:ind w:right="100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1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S</w:t>
      </w:r>
      <w:r>
        <w:rPr>
          <w:rFonts w:ascii="Arial" w:cs="Arial" w:eastAsia="Arial" w:hAnsi="Arial"/>
          <w:sz w:val="12"/>
          <w:szCs w:val="12"/>
          <w:b w:val="1"/>
          <w:bCs w:val="1"/>
          <w:color w:val="auto"/>
        </w:rPr>
        <w:t>ELECTED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ATA</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following selected financial information should be read in conjunction with, and is qualified in its entirety by the accompanying consolidated financial statements and related notes: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0"/>
          </w:tcPr>
          <w:p>
            <w:pPr>
              <w:jc w:val="center"/>
              <w:ind w:left="216"/>
              <w:spacing w:after="0"/>
              <w:rPr>
                <w:sz w:val="20"/>
                <w:szCs w:val="20"/>
                <w:color w:val="auto"/>
              </w:rPr>
            </w:pPr>
            <w:r>
              <w:rPr>
                <w:rFonts w:ascii="Arial" w:cs="Arial" w:eastAsia="Arial" w:hAnsi="Arial"/>
                <w:sz w:val="14"/>
                <w:szCs w:val="14"/>
                <w:color w:val="auto"/>
              </w:rPr>
              <w:t>Fiscal Years Ended September 30,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2004</w:t>
            </w: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16"/>
              <w:spacing w:after="0" w:line="155" w:lineRule="exact"/>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0"/>
              </w:rPr>
              <w:t>thousands,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right="10"/>
              <w:spacing w:after="0" w:line="155" w:lineRule="exact"/>
              <w:rPr>
                <w:sz w:val="20"/>
                <w:szCs w:val="20"/>
                <w:color w:val="auto"/>
              </w:rPr>
            </w:pPr>
            <w:r>
              <w:rPr>
                <w:rFonts w:ascii="Arial" w:cs="Arial" w:eastAsia="Arial" w:hAnsi="Arial"/>
                <w:sz w:val="14"/>
                <w:szCs w:val="14"/>
                <w:color w:val="auto"/>
              </w:rPr>
              <w:t>2006</w:t>
            </w:r>
          </w:p>
        </w:tc>
        <w:tc>
          <w:tcPr>
            <w:tcW w:w="6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9"/>
              </w:rPr>
              <w:t>share and</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2007</w:t>
            </w:r>
          </w:p>
        </w:tc>
        <w:tc>
          <w:tcPr>
            <w:tcW w:w="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4"/>
          </w:tcPr>
          <w:p>
            <w:pPr>
              <w:jc w:val="right"/>
              <w:ind w:right="100"/>
              <w:spacing w:after="0" w:line="155" w:lineRule="exact"/>
              <w:rPr>
                <w:sz w:val="20"/>
                <w:szCs w:val="20"/>
                <w:color w:val="auto"/>
              </w:rPr>
            </w:pPr>
            <w:r>
              <w:rPr>
                <w:rFonts w:ascii="Arial" w:cs="Arial" w:eastAsia="Arial" w:hAnsi="Arial"/>
                <w:sz w:val="14"/>
                <w:szCs w:val="14"/>
                <w:i w:val="1"/>
                <w:iCs w:val="1"/>
                <w:color w:val="auto"/>
                <w:w w:val="88"/>
              </w:rPr>
              <w:t>(Amounts in</w:t>
            </w:r>
          </w:p>
        </w:tc>
        <w:tc>
          <w:tcPr>
            <w:tcW w:w="640" w:type="dxa"/>
            <w:vAlign w:val="bottom"/>
            <w:gridSpan w:val="2"/>
            <w:vMerge w:val="continue"/>
          </w:tcPr>
          <w:p>
            <w:pPr>
              <w:spacing w:after="0"/>
              <w:rPr>
                <w:sz w:val="13"/>
                <w:szCs w:val="13"/>
                <w:color w:val="auto"/>
              </w:rPr>
            </w:pPr>
          </w:p>
        </w:tc>
        <w:tc>
          <w:tcPr>
            <w:tcW w:w="780" w:type="dxa"/>
            <w:vAlign w:val="bottom"/>
            <w:gridSpan w:val="3"/>
          </w:tcPr>
          <w:p>
            <w:pPr>
              <w:jc w:val="center"/>
              <w:spacing w:after="0" w:line="155" w:lineRule="exact"/>
              <w:rPr>
                <w:sz w:val="20"/>
                <w:szCs w:val="20"/>
                <w:color w:val="auto"/>
              </w:rPr>
            </w:pPr>
            <w:r>
              <w:rPr>
                <w:rFonts w:ascii="Arial" w:cs="Arial" w:eastAsia="Arial" w:hAnsi="Arial"/>
                <w:sz w:val="14"/>
                <w:szCs w:val="14"/>
                <w:i w:val="1"/>
                <w:iCs w:val="1"/>
                <w:color w:val="auto"/>
              </w:rPr>
              <w:t>except per</w:t>
            </w:r>
          </w:p>
        </w:tc>
        <w:tc>
          <w:tcPr>
            <w:tcW w:w="640" w:type="dxa"/>
            <w:vAlign w:val="bottom"/>
            <w:gridSpan w:val="2"/>
            <w:vMerge w:val="continue"/>
          </w:tcPr>
          <w:p>
            <w:pPr>
              <w:spacing w:after="0"/>
              <w:rPr>
                <w:sz w:val="13"/>
                <w:szCs w:val="13"/>
                <w:color w:val="auto"/>
              </w:rPr>
            </w:pPr>
          </w:p>
        </w:tc>
        <w:tc>
          <w:tcPr>
            <w:tcW w:w="78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w w:val="90"/>
              </w:rPr>
              <w:t>store figures)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Data:</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Sales</w:t>
            </w:r>
          </w:p>
        </w:tc>
        <w:tc>
          <w:tcPr>
            <w:tcW w:w="2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w w:val="98"/>
              </w:rPr>
              <w:t>143,472</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w w:val="98"/>
              </w:rPr>
              <w:t>148,410</w:t>
            </w:r>
          </w:p>
        </w:tc>
        <w:tc>
          <w:tcPr>
            <w:tcW w:w="1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$177,424</w:t>
            </w:r>
          </w:p>
        </w:tc>
        <w:tc>
          <w:tcPr>
            <w:tcW w:w="160" w:type="dxa"/>
            <w:vAlign w:val="bottom"/>
          </w:tcPr>
          <w:p>
            <w:pPr>
              <w:spacing w:after="0"/>
              <w:rPr>
                <w:sz w:val="17"/>
                <w:szCs w:val="17"/>
                <w:color w:val="auto"/>
              </w:rPr>
            </w:pPr>
          </w:p>
        </w:tc>
        <w:tc>
          <w:tcPr>
            <w:tcW w:w="1600" w:type="dxa"/>
            <w:vAlign w:val="bottom"/>
            <w:gridSpan w:val="5"/>
          </w:tcPr>
          <w:p>
            <w:pPr>
              <w:jc w:val="right"/>
              <w:ind w:right="340"/>
              <w:spacing w:after="0" w:line="202" w:lineRule="exact"/>
              <w:rPr>
                <w:sz w:val="20"/>
                <w:szCs w:val="20"/>
                <w:color w:val="auto"/>
              </w:rPr>
            </w:pPr>
            <w:r>
              <w:rPr>
                <w:rFonts w:ascii="Arial" w:cs="Arial" w:eastAsia="Arial" w:hAnsi="Arial"/>
                <w:sz w:val="18"/>
                <w:szCs w:val="18"/>
                <w:color w:val="auto"/>
              </w:rPr>
              <w:t>$192,987</w:t>
            </w:r>
          </w:p>
        </w:tc>
        <w:tc>
          <w:tcPr>
            <w:tcW w:w="11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$232,560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Pawn service charges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59,090</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62,274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65,325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73,551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Signature loan fees</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23,874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42,200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71,840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w w:val="98"/>
              </w:rPr>
              <w:t>104,347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128,478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227,797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
              <w:spacing w:after="0"/>
              <w:rPr>
                <w:sz w:val="20"/>
                <w:szCs w:val="20"/>
                <w:color w:val="auto"/>
              </w:rPr>
            </w:pPr>
            <w:r>
              <w:rPr>
                <w:rFonts w:ascii="Arial" w:cs="Arial" w:eastAsia="Arial" w:hAnsi="Arial"/>
                <w:sz w:val="18"/>
                <w:szCs w:val="18"/>
                <w:color w:val="auto"/>
                <w:w w:val="98"/>
              </w:rPr>
              <w:t>254,159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315,852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372,215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457,403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88,202</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90,678</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106,873</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118,007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139,595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
              <w:spacing w:after="0"/>
              <w:rPr>
                <w:sz w:val="20"/>
                <w:szCs w:val="20"/>
                <w:color w:val="auto"/>
              </w:rPr>
            </w:pPr>
            <w:r>
              <w:rPr>
                <w:rFonts w:ascii="Arial" w:cs="Arial" w:eastAsia="Arial" w:hAnsi="Arial"/>
                <w:sz w:val="18"/>
                <w:szCs w:val="18"/>
                <w:color w:val="auto"/>
                <w:w w:val="98"/>
              </w:rPr>
              <w:t>163,481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208,979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254,208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318,001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 operating expenses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87,898</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97,079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111,738</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128,602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153,420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Signature loan bad debt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8,067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13,000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17,897</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28,508</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21,845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23,067</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27,749</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31,749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7,512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8,104</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8,610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9,812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loss on sale of assets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1,528</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1,275</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28"/>
              <w:spacing w:after="0" w:line="202" w:lineRule="exact"/>
              <w:rPr>
                <w:sz w:val="20"/>
                <w:szCs w:val="20"/>
                <w:color w:val="auto"/>
              </w:rPr>
            </w:pPr>
            <w:r>
              <w:rPr>
                <w:rFonts w:ascii="Arial" w:cs="Arial" w:eastAsia="Arial" w:hAnsi="Arial"/>
                <w:sz w:val="18"/>
                <w:szCs w:val="18"/>
                <w:color w:val="auto"/>
              </w:rPr>
              <w:t>(79)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(1,373)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unconsolidated affiliate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(1,739)</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(2,173)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(2,433)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(2,945)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cumulative effect of</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adopting a new accounting principle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14,481</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rPr>
              <w:t>23,050</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45,504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59,927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78,071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5,358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8,298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16,245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22,053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9,123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14,752</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29,259</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37,874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52,429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80" w:type="dxa"/>
            <w:vAlign w:val="bottom"/>
            <w:gridSpan w:val="2"/>
          </w:tcPr>
          <w:p>
            <w:pPr>
              <w:spacing w:after="0"/>
              <w:rPr>
                <w:sz w:val="20"/>
                <w:szCs w:val="20"/>
                <w:color w:val="auto"/>
              </w:rPr>
            </w:pPr>
            <w:r>
              <w:rPr>
                <w:rFonts w:ascii="Arial" w:cs="Arial" w:eastAsia="Arial" w:hAnsi="Arial"/>
                <w:sz w:val="18"/>
                <w:szCs w:val="18"/>
                <w:color w:val="auto"/>
              </w:rPr>
              <w:t>Earnings per common share, diluted</w:t>
            </w: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0.23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8"/>
              <w:spacing w:after="0"/>
              <w:rPr>
                <w:sz w:val="20"/>
                <w:szCs w:val="20"/>
                <w:color w:val="auto"/>
              </w:rPr>
            </w:pPr>
            <w:r>
              <w:rPr>
                <w:rFonts w:ascii="Arial" w:cs="Arial" w:eastAsia="Arial" w:hAnsi="Arial"/>
                <w:sz w:val="18"/>
                <w:szCs w:val="18"/>
                <w:color w:val="auto"/>
              </w:rPr>
              <w:t>0.36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24"/>
                <w:szCs w:val="24"/>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dividends per common share</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w w:val="99"/>
              </w:rPr>
              <w:t>Weighted average common shares and share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Arial" w:cs="Arial" w:eastAsia="Arial" w:hAnsi="Arial"/>
                <w:sz w:val="18"/>
                <w:szCs w:val="18"/>
                <w:color w:val="auto"/>
              </w:rPr>
              <w:t>equivalents, diluted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8"/>
                <w:szCs w:val="18"/>
                <w:color w:val="auto"/>
              </w:rPr>
              <w:t>39,366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8"/>
              <w:spacing w:after="0"/>
              <w:rPr>
                <w:sz w:val="20"/>
                <w:szCs w:val="20"/>
                <w:color w:val="auto"/>
              </w:rPr>
            </w:pPr>
            <w:r>
              <w:rPr>
                <w:rFonts w:ascii="Arial" w:cs="Arial" w:eastAsia="Arial" w:hAnsi="Arial"/>
                <w:sz w:val="18"/>
                <w:szCs w:val="18"/>
                <w:color w:val="auto"/>
              </w:rPr>
              <w:t>40,722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8"/>
              <w:spacing w:after="0"/>
              <w:rPr>
                <w:sz w:val="20"/>
                <w:szCs w:val="20"/>
                <w:color w:val="auto"/>
              </w:rPr>
            </w:pPr>
            <w:r>
              <w:rPr>
                <w:rFonts w:ascii="Arial" w:cs="Arial" w:eastAsia="Arial" w:hAnsi="Arial"/>
                <w:sz w:val="18"/>
                <w:szCs w:val="18"/>
                <w:color w:val="auto"/>
              </w:rPr>
              <w:t>42,264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43,230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43,327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Stores operated at end of period</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514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ind w:right="448"/>
              <w:spacing w:after="0"/>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2004</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2006</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gridSpan w:val="3"/>
          </w:tcPr>
          <w:p>
            <w:pPr>
              <w:jc w:val="right"/>
              <w:ind w:right="331"/>
              <w:spacing w:after="0" w:line="155" w:lineRule="exact"/>
              <w:rPr>
                <w:sz w:val="20"/>
                <w:szCs w:val="20"/>
                <w:color w:val="auto"/>
              </w:rPr>
            </w:pPr>
            <w:r>
              <w:rPr>
                <w:rFonts w:ascii="Arial" w:cs="Arial" w:eastAsia="Arial" w:hAnsi="Arial"/>
                <w:sz w:val="14"/>
                <w:szCs w:val="14"/>
                <w:color w:val="auto"/>
              </w:rPr>
              <w:t>2007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color w:val="auto"/>
                <w:w w:val="96"/>
              </w:rPr>
              <w:t>2008</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51"/>
              <w:spacing w:after="0" w:line="155" w:lineRule="exact"/>
              <w:rPr>
                <w:sz w:val="20"/>
                <w:szCs w:val="20"/>
                <w:color w:val="auto"/>
              </w:rPr>
            </w:pPr>
            <w:r>
              <w:rPr>
                <w:rFonts w:ascii="Arial" w:cs="Arial" w:eastAsia="Arial" w:hAnsi="Arial"/>
                <w:sz w:val="14"/>
                <w:szCs w:val="14"/>
                <w:i w:val="1"/>
                <w:iCs w:val="1"/>
                <w:color w:val="auto"/>
              </w:rPr>
              <w:t>(in thousands)</w:t>
            </w:r>
          </w:p>
        </w:tc>
        <w:tc>
          <w:tcPr>
            <w:tcW w:w="40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Pawn loans</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49,078</w:t>
            </w:r>
          </w:p>
        </w:tc>
        <w:tc>
          <w:tcPr>
            <w:tcW w:w="120" w:type="dxa"/>
            <w:vAlign w:val="bottom"/>
          </w:tcPr>
          <w:p>
            <w:pPr>
              <w:spacing w:after="0"/>
              <w:rPr>
                <w:sz w:val="17"/>
                <w:szCs w:val="17"/>
                <w:color w:val="auto"/>
              </w:rPr>
            </w:pPr>
          </w:p>
        </w:tc>
        <w:tc>
          <w:tcPr>
            <w:tcW w:w="740" w:type="dxa"/>
            <w:vAlign w:val="bottom"/>
            <w:gridSpan w:val="4"/>
          </w:tcPr>
          <w:p>
            <w:pPr>
              <w:ind w:left="6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52,864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$ 50,304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151"/>
              <w:spacing w:after="0" w:line="202" w:lineRule="exact"/>
              <w:rPr>
                <w:sz w:val="20"/>
                <w:szCs w:val="20"/>
                <w:color w:val="auto"/>
              </w:rPr>
            </w:pPr>
            <w:r>
              <w:rPr>
                <w:rFonts w:ascii="Arial" w:cs="Arial" w:eastAsia="Arial" w:hAnsi="Arial"/>
                <w:sz w:val="18"/>
                <w:szCs w:val="18"/>
                <w:color w:val="auto"/>
              </w:rPr>
              <w:t>$ 60,742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3"/>
          </w:tcPr>
          <w:p>
            <w:pPr>
              <w:jc w:val="right"/>
              <w:ind w:right="71"/>
              <w:spacing w:after="0" w:line="202" w:lineRule="exact"/>
              <w:rPr>
                <w:sz w:val="20"/>
                <w:szCs w:val="20"/>
                <w:color w:val="auto"/>
              </w:rPr>
            </w:pPr>
            <w:r>
              <w:rPr>
                <w:rFonts w:ascii="Arial" w:cs="Arial" w:eastAsia="Arial" w:hAnsi="Arial"/>
                <w:sz w:val="18"/>
                <w:szCs w:val="18"/>
                <w:color w:val="auto"/>
              </w:rPr>
              <w:t>$ 75,936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Payday loans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2,443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4,814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7,124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30,636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30,293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35,616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151"/>
              <w:spacing w:after="0" w:line="202" w:lineRule="exact"/>
              <w:rPr>
                <w:sz w:val="20"/>
                <w:szCs w:val="20"/>
                <w:color w:val="auto"/>
              </w:rPr>
            </w:pPr>
            <w:r>
              <w:rPr>
                <w:rFonts w:ascii="Arial" w:cs="Arial" w:eastAsia="Arial" w:hAnsi="Arial"/>
                <w:sz w:val="18"/>
                <w:szCs w:val="18"/>
                <w:color w:val="auto"/>
              </w:rPr>
              <w:t>37,942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3"/>
          </w:tcPr>
          <w:p>
            <w:pPr>
              <w:jc w:val="right"/>
              <w:ind w:right="71"/>
              <w:spacing w:after="0" w:line="202" w:lineRule="exact"/>
              <w:rPr>
                <w:sz w:val="20"/>
                <w:szCs w:val="20"/>
                <w:color w:val="auto"/>
              </w:rPr>
            </w:pPr>
            <w:r>
              <w:rPr>
                <w:rFonts w:ascii="Arial" w:cs="Arial" w:eastAsia="Arial" w:hAnsi="Arial"/>
                <w:sz w:val="18"/>
                <w:szCs w:val="18"/>
                <w:color w:val="auto"/>
              </w:rPr>
              <w:t>43,209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93,062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92,954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117,539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124,871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159,918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164,322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165,448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197,858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171"/>
              <w:spacing w:after="0" w:line="202" w:lineRule="exact"/>
              <w:rPr>
                <w:sz w:val="20"/>
                <w:szCs w:val="20"/>
                <w:color w:val="auto"/>
              </w:rPr>
            </w:pPr>
            <w:r>
              <w:rPr>
                <w:rFonts w:ascii="Arial" w:cs="Arial" w:eastAsia="Arial" w:hAnsi="Arial"/>
                <w:sz w:val="18"/>
                <w:szCs w:val="18"/>
                <w:color w:val="auto"/>
              </w:rPr>
              <w:t>251,186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3"/>
          </w:tcPr>
          <w:p>
            <w:pPr>
              <w:jc w:val="right"/>
              <w:ind w:right="71"/>
              <w:spacing w:after="0" w:line="202" w:lineRule="exact"/>
              <w:rPr>
                <w:sz w:val="20"/>
                <w:szCs w:val="20"/>
                <w:color w:val="auto"/>
              </w:rPr>
            </w:pPr>
            <w:r>
              <w:rPr>
                <w:rFonts w:ascii="Arial" w:cs="Arial" w:eastAsia="Arial" w:hAnsi="Arial"/>
                <w:sz w:val="18"/>
                <w:szCs w:val="18"/>
                <w:color w:val="auto"/>
              </w:rPr>
              <w:t>308,720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116,729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133,543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71"/>
              <w:spacing w:after="0"/>
              <w:rPr>
                <w:sz w:val="20"/>
                <w:szCs w:val="20"/>
                <w:color w:val="auto"/>
              </w:rPr>
            </w:pPr>
            <w:r>
              <w:rPr>
                <w:rFonts w:ascii="Arial" w:cs="Arial" w:eastAsia="Arial" w:hAnsi="Arial"/>
                <w:sz w:val="18"/>
                <w:szCs w:val="18"/>
                <w:color w:val="auto"/>
              </w:rPr>
              <w:t>170,140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71"/>
              <w:spacing w:after="0"/>
              <w:rPr>
                <w:sz w:val="20"/>
                <w:szCs w:val="20"/>
                <w:color w:val="auto"/>
              </w:rPr>
            </w:pPr>
            <w:r>
              <w:rPr>
                <w:rFonts w:ascii="Arial" w:cs="Arial" w:eastAsia="Arial" w:hAnsi="Arial"/>
                <w:sz w:val="18"/>
                <w:szCs w:val="18"/>
                <w:color w:val="auto"/>
              </w:rPr>
              <w:t>215,925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71"/>
              <w:spacing w:after="0"/>
              <w:rPr>
                <w:sz w:val="20"/>
                <w:szCs w:val="20"/>
                <w:color w:val="auto"/>
              </w:rPr>
            </w:pPr>
            <w:r>
              <w:rPr>
                <w:rFonts w:ascii="Arial" w:cs="Arial" w:eastAsia="Arial" w:hAnsi="Arial"/>
                <w:sz w:val="18"/>
                <w:szCs w:val="18"/>
                <w:color w:val="auto"/>
              </w:rPr>
              <w:t>273,050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5"/>
          </w:tcPr>
          <w:p>
            <w:pPr>
              <w:ind w:left="6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ONDITION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PERATIONS</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discussion in this section contains forward-looking statements that involve risks and uncertainties. Our actual results could differ materially from those forward-looking statements. Factors that could cause or contribute to these differences include, but are not limited to, those discussed in this section and throughout this report.</w:t>
      </w:r>
    </w:p>
    <w:p>
      <w:pPr>
        <w:spacing w:after="0" w:line="9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presents summary consolidated financial data for our fiscal years ended September 30, 2008 (“current year” or “fiscal 2008”), September 30, 2007 (“prior year” or “fiscal 2007”) and September 30, 2006 (“fiscal 2006”).</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color w:val="auto"/>
              </w:rPr>
              <w:t>Fiscal Years Ended September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2006</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4"/>
          </w:tcPr>
          <w:p>
            <w:pPr>
              <w:ind w:left="40"/>
              <w:spacing w:after="0" w:line="155" w:lineRule="exact"/>
              <w:rPr>
                <w:sz w:val="20"/>
                <w:szCs w:val="20"/>
                <w:color w:val="auto"/>
              </w:rPr>
            </w:pPr>
            <w:r>
              <w:rPr>
                <w:rFonts w:ascii="Arial" w:cs="Arial" w:eastAsia="Arial" w:hAnsi="Arial"/>
                <w:sz w:val="14"/>
                <w:szCs w:val="14"/>
                <w:i w:val="1"/>
                <w:iCs w:val="1"/>
                <w:color w:val="auto"/>
                <w:w w:val="92"/>
              </w:rPr>
              <w:t>(in thousands)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4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Sales</w:t>
            </w:r>
          </w:p>
        </w:tc>
        <w:tc>
          <w:tcPr>
            <w:tcW w:w="2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$177,424</w:t>
            </w:r>
          </w:p>
        </w:tc>
        <w:tc>
          <w:tcPr>
            <w:tcW w:w="160" w:type="dxa"/>
            <w:vAlign w:val="bottom"/>
          </w:tcPr>
          <w:p>
            <w:pPr>
              <w:spacing w:after="0"/>
              <w:rPr>
                <w:sz w:val="17"/>
                <w:szCs w:val="17"/>
                <w:color w:val="auto"/>
              </w:rPr>
            </w:pPr>
          </w:p>
        </w:tc>
        <w:tc>
          <w:tcPr>
            <w:tcW w:w="1720" w:type="dxa"/>
            <w:vAlign w:val="bottom"/>
            <w:gridSpan w:val="6"/>
          </w:tcPr>
          <w:p>
            <w:pPr>
              <w:jc w:val="right"/>
              <w:ind w:right="440"/>
              <w:spacing w:after="0" w:line="202" w:lineRule="exact"/>
              <w:rPr>
                <w:sz w:val="20"/>
                <w:szCs w:val="20"/>
                <w:color w:val="auto"/>
              </w:rPr>
            </w:pPr>
            <w:r>
              <w:rPr>
                <w:rFonts w:ascii="Arial" w:cs="Arial" w:eastAsia="Arial" w:hAnsi="Arial"/>
                <w:sz w:val="18"/>
                <w:szCs w:val="18"/>
                <w:color w:val="auto"/>
              </w:rPr>
              <w:t>$192,987</w:t>
            </w:r>
          </w:p>
        </w:tc>
        <w:tc>
          <w:tcPr>
            <w:tcW w:w="110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$232,560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service charges</w:t>
            </w:r>
          </w:p>
        </w:tc>
        <w:tc>
          <w:tcPr>
            <w:tcW w:w="236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65,325</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73,551</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Signature loan fees</w:t>
            </w:r>
          </w:p>
        </w:tc>
        <w:tc>
          <w:tcPr>
            <w:tcW w:w="236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71,840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w w:val="98"/>
              </w:rPr>
              <w:t>104,347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128,478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1,263</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1,330</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14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315,852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372,215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457,403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goods sold</w:t>
            </w:r>
          </w:p>
        </w:tc>
        <w:tc>
          <w:tcPr>
            <w:tcW w:w="144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106,873</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118,007</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139,402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Net revenues</w:t>
            </w:r>
          </w:p>
        </w:tc>
        <w:tc>
          <w:tcPr>
            <w:tcW w:w="22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208,979</w:t>
            </w:r>
          </w:p>
        </w:tc>
        <w:tc>
          <w:tcPr>
            <w:tcW w:w="160" w:type="dxa"/>
            <w:vAlign w:val="bottom"/>
          </w:tcPr>
          <w:p>
            <w:pPr>
              <w:spacing w:after="0"/>
              <w:rPr>
                <w:sz w:val="18"/>
                <w:szCs w:val="18"/>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254,208</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236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$ 29,259</w:t>
            </w: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37,874</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52,429</w:t>
            </w:r>
          </w:p>
        </w:tc>
        <w:tc>
          <w:tcPr>
            <w:tcW w:w="0" w:type="dxa"/>
            <w:vAlign w:val="bottom"/>
          </w:tcPr>
          <w:p>
            <w:pPr>
              <w:spacing w:after="0"/>
              <w:rPr>
                <w:sz w:val="1"/>
                <w:szCs w:val="1"/>
                <w:color w:val="auto"/>
              </w:rPr>
            </w:pPr>
          </w:p>
        </w:tc>
      </w:tr>
      <w:tr>
        <w:trPr>
          <w:trHeight w:val="20"/>
        </w:trPr>
        <w:tc>
          <w:tcPr>
            <w:tcW w:w="768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0" w:type="dxa"/>
            <w:vAlign w:val="bottom"/>
            <w:gridSpan w:val="6"/>
          </w:tcPr>
          <w:p>
            <w:pPr>
              <w:spacing w:after="0"/>
              <w:rPr>
                <w:sz w:val="20"/>
                <w:szCs w:val="20"/>
                <w:color w:val="auto"/>
              </w:rPr>
            </w:pPr>
            <w:r>
              <w:rPr>
                <w:rFonts w:ascii="Arial" w:cs="Arial" w:eastAsia="Arial" w:hAnsi="Arial"/>
                <w:sz w:val="18"/>
                <w:szCs w:val="18"/>
                <w:color w:val="auto"/>
              </w:rPr>
              <w:t>Consolidated signature loan data (combined payday loan and credit service activities) are as follows: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color w:val="auto"/>
              </w:rPr>
              <w:t>Fiscal Years Ended September 30,</w:t>
            </w: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w w:val="96"/>
              </w:rPr>
              <w:t>2007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6"/>
          </w:tcPr>
          <w:p>
            <w:pPr>
              <w:jc w:val="right"/>
              <w:ind w:right="180"/>
              <w:spacing w:after="0" w:line="155" w:lineRule="exact"/>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Fee revenue</w:t>
            </w:r>
          </w:p>
        </w:tc>
        <w:tc>
          <w:tcPr>
            <w:tcW w:w="220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$ 71,840</w:t>
            </w:r>
          </w:p>
        </w:tc>
        <w:tc>
          <w:tcPr>
            <w:tcW w:w="16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$ 104,347</w:t>
            </w:r>
          </w:p>
        </w:tc>
        <w:tc>
          <w:tcPr>
            <w:tcW w:w="4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$ 128,478</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Bad debt:</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defaults, including interest on brokered loans</w:t>
            </w:r>
          </w:p>
        </w:tc>
        <w:tc>
          <w:tcPr>
            <w:tcW w:w="220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17,088</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26,631</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34,266</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Insufficient funds fees, net of collections</w:t>
            </w:r>
          </w:p>
        </w:tc>
        <w:tc>
          <w:tcPr>
            <w:tcW w:w="220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1,119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220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1,362</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ind w:left="200"/>
              <w:spacing w:after="0" w:line="202" w:lineRule="exact"/>
              <w:rPr>
                <w:sz w:val="20"/>
                <w:szCs w:val="20"/>
                <w:color w:val="auto"/>
              </w:rPr>
            </w:pPr>
            <w:r>
              <w:rPr>
                <w:rFonts w:ascii="Arial" w:cs="Arial" w:eastAsia="Arial" w:hAnsi="Arial"/>
                <w:sz w:val="18"/>
                <w:szCs w:val="18"/>
                <w:color w:val="auto"/>
              </w:rPr>
              <w:t>Other related costs</w:t>
            </w:r>
          </w:p>
        </w:tc>
        <w:tc>
          <w:tcPr>
            <w:tcW w:w="1440" w:type="dxa"/>
            <w:vAlign w:val="bottom"/>
          </w:tcPr>
          <w:p>
            <w:pPr>
              <w:spacing w:after="0"/>
              <w:rPr>
                <w:sz w:val="17"/>
                <w:szCs w:val="17"/>
                <w:color w:val="auto"/>
              </w:rPr>
            </w:pPr>
          </w:p>
        </w:tc>
        <w:tc>
          <w:tcPr>
            <w:tcW w:w="76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158</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bad debt</w:t>
            </w:r>
          </w:p>
        </w:tc>
        <w:tc>
          <w:tcPr>
            <w:tcW w:w="144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17,897</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28,508</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37,150</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Fee revenue less bad debt</w:t>
            </w:r>
          </w:p>
        </w:tc>
        <w:tc>
          <w:tcPr>
            <w:tcW w:w="2200" w:type="dxa"/>
            <w:vAlign w:val="bottom"/>
            <w:gridSpan w:val="3"/>
          </w:tcPr>
          <w:p>
            <w:pPr>
              <w:jc w:val="right"/>
              <w:ind w:right="88"/>
              <w:spacing w:after="0"/>
              <w:rPr>
                <w:sz w:val="20"/>
                <w:szCs w:val="20"/>
                <w:color w:val="auto"/>
              </w:rPr>
            </w:pPr>
            <w:r>
              <w:rPr>
                <w:rFonts w:ascii="Arial" w:cs="Arial" w:eastAsia="Arial" w:hAnsi="Arial"/>
                <w:sz w:val="18"/>
                <w:szCs w:val="18"/>
                <w:color w:val="auto"/>
              </w:rPr>
              <w:t>$ 53,943</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75,839</w:t>
            </w:r>
          </w:p>
        </w:tc>
        <w:tc>
          <w:tcPr>
            <w:tcW w:w="4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signature loan balance outstanding during period (a)</w:t>
            </w:r>
          </w:p>
        </w:tc>
        <w:tc>
          <w:tcPr>
            <w:tcW w:w="220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$ 16,369</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23,479</w:t>
            </w:r>
          </w:p>
        </w:tc>
        <w:tc>
          <w:tcPr>
            <w:tcW w:w="4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28,790</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Signature loan balance at end of period (a)</w:t>
            </w:r>
          </w:p>
        </w:tc>
        <w:tc>
          <w:tcPr>
            <w:tcW w:w="220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$ 20,653</w:t>
            </w:r>
          </w:p>
        </w:tc>
        <w:tc>
          <w:tcPr>
            <w:tcW w:w="16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28,125</w:t>
            </w:r>
          </w:p>
        </w:tc>
        <w:tc>
          <w:tcPr>
            <w:tcW w:w="440" w:type="dxa"/>
            <w:vAlign w:val="bottom"/>
          </w:tcPr>
          <w:p>
            <w:pPr>
              <w:spacing w:after="0"/>
              <w:rPr>
                <w:sz w:val="17"/>
                <w:szCs w:val="17"/>
                <w:color w:val="auto"/>
              </w:rPr>
            </w:pP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30,677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Participating stores at end of period</w:t>
            </w:r>
          </w:p>
        </w:tc>
        <w:tc>
          <w:tcPr>
            <w:tcW w:w="220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Signature loan bad debt, as a percent of fee revenue</w:t>
            </w:r>
          </w:p>
        </w:tc>
        <w:tc>
          <w:tcPr>
            <w:tcW w:w="22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default rate (a) (b)</w:t>
            </w:r>
          </w:p>
        </w:tc>
        <w:tc>
          <w:tcPr>
            <w:tcW w:w="22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5.0%</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0" w:hanging="452"/>
        <w:spacing w:after="0" w:line="24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Principal defaults net of collections, as a percentage of signature loans made and renewed.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lend or provide credit services to individuals who do not have cash resources or access to credit to meet their short-term cash needs. We offer pawn loans in 294 domestic pawn stores and 38 Mexico pawn stores open at September 30, 2008. On November 13, 2008, we acquired the operating assets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eleven additional pawn stores in the Las Vegas, Nevada area. Pawn loans are non-recourse loans collateralized by tangible personal property. At these stores, we also sell merchandise, primarily collateral forfeited from our pawn lending operations, to customers looking for good value. In 477 EZMONEY stores and 71 of our domestic pawn stores open September 30, 2008, we offer short-term non-collateralized loans, often called payday loans, or fee-based credit services to customers seeking loans (collectively, “signature loans”).</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manage our business as three segments. The EZPAWN US Operations segment offers pawn related activities in all 294 domestic pawn stores, and offers signature loans in 71 pawn stores and six EZMONEY stores. The Empeño Fácil segment offers pawn related activities in all 38 stores in Mexico. The EZMONEY Operations segment offers signature loans in 471 EZMONEY stores in the United States, and accounts for approximately 98% of our consolidated signature loan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operating segment: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color w:val="auto"/>
              </w:rPr>
              <w:t>Year Ended September 30, 2008</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60"/>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color w:val="auto"/>
              </w:rPr>
              <w:t>EZPAWN U.S</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color w:val="auto"/>
              </w:rPr>
              <w:t>Empeño</w:t>
            </w:r>
          </w:p>
        </w:tc>
        <w:tc>
          <w:tcPr>
            <w:tcW w:w="5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EZMONEY</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7"/>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20"/>
              <w:spacing w:after="0" w:line="157" w:lineRule="exact"/>
              <w:rPr>
                <w:sz w:val="20"/>
                <w:szCs w:val="20"/>
                <w:color w:val="auto"/>
              </w:rPr>
            </w:pPr>
            <w:r>
              <w:rPr>
                <w:rFonts w:ascii="Arial" w:cs="Arial" w:eastAsia="Arial" w:hAnsi="Arial"/>
                <w:sz w:val="14"/>
                <w:szCs w:val="14"/>
                <w:color w:val="auto"/>
              </w:rPr>
              <w:t>Operations</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ind w:right="240"/>
              <w:spacing w:after="0" w:line="157" w:lineRule="exact"/>
              <w:rPr>
                <w:sz w:val="20"/>
                <w:szCs w:val="20"/>
                <w:color w:val="auto"/>
              </w:rPr>
            </w:pPr>
            <w:r>
              <w:rPr>
                <w:rFonts w:ascii="Arial" w:cs="Arial" w:eastAsia="Arial" w:hAnsi="Arial"/>
                <w:sz w:val="14"/>
                <w:szCs w:val="14"/>
                <w:color w:val="auto"/>
                <w:w w:val="94"/>
              </w:rPr>
              <w:t>Fácil</w:t>
            </w:r>
          </w:p>
        </w:tc>
        <w:tc>
          <w:tcPr>
            <w:tcW w:w="54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Consolidated</w:t>
            </w: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Stores in operation:</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Beginning of period</w:t>
            </w:r>
          </w:p>
        </w:tc>
        <w:tc>
          <w:tcPr>
            <w:tcW w:w="2120" w:type="dxa"/>
            <w:vAlign w:val="bottom"/>
            <w:gridSpan w:val="4"/>
          </w:tcPr>
          <w:p>
            <w:pPr>
              <w:jc w:val="center"/>
              <w:ind w:left="1730"/>
              <w:spacing w:after="0" w:line="202" w:lineRule="exact"/>
              <w:rPr>
                <w:sz w:val="20"/>
                <w:szCs w:val="20"/>
                <w:color w:val="auto"/>
              </w:rPr>
            </w:pPr>
            <w:r>
              <w:rPr>
                <w:rFonts w:ascii="Arial" w:cs="Arial" w:eastAsia="Arial" w:hAnsi="Arial"/>
                <w:sz w:val="18"/>
                <w:szCs w:val="18"/>
                <w:color w:val="auto"/>
                <w:w w:val="99"/>
              </w:rPr>
              <w:t>300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6"/>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427</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731</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 openings</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66</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80</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Acquired</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6"/>
          </w:tcPr>
          <w:p>
            <w:pPr>
              <w:jc w:val="right"/>
              <w:ind w:right="340"/>
              <w:spacing w:after="0" w:line="202" w:lineRule="exact"/>
              <w:rPr>
                <w:sz w:val="20"/>
                <w:szCs w:val="20"/>
                <w:color w:val="auto"/>
              </w:rPr>
            </w:pPr>
            <w:r>
              <w:rPr>
                <w:rFonts w:ascii="Arial" w:cs="Arial" w:eastAsia="Arial" w:hAnsi="Arial"/>
                <w:sz w:val="18"/>
                <w:szCs w:val="18"/>
                <w:color w:val="auto"/>
              </w:rPr>
              <w:t>20</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20</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Sold, combined, or closed</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w:t>
            </w:r>
          </w:p>
        </w:tc>
        <w:tc>
          <w:tcPr>
            <w:tcW w:w="156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w:t>
            </w:r>
          </w:p>
        </w:tc>
      </w:tr>
      <w:tr>
        <w:trPr>
          <w:trHeight w:val="20"/>
        </w:trPr>
        <w:tc>
          <w:tcPr>
            <w:tcW w:w="4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1840" w:type="dxa"/>
            <w:vAlign w:val="bottom"/>
            <w:gridSpan w:val="3"/>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38</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471</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809</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stores during the period</w:t>
            </w:r>
          </w:p>
        </w:tc>
        <w:tc>
          <w:tcPr>
            <w:tcW w:w="2120" w:type="dxa"/>
            <w:vAlign w:val="bottom"/>
            <w:gridSpan w:val="4"/>
            <w:shd w:val="clear" w:color="auto" w:fill="CCEEFF"/>
          </w:tcPr>
          <w:p>
            <w:pPr>
              <w:jc w:val="center"/>
              <w:ind w:left="1730"/>
              <w:spacing w:after="0" w:line="196" w:lineRule="exact"/>
              <w:rPr>
                <w:sz w:val="20"/>
                <w:szCs w:val="20"/>
                <w:color w:val="auto"/>
              </w:rPr>
            </w:pPr>
            <w:r>
              <w:rPr>
                <w:rFonts w:ascii="Arial" w:cs="Arial" w:eastAsia="Arial" w:hAnsi="Arial"/>
                <w:sz w:val="18"/>
                <w:szCs w:val="18"/>
                <w:color w:val="auto"/>
                <w:w w:val="99"/>
              </w:rPr>
              <w:t>300</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26</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449</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775</w:t>
            </w:r>
          </w:p>
        </w:tc>
      </w:tr>
      <w:tr>
        <w:trPr>
          <w:trHeight w:val="405"/>
        </w:trPr>
        <w:tc>
          <w:tcPr>
            <w:tcW w:w="4660" w:type="dxa"/>
            <w:vAlign w:val="bottom"/>
          </w:tcPr>
          <w:p>
            <w:pPr>
              <w:spacing w:after="0"/>
              <w:rPr>
                <w:sz w:val="20"/>
                <w:szCs w:val="20"/>
                <w:color w:val="auto"/>
              </w:rPr>
            </w:pPr>
            <w:r>
              <w:rPr>
                <w:rFonts w:ascii="Arial" w:cs="Arial" w:eastAsia="Arial" w:hAnsi="Arial"/>
                <w:sz w:val="18"/>
                <w:szCs w:val="18"/>
                <w:color w:val="auto"/>
              </w:rPr>
              <w:t>Composition of ending stores: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w:t>
            </w:r>
          </w:p>
        </w:tc>
        <w:tc>
          <w:tcPr>
            <w:tcW w:w="2120" w:type="dxa"/>
            <w:vAlign w:val="bottom"/>
            <w:gridSpan w:val="4"/>
            <w:shd w:val="clear" w:color="auto" w:fill="CCEEFF"/>
          </w:tcPr>
          <w:p>
            <w:pPr>
              <w:jc w:val="center"/>
              <w:ind w:left="1730"/>
              <w:spacing w:after="0" w:line="202" w:lineRule="exact"/>
              <w:rPr>
                <w:sz w:val="20"/>
                <w:szCs w:val="20"/>
                <w:color w:val="auto"/>
              </w:rPr>
            </w:pPr>
            <w:r>
              <w:rPr>
                <w:rFonts w:ascii="Arial" w:cs="Arial" w:eastAsia="Arial" w:hAnsi="Arial"/>
                <w:sz w:val="18"/>
                <w:szCs w:val="18"/>
                <w:color w:val="auto"/>
                <w:w w:val="99"/>
              </w:rPr>
              <w:t>294</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332</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stores adjoining pawn stores</w:t>
            </w:r>
          </w:p>
        </w:tc>
        <w:tc>
          <w:tcPr>
            <w:tcW w:w="214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152</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stores — free standing</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319</w:t>
            </w:r>
          </w:p>
        </w:tc>
      </w:tr>
      <w:tr>
        <w:trPr>
          <w:trHeight w:val="20"/>
        </w:trPr>
        <w:tc>
          <w:tcPr>
            <w:tcW w:w="46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Total stores in operation</w:t>
            </w:r>
          </w:p>
        </w:tc>
        <w:tc>
          <w:tcPr>
            <w:tcW w:w="1840" w:type="dxa"/>
            <w:vAlign w:val="bottom"/>
            <w:gridSpan w:val="3"/>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38</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471</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809</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 offering signature loans</w:t>
            </w:r>
          </w:p>
        </w:tc>
        <w:tc>
          <w:tcPr>
            <w:tcW w:w="214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471</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548</w:t>
            </w:r>
          </w:p>
        </w:tc>
      </w:tr>
      <w:tr>
        <w:trPr>
          <w:trHeight w:val="365"/>
        </w:trPr>
        <w:tc>
          <w:tcPr>
            <w:tcW w:w="4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color w:val="auto"/>
              </w:rPr>
              <w:t>Year Ended September 30, 2007</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160"/>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color w:val="auto"/>
              </w:rPr>
              <w:t>EZPAWN U.S</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color w:val="auto"/>
              </w:rPr>
              <w:t>Empeño</w:t>
            </w:r>
          </w:p>
        </w:tc>
        <w:tc>
          <w:tcPr>
            <w:tcW w:w="5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EZMONEY</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7"/>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bottom w:val="single" w:sz="8" w:color="auto"/>
            </w:tcBorders>
            <w:gridSpan w:val="4"/>
          </w:tcPr>
          <w:p>
            <w:pPr>
              <w:jc w:val="center"/>
              <w:spacing w:after="0" w:line="157" w:lineRule="exact"/>
              <w:rPr>
                <w:sz w:val="20"/>
                <w:szCs w:val="20"/>
                <w:color w:val="auto"/>
              </w:rPr>
            </w:pPr>
            <w:r>
              <w:rPr>
                <w:rFonts w:ascii="Arial" w:cs="Arial" w:eastAsia="Arial" w:hAnsi="Arial"/>
                <w:sz w:val="14"/>
                <w:szCs w:val="14"/>
                <w:color w:val="auto"/>
              </w:rPr>
              <w:t>Operations</w:t>
            </w:r>
          </w:p>
        </w:tc>
        <w:tc>
          <w:tcPr>
            <w:tcW w:w="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ind w:right="220"/>
              <w:spacing w:after="0" w:line="157" w:lineRule="exact"/>
              <w:rPr>
                <w:sz w:val="20"/>
                <w:szCs w:val="20"/>
                <w:color w:val="auto"/>
              </w:rPr>
            </w:pPr>
            <w:r>
              <w:rPr>
                <w:rFonts w:ascii="Arial" w:cs="Arial" w:eastAsia="Arial" w:hAnsi="Arial"/>
                <w:sz w:val="14"/>
                <w:szCs w:val="14"/>
                <w:color w:val="auto"/>
              </w:rPr>
              <w:t>Fácil</w:t>
            </w:r>
          </w:p>
        </w:tc>
        <w:tc>
          <w:tcPr>
            <w:tcW w:w="54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Consolidated</w:t>
            </w: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Stores in operation:</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Beginning of period</w:t>
            </w:r>
          </w:p>
        </w:tc>
        <w:tc>
          <w:tcPr>
            <w:tcW w:w="2480" w:type="dxa"/>
            <w:vAlign w:val="bottom"/>
            <w:gridSpan w:val="6"/>
          </w:tcPr>
          <w:p>
            <w:pPr>
              <w:jc w:val="right"/>
              <w:ind w:right="340"/>
              <w:spacing w:after="0" w:line="202" w:lineRule="exact"/>
              <w:rPr>
                <w:sz w:val="20"/>
                <w:szCs w:val="20"/>
                <w:color w:val="auto"/>
              </w:rPr>
            </w:pPr>
            <w:r>
              <w:rPr>
                <w:rFonts w:ascii="Arial" w:cs="Arial" w:eastAsia="Arial" w:hAnsi="Arial"/>
                <w:sz w:val="18"/>
                <w:szCs w:val="18"/>
                <w:color w:val="auto"/>
              </w:rPr>
              <w:t>286</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328</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614</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 openings</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6"/>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104</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Acquired</w:t>
            </w:r>
          </w:p>
        </w:tc>
        <w:tc>
          <w:tcPr>
            <w:tcW w:w="2480" w:type="dxa"/>
            <w:vAlign w:val="bottom"/>
            <w:gridSpan w:val="6"/>
          </w:tcPr>
          <w:p>
            <w:pPr>
              <w:jc w:val="right"/>
              <w:ind w:right="340"/>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Sold, combined, or closed</w:t>
            </w:r>
          </w:p>
        </w:tc>
        <w:tc>
          <w:tcPr>
            <w:tcW w:w="1840" w:type="dxa"/>
            <w:vAlign w:val="bottom"/>
            <w:tcBorders>
              <w:right w:val="single" w:sz="8" w:color="CCEEFF"/>
            </w:tcBorders>
            <w:gridSpan w:val="3"/>
            <w:shd w:val="clear" w:color="auto" w:fill="CCEEFF"/>
          </w:tcPr>
          <w:p>
            <w:pPr>
              <w:spacing w:after="0"/>
              <w:rPr>
                <w:sz w:val="17"/>
                <w:szCs w:val="17"/>
                <w:color w:val="auto"/>
              </w:rPr>
            </w:pPr>
          </w:p>
        </w:tc>
        <w:tc>
          <w:tcPr>
            <w:tcW w:w="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156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w:t>
            </w:r>
          </w:p>
        </w:tc>
      </w:tr>
      <w:tr>
        <w:trPr>
          <w:trHeight w:val="20"/>
        </w:trPr>
        <w:tc>
          <w:tcPr>
            <w:tcW w:w="4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1840" w:type="dxa"/>
            <w:vAlign w:val="bottom"/>
            <w:gridSpan w:val="3"/>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300</w:t>
            </w: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4</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427</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731</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stores during the period</w:t>
            </w:r>
          </w:p>
        </w:tc>
        <w:tc>
          <w:tcPr>
            <w:tcW w:w="2480" w:type="dxa"/>
            <w:vAlign w:val="bottom"/>
            <w:gridSpan w:val="6"/>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290</w:t>
            </w:r>
          </w:p>
        </w:tc>
        <w:tc>
          <w:tcPr>
            <w:tcW w:w="1300" w:type="dxa"/>
            <w:vAlign w:val="bottom"/>
            <w:gridSpan w:val="6"/>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362</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654</w:t>
            </w:r>
          </w:p>
        </w:tc>
      </w:tr>
      <w:tr>
        <w:trPr>
          <w:trHeight w:val="405"/>
        </w:trPr>
        <w:tc>
          <w:tcPr>
            <w:tcW w:w="4660" w:type="dxa"/>
            <w:vAlign w:val="bottom"/>
          </w:tcPr>
          <w:p>
            <w:pPr>
              <w:spacing w:after="0"/>
              <w:rPr>
                <w:sz w:val="20"/>
                <w:szCs w:val="20"/>
                <w:color w:val="auto"/>
              </w:rPr>
            </w:pPr>
            <w:r>
              <w:rPr>
                <w:rFonts w:ascii="Arial" w:cs="Arial" w:eastAsia="Arial" w:hAnsi="Arial"/>
                <w:sz w:val="18"/>
                <w:szCs w:val="18"/>
                <w:color w:val="auto"/>
              </w:rPr>
              <w:t>Composition of ending stores: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w:t>
            </w:r>
          </w:p>
        </w:tc>
        <w:tc>
          <w:tcPr>
            <w:tcW w:w="2480" w:type="dxa"/>
            <w:vAlign w:val="bottom"/>
            <w:gridSpan w:val="6"/>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294</w:t>
            </w:r>
          </w:p>
        </w:tc>
        <w:tc>
          <w:tcPr>
            <w:tcW w:w="1300" w:type="dxa"/>
            <w:vAlign w:val="bottom"/>
            <w:gridSpan w:val="6"/>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stores adjoining pawn stores</w:t>
            </w:r>
          </w:p>
        </w:tc>
        <w:tc>
          <w:tcPr>
            <w:tcW w:w="2480" w:type="dxa"/>
            <w:vAlign w:val="bottom"/>
            <w:gridSpan w:val="6"/>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164</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170</w:t>
            </w: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stores — free standing</w:t>
            </w: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263</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263</w:t>
            </w:r>
          </w:p>
        </w:tc>
      </w:tr>
      <w:tr>
        <w:trPr>
          <w:trHeight w:val="20"/>
        </w:trPr>
        <w:tc>
          <w:tcPr>
            <w:tcW w:w="4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4660" w:type="dxa"/>
            <w:vAlign w:val="bottom"/>
          </w:tcPr>
          <w:p>
            <w:pPr>
              <w:ind w:left="220"/>
              <w:spacing w:after="0"/>
              <w:rPr>
                <w:sz w:val="20"/>
                <w:szCs w:val="20"/>
                <w:color w:val="auto"/>
              </w:rPr>
            </w:pPr>
            <w:r>
              <w:rPr>
                <w:rFonts w:ascii="Arial" w:cs="Arial" w:eastAsia="Arial" w:hAnsi="Arial"/>
                <w:sz w:val="18"/>
                <w:szCs w:val="18"/>
                <w:color w:val="auto"/>
              </w:rPr>
              <w:t>Total stores in operation</w:t>
            </w:r>
          </w:p>
        </w:tc>
        <w:tc>
          <w:tcPr>
            <w:tcW w:w="1840" w:type="dxa"/>
            <w:vAlign w:val="bottom"/>
            <w:gridSpan w:val="3"/>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w w:val="93"/>
              </w:rPr>
              <w:t>300</w:t>
            </w:r>
          </w:p>
        </w:tc>
        <w:tc>
          <w:tcPr>
            <w:tcW w:w="1300" w:type="dxa"/>
            <w:vAlign w:val="bottom"/>
            <w:gridSpan w:val="6"/>
          </w:tcPr>
          <w:p>
            <w:pPr>
              <w:jc w:val="right"/>
              <w:ind w:right="340"/>
              <w:spacing w:after="0"/>
              <w:rPr>
                <w:sz w:val="20"/>
                <w:szCs w:val="20"/>
                <w:color w:val="auto"/>
              </w:rPr>
            </w:pPr>
            <w:r>
              <w:rPr>
                <w:rFonts w:ascii="Arial" w:cs="Arial" w:eastAsia="Arial" w:hAnsi="Arial"/>
                <w:sz w:val="18"/>
                <w:szCs w:val="18"/>
                <w:color w:val="auto"/>
              </w:rPr>
              <w:t>4</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427</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731</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 offering signature loans</w:t>
            </w:r>
          </w:p>
        </w:tc>
        <w:tc>
          <w:tcPr>
            <w:tcW w:w="2480" w:type="dxa"/>
            <w:vAlign w:val="bottom"/>
            <w:gridSpan w:val="6"/>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2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88"/>
              </w:rPr>
              <w:t>—</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427</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508</w:t>
            </w:r>
          </w:p>
        </w:tc>
      </w:tr>
      <w:tr>
        <w:trPr>
          <w:trHeight w:val="405"/>
        </w:trPr>
        <w:tc>
          <w:tcPr>
            <w:tcW w:w="466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3"/>
        </w:trPr>
        <w:tc>
          <w:tcPr>
            <w:tcW w:w="466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color w:val="auto"/>
              </w:rPr>
              <w:t>Year Ended September 30, 2006</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r>
      <w:tr>
        <w:trPr>
          <w:trHeight w:val="160"/>
        </w:trPr>
        <w:tc>
          <w:tcPr>
            <w:tcW w:w="6140" w:type="dxa"/>
            <w:vAlign w:val="bottom"/>
          </w:tcPr>
          <w:p>
            <w:pPr>
              <w:spacing w:after="0"/>
              <w:rPr>
                <w:sz w:val="13"/>
                <w:szCs w:val="13"/>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EZPAWN U.S</w:t>
            </w:r>
          </w:p>
        </w:tc>
        <w:tc>
          <w:tcPr>
            <w:tcW w:w="540" w:type="dxa"/>
            <w:vAlign w:val="bottom"/>
          </w:tcPr>
          <w:p>
            <w:pPr>
              <w:spacing w:after="0"/>
              <w:rPr>
                <w:sz w:val="13"/>
                <w:szCs w:val="13"/>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color w:val="auto"/>
              </w:rPr>
              <w:t>Empeño</w:t>
            </w:r>
          </w:p>
        </w:tc>
        <w:tc>
          <w:tcPr>
            <w:tcW w:w="54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EZMONEY</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7"/>
        </w:trPr>
        <w:tc>
          <w:tcPr>
            <w:tcW w:w="614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160"/>
              <w:spacing w:after="0" w:line="157"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Fácil</w:t>
            </w:r>
          </w:p>
        </w:tc>
        <w:tc>
          <w:tcPr>
            <w:tcW w:w="54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Operations</w:t>
            </w:r>
          </w:p>
        </w:tc>
        <w:tc>
          <w:tcPr>
            <w:tcW w:w="54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80"/>
              <w:spacing w:after="0" w:line="157" w:lineRule="exact"/>
              <w:rPr>
                <w:sz w:val="20"/>
                <w:szCs w:val="20"/>
                <w:color w:val="auto"/>
              </w:rPr>
            </w:pPr>
            <w:r>
              <w:rPr>
                <w:rFonts w:ascii="Arial" w:cs="Arial" w:eastAsia="Arial" w:hAnsi="Arial"/>
                <w:sz w:val="14"/>
                <w:szCs w:val="14"/>
                <w:color w:val="auto"/>
              </w:rPr>
              <w:t>Consolidated</w:t>
            </w: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Stores in operation:</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6140" w:type="dxa"/>
            <w:vAlign w:val="bottom"/>
          </w:tcPr>
          <w:p>
            <w:pPr>
              <w:ind w:left="220"/>
              <w:spacing w:after="0" w:line="202" w:lineRule="exact"/>
              <w:rPr>
                <w:sz w:val="20"/>
                <w:szCs w:val="20"/>
                <w:color w:val="auto"/>
              </w:rPr>
            </w:pPr>
            <w:r>
              <w:rPr>
                <w:rFonts w:ascii="Arial" w:cs="Arial" w:eastAsia="Arial" w:hAnsi="Arial"/>
                <w:sz w:val="18"/>
                <w:szCs w:val="18"/>
                <w:color w:val="auto"/>
              </w:rPr>
              <w:t>Beginning of period</w:t>
            </w:r>
          </w:p>
        </w:tc>
        <w:tc>
          <w:tcPr>
            <w:tcW w:w="10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286</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228</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514</w:t>
            </w:r>
          </w:p>
        </w:tc>
      </w:tr>
      <w:tr>
        <w:trPr>
          <w:trHeight w:val="203"/>
        </w:trPr>
        <w:tc>
          <w:tcPr>
            <w:tcW w:w="6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New openings</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6140" w:type="dxa"/>
            <w:vAlign w:val="bottom"/>
          </w:tcPr>
          <w:p>
            <w:pPr>
              <w:ind w:left="220"/>
              <w:spacing w:after="0" w:line="202" w:lineRule="exact"/>
              <w:rPr>
                <w:sz w:val="20"/>
                <w:szCs w:val="20"/>
                <w:color w:val="auto"/>
              </w:rPr>
            </w:pPr>
            <w:r>
              <w:rPr>
                <w:rFonts w:ascii="Arial" w:cs="Arial" w:eastAsia="Arial" w:hAnsi="Arial"/>
                <w:sz w:val="18"/>
                <w:szCs w:val="18"/>
                <w:color w:val="auto"/>
              </w:rPr>
              <w:t>Acquired</w:t>
            </w:r>
          </w:p>
        </w:tc>
        <w:tc>
          <w:tcPr>
            <w:tcW w:w="10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3</w:t>
            </w:r>
          </w:p>
        </w:tc>
      </w:tr>
      <w:tr>
        <w:trPr>
          <w:trHeight w:val="203"/>
        </w:trPr>
        <w:tc>
          <w:tcPr>
            <w:tcW w:w="6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Sold, combined, or closed</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1560" w:type="dxa"/>
            <w:vAlign w:val="bottom"/>
            <w:gridSpan w:val="4"/>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w:t>
            </w:r>
          </w:p>
        </w:tc>
      </w:tr>
      <w:tr>
        <w:trPr>
          <w:trHeight w:val="20"/>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614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36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286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328</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614</w:t>
            </w:r>
          </w:p>
        </w:tc>
      </w:tr>
      <w:tr>
        <w:trPr>
          <w:trHeight w:val="20"/>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number of stores during the period</w:t>
            </w:r>
          </w:p>
        </w:tc>
        <w:tc>
          <w:tcPr>
            <w:tcW w:w="1020" w:type="dxa"/>
            <w:vAlign w:val="bottom"/>
            <w:gridSpan w:val="3"/>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286</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259</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545</w:t>
            </w:r>
          </w:p>
        </w:tc>
      </w:tr>
      <w:tr>
        <w:trPr>
          <w:trHeight w:val="405"/>
        </w:trPr>
        <w:tc>
          <w:tcPr>
            <w:tcW w:w="6140" w:type="dxa"/>
            <w:vAlign w:val="bottom"/>
          </w:tcPr>
          <w:p>
            <w:pPr>
              <w:spacing w:after="0"/>
              <w:rPr>
                <w:sz w:val="20"/>
                <w:szCs w:val="20"/>
                <w:color w:val="auto"/>
              </w:rPr>
            </w:pPr>
            <w:r>
              <w:rPr>
                <w:rFonts w:ascii="Arial" w:cs="Arial" w:eastAsia="Arial" w:hAnsi="Arial"/>
                <w:sz w:val="18"/>
                <w:szCs w:val="18"/>
                <w:color w:val="auto"/>
              </w:rPr>
              <w:t>Composition of ending stores: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6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w:t>
            </w:r>
          </w:p>
        </w:tc>
        <w:tc>
          <w:tcPr>
            <w:tcW w:w="10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280</w:t>
            </w:r>
          </w:p>
        </w:tc>
      </w:tr>
      <w:tr>
        <w:trPr>
          <w:trHeight w:val="203"/>
        </w:trPr>
        <w:tc>
          <w:tcPr>
            <w:tcW w:w="614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stores adjoining pawn stores</w:t>
            </w:r>
          </w:p>
        </w:tc>
        <w:tc>
          <w:tcPr>
            <w:tcW w:w="10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159</w:t>
            </w:r>
          </w:p>
        </w:tc>
        <w:tc>
          <w:tcPr>
            <w:tcW w:w="156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165</w:t>
            </w:r>
          </w:p>
        </w:tc>
      </w:tr>
      <w:tr>
        <w:trPr>
          <w:trHeight w:val="203"/>
        </w:trPr>
        <w:tc>
          <w:tcPr>
            <w:tcW w:w="6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stores — free standing</w:t>
            </w:r>
          </w:p>
        </w:tc>
        <w:tc>
          <w:tcPr>
            <w:tcW w:w="3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169</w:t>
            </w:r>
          </w:p>
        </w:tc>
        <w:tc>
          <w:tcPr>
            <w:tcW w:w="156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169</w:t>
            </w:r>
          </w:p>
        </w:tc>
      </w:tr>
      <w:tr>
        <w:trPr>
          <w:trHeight w:val="20"/>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6140" w:type="dxa"/>
            <w:vAlign w:val="bottom"/>
          </w:tcPr>
          <w:p>
            <w:pPr>
              <w:ind w:left="220"/>
              <w:spacing w:after="0"/>
              <w:rPr>
                <w:sz w:val="20"/>
                <w:szCs w:val="20"/>
                <w:color w:val="auto"/>
              </w:rPr>
            </w:pPr>
            <w:r>
              <w:rPr>
                <w:rFonts w:ascii="Arial" w:cs="Arial" w:eastAsia="Arial" w:hAnsi="Arial"/>
                <w:sz w:val="18"/>
                <w:szCs w:val="18"/>
                <w:color w:val="auto"/>
              </w:rPr>
              <w:t>Total stores in operation</w:t>
            </w:r>
          </w:p>
        </w:tc>
        <w:tc>
          <w:tcPr>
            <w:tcW w:w="36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286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340"/>
              <w:spacing w:after="0"/>
              <w:rPr>
                <w:sz w:val="20"/>
                <w:szCs w:val="20"/>
                <w:color w:val="auto"/>
              </w:rPr>
            </w:pPr>
            <w:r>
              <w:rPr>
                <w:rFonts w:ascii="Arial" w:cs="Arial" w:eastAsia="Arial" w:hAnsi="Arial"/>
                <w:sz w:val="18"/>
                <w:szCs w:val="18"/>
                <w:color w:val="auto"/>
              </w:rPr>
              <w:t>328</w:t>
            </w:r>
          </w:p>
        </w:tc>
        <w:tc>
          <w:tcPr>
            <w:tcW w:w="1560" w:type="dxa"/>
            <w:vAlign w:val="bottom"/>
            <w:gridSpan w:val="4"/>
          </w:tcPr>
          <w:p>
            <w:pPr>
              <w:jc w:val="right"/>
              <w:ind w:right="420"/>
              <w:spacing w:after="0"/>
              <w:rPr>
                <w:sz w:val="20"/>
                <w:szCs w:val="20"/>
                <w:color w:val="auto"/>
              </w:rPr>
            </w:pPr>
            <w:r>
              <w:rPr>
                <w:rFonts w:ascii="Arial" w:cs="Arial" w:eastAsia="Arial" w:hAnsi="Arial"/>
                <w:sz w:val="18"/>
                <w:szCs w:val="18"/>
                <w:color w:val="auto"/>
              </w:rPr>
              <w:t>614</w:t>
            </w:r>
          </w:p>
        </w:tc>
      </w:tr>
      <w:tr>
        <w:trPr>
          <w:trHeight w:val="20"/>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7"/>
        </w:trPr>
        <w:tc>
          <w:tcPr>
            <w:tcW w:w="614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stores offering signature loans</w:t>
            </w:r>
          </w:p>
        </w:tc>
        <w:tc>
          <w:tcPr>
            <w:tcW w:w="1020" w:type="dxa"/>
            <w:vAlign w:val="bottom"/>
            <w:gridSpan w:val="3"/>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328</w:t>
            </w:r>
          </w:p>
        </w:tc>
        <w:tc>
          <w:tcPr>
            <w:tcW w:w="1560" w:type="dxa"/>
            <w:vAlign w:val="bottom"/>
            <w:gridSpan w:val="4"/>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416</w:t>
            </w:r>
          </w:p>
        </w:tc>
      </w:tr>
    </w:tbl>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earn pawn service charge revenue on our pawn lending. While allowable service charges vary by state and loan size, a majority of our U.S. pawn loans earn 20% per month, or 240% annually. Our average U.S. pawn loan amount typically ranges between $80 and $100 but varies depending on the valuation of each item pawned. The total U.S. loan term, consisting of the primary term and grace period, ranges between 60 and 120 days. In Mexico, a majority of our pawn loans earn pawn service charges of 13% to 14% net of applicable taxes, and the total loan term is 40 days.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our pawnshops, we acquire inventory for retail sales through pawn loan forfeitures and, to a lesser extent, through purchases of customers’ merchandise.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At September 30, 2008, 287 of our 477 EZMONEY stores and 47 of our 294 domestic pawn stores offered credit services to customers seeking loans from unaffiliated lenders. We do not participate in any of the loans made by the lenders, but earn a fee for helping customers obtain credit and for enhancing customers’ creditworthiness by providing letters of credit. We also offer a free service to all credit service customers to improve or establish their credit histories by reporting their payments to an external credit-reporting agency.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credit services, the unaffiliated lenders offer customers two types of loans. In all 287 EZMONEY stores and 47 domestic</w:t>
      </w:r>
    </w:p>
    <w:p>
      <w:pPr>
        <w:spacing w:after="0" w:line="234" w:lineRule="auto"/>
        <w:rPr>
          <w:sz w:val="20"/>
          <w:szCs w:val="20"/>
          <w:color w:val="auto"/>
        </w:rPr>
      </w:pPr>
      <w:r>
        <w:rPr>
          <w:rFonts w:ascii="Arial" w:cs="Arial" w:eastAsia="Arial" w:hAnsi="Arial"/>
          <w:sz w:val="18"/>
          <w:szCs w:val="18"/>
          <w:color w:val="auto"/>
        </w:rPr>
        <w:t>pawn stores offering credit services, customers can obtain short-term loans, with principal amounts up to $1,500 but averaging approximately</w:t>
      </w:r>
    </w:p>
    <w:p>
      <w:pPr>
        <w:spacing w:after="0" w:line="235" w:lineRule="auto"/>
        <w:rPr>
          <w:sz w:val="20"/>
          <w:szCs w:val="20"/>
          <w:color w:val="auto"/>
        </w:rPr>
      </w:pPr>
      <w:r>
        <w:rPr>
          <w:rFonts w:ascii="Arial" w:cs="Arial" w:eastAsia="Arial" w:hAnsi="Arial"/>
          <w:sz w:val="18"/>
          <w:szCs w:val="18"/>
          <w:color w:val="auto"/>
        </w:rPr>
        <w:t>$560. Terms of these short-term loans are generally less than 30 days, averaging about 18 days, with due dates corresponding with the</w:t>
      </w:r>
    </w:p>
    <w:p>
      <w:pPr>
        <w:spacing w:after="0" w:line="235" w:lineRule="auto"/>
        <w:rPr>
          <w:sz w:val="20"/>
          <w:szCs w:val="20"/>
          <w:color w:val="auto"/>
        </w:rPr>
      </w:pPr>
      <w:r>
        <w:rPr>
          <w:rFonts w:ascii="Arial" w:cs="Arial" w:eastAsia="Arial" w:hAnsi="Arial"/>
          <w:sz w:val="18"/>
          <w:szCs w:val="18"/>
          <w:color w:val="auto"/>
        </w:rPr>
        <w:t>customers’ next payday. We typically earn a fee of 20% of the loan amount for our short-term loan credit services. In 90 EZMONEY stores</w:t>
      </w:r>
    </w:p>
    <w:p>
      <w:pPr>
        <w:spacing w:after="0" w:line="235" w:lineRule="auto"/>
        <w:rPr>
          <w:sz w:val="20"/>
          <w:szCs w:val="20"/>
          <w:color w:val="auto"/>
        </w:rPr>
      </w:pPr>
      <w:r>
        <w:rPr>
          <w:rFonts w:ascii="Arial" w:cs="Arial" w:eastAsia="Arial" w:hAnsi="Arial"/>
          <w:sz w:val="18"/>
          <w:szCs w:val="18"/>
          <w:color w:val="auto"/>
        </w:rPr>
        <w:t>offering credit services, customers can obtain longer-term installment loans from the unaffiliated lenders. The installment loans typically carry</w:t>
      </w:r>
    </w:p>
    <w:p>
      <w:pPr>
        <w:spacing w:after="0" w:line="235" w:lineRule="auto"/>
        <w:rPr>
          <w:sz w:val="20"/>
          <w:szCs w:val="20"/>
          <w:color w:val="auto"/>
        </w:rPr>
      </w:pPr>
      <w:r>
        <w:rPr>
          <w:rFonts w:ascii="Arial" w:cs="Arial" w:eastAsia="Arial" w:hAnsi="Arial"/>
          <w:sz w:val="18"/>
          <w:szCs w:val="18"/>
          <w:color w:val="auto"/>
        </w:rPr>
        <w:t>terms of about five months with ten equal installment payments due on customers’ paydays. Installment loan principal amounts range from</w:t>
      </w:r>
    </w:p>
    <w:p>
      <w:pPr>
        <w:spacing w:after="0" w:line="235" w:lineRule="auto"/>
        <w:rPr>
          <w:sz w:val="20"/>
          <w:szCs w:val="20"/>
          <w:color w:val="auto"/>
        </w:rPr>
      </w:pPr>
      <w:r>
        <w:rPr>
          <w:rFonts w:ascii="Arial" w:cs="Arial" w:eastAsia="Arial" w:hAnsi="Arial"/>
          <w:sz w:val="18"/>
          <w:szCs w:val="18"/>
          <w:color w:val="auto"/>
        </w:rPr>
        <w:t>$1,525 to $3,000, but average about $2,100. With each semi-monthly or bi-weekly installment payment, we earn a fee of 10% of the initial loan</w:t>
      </w:r>
    </w:p>
    <w:p>
      <w:pPr>
        <w:spacing w:after="0" w:line="235" w:lineRule="auto"/>
        <w:rPr>
          <w:sz w:val="20"/>
          <w:szCs w:val="20"/>
          <w:color w:val="auto"/>
        </w:rPr>
      </w:pPr>
      <w:r>
        <w:rPr>
          <w:rFonts w:ascii="Arial" w:cs="Arial" w:eastAsia="Arial" w:hAnsi="Arial"/>
          <w:sz w:val="18"/>
          <w:szCs w:val="18"/>
          <w:color w:val="auto"/>
        </w:rPr>
        <w:t>amount. At September 30, 2008, short-term loans comprised 98% of the balance of loans brokered through our credit services, and installment</w:t>
      </w:r>
    </w:p>
    <w:p>
      <w:pPr>
        <w:spacing w:after="0"/>
        <w:rPr>
          <w:sz w:val="20"/>
          <w:szCs w:val="20"/>
          <w:color w:val="auto"/>
        </w:rPr>
      </w:pPr>
      <w:r>
        <w:rPr>
          <w:rFonts w:ascii="Arial" w:cs="Arial" w:eastAsia="Arial" w:hAnsi="Arial"/>
          <w:sz w:val="18"/>
          <w:szCs w:val="18"/>
          <w:color w:val="auto"/>
        </w:rPr>
        <w:t>loans comprised the remaining 2%.</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earn payday loan fee revenue on our payday loans. In 24 domestic pawn stores and 190 EZMONEY stores, we make payday loans subject to state law. The average payday loan amount is approximately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$430 and the term is generally less than 30 days, averaging about 18 days. We typically charge a fee of 15% to 22% of the loan amount for a 7 to 23-day period.</w:t>
      </w:r>
    </w:p>
    <w:p>
      <w:pPr>
        <w:spacing w:after="0" w:line="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June 18, 2007, we completed the acquisition of fifteen pawnshops and one payday loan store from Jumping Jack Cash, a competitor in Colorado, for $23.2 million of cash and direct transaction costs. Results of the acquired stores are included in our consolidated results from the date of acquisition.</w:t>
      </w:r>
    </w:p>
    <w:p>
      <w:pPr>
        <w:spacing w:after="0" w:line="95"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On October 22, 2007, we completed the acquisition of twenty Mexico pawnshops from MMFS Intl., S.A. de C.V., a subsidiary of Mister Money Holdings, Inc., for $15.5 million cash and direct transaction costs. Results of the acquired stores are included in our consolidated results from the date of acquisition.</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 xml:space="preserve">On November 13, 2008, we acquired the operating assets of eleven pawnshops located in Las Vegas, North Las Vegas and Henderson, Nevada that operate under the Pawn Plus, Pawn Place and ASAP Pawn brands for approximately $34.3 million, as more fully described below under </w:t>
      </w:r>
      <w:r>
        <w:rPr>
          <w:rFonts w:ascii="Arial" w:cs="Arial" w:eastAsia="Arial" w:hAnsi="Arial"/>
          <w:sz w:val="18"/>
          <w:szCs w:val="18"/>
          <w:i w:val="1"/>
          <w:iCs w:val="1"/>
          <w:color w:val="auto"/>
        </w:rPr>
        <w:t>Acquisitions Pending at September 30, 2008</w:t>
      </w:r>
      <w:r>
        <w:rPr>
          <w:rFonts w:ascii="Arial" w:cs="Arial" w:eastAsia="Arial" w:hAnsi="Arial"/>
          <w:sz w:val="18"/>
          <w:szCs w:val="18"/>
          <w:color w:val="auto"/>
        </w:rPr>
        <w:t>. Results of the acquired stores will be included in our consolidated results from the date of acquisition, and will first be reflected in our results in the quarter ending December 31, 2008.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2008, we announced a merger agreement with Value Financial Services, Inc. that we expect to consummate December 31,</w:t>
      </w:r>
    </w:p>
    <w:p>
      <w:pPr>
        <w:spacing w:after="0" w:line="234" w:lineRule="auto"/>
        <w:rPr>
          <w:sz w:val="20"/>
          <w:szCs w:val="20"/>
          <w:color w:val="auto"/>
        </w:rPr>
      </w:pPr>
      <w:r>
        <w:rPr>
          <w:rFonts w:ascii="Arial" w:cs="Arial" w:eastAsia="Arial" w:hAnsi="Arial"/>
          <w:sz w:val="18"/>
          <w:szCs w:val="18"/>
          <w:color w:val="auto"/>
        </w:rPr>
        <w:t>2008. In the merger, we will acquire Value Financial Services’ 67 pawn stores, mostly in Florida, for a total estimated acquisition price of</w:t>
      </w:r>
    </w:p>
    <w:p>
      <w:pPr>
        <w:spacing w:after="0" w:line="235" w:lineRule="auto"/>
        <w:rPr>
          <w:sz w:val="20"/>
          <w:szCs w:val="20"/>
          <w:color w:val="auto"/>
        </w:rPr>
      </w:pPr>
      <w:r>
        <w:rPr>
          <w:rFonts w:ascii="Arial" w:cs="Arial" w:eastAsia="Arial" w:hAnsi="Arial"/>
          <w:sz w:val="18"/>
          <w:szCs w:val="18"/>
          <w:color w:val="auto"/>
        </w:rPr>
        <w:t>$80.6 million, plus the assumption of Value Financial Services’ debt estimated at $35.3 million, for an aggregate cost of approximately</w:t>
      </w:r>
    </w:p>
    <w:p>
      <w:pPr>
        <w:spacing w:after="0" w:line="235" w:lineRule="auto"/>
        <w:rPr>
          <w:sz w:val="20"/>
          <w:szCs w:val="20"/>
          <w:color w:val="auto"/>
        </w:rPr>
      </w:pPr>
      <w:r>
        <w:rPr>
          <w:rFonts w:ascii="Arial" w:cs="Arial" w:eastAsia="Arial" w:hAnsi="Arial"/>
          <w:sz w:val="18"/>
          <w:szCs w:val="18"/>
          <w:color w:val="auto"/>
        </w:rPr>
        <w:t>$115.9 million. The total purchase price may increase upon the payment of contingent consideration depending on the price at which the</w:t>
      </w:r>
    </w:p>
    <w:p>
      <w:pPr>
        <w:spacing w:after="0" w:line="235" w:lineRule="auto"/>
        <w:rPr>
          <w:sz w:val="20"/>
          <w:szCs w:val="20"/>
          <w:color w:val="auto"/>
        </w:rPr>
      </w:pPr>
      <w:r>
        <w:rPr>
          <w:rFonts w:ascii="Arial" w:cs="Arial" w:eastAsia="Arial" w:hAnsi="Arial"/>
          <w:sz w:val="18"/>
          <w:szCs w:val="18"/>
          <w:color w:val="auto"/>
        </w:rPr>
        <w:t>sellers sell the EZCORP shares they will acquire as part of the merger consideration. This acquisition is described more fully below under</w:t>
      </w:r>
    </w:p>
    <w:p>
      <w:pPr>
        <w:spacing w:after="0"/>
        <w:rPr>
          <w:sz w:val="20"/>
          <w:szCs w:val="20"/>
          <w:color w:val="auto"/>
        </w:rPr>
      </w:pPr>
      <w:r>
        <w:rPr>
          <w:rFonts w:ascii="Arial" w:cs="Arial" w:eastAsia="Arial" w:hAnsi="Arial"/>
          <w:sz w:val="18"/>
          <w:szCs w:val="18"/>
          <w:i w:val="1"/>
          <w:iCs w:val="1"/>
          <w:color w:val="auto"/>
        </w:rPr>
        <w:t>Acquisitions Pending at September 30, 2008</w:t>
      </w:r>
      <w:r>
        <w:rPr>
          <w:rFonts w:ascii="Arial" w:cs="Arial" w:eastAsia="Arial" w:hAnsi="Arial"/>
          <w:sz w:val="18"/>
          <w:szCs w:val="18"/>
          <w:color w:val="auto"/>
        </w:rPr>
        <w:t>.</w:t>
      </w:r>
    </w:p>
    <w:p>
      <w:pPr>
        <w:spacing w:after="0" w:line="10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fiscal 2008, the EZPAWN U.S Operations segment contributed $22.7 million greater store operating income compared to the prior year, primarily from a $15.7 million increase in gross profit on sales and a $16.0 million increase in pawn service charges, partially offset by higher operating costs. Empeño Fácil contributed $3.3 million of store operating income compared to a small loss in the prior year. Our EZMONEY Operations segment contributed $ 4.1 million greater store operating income, comprised of higher fees net of bad debt, somewhat offset by higher operating costs at new and existing stores. After an $ 8.7 million increase in administrative expenses, a $2.5 million increase in depreciation and amortization and a $0.9 million loss on the sale/disposal of assets compared to a small gain in fiscal 2007, operating income increased $18.1 million to $73.7 million. After a $1.3 million decrease in net interest income, a $1.4 million increase in our equity interest in the income of Albemarle &amp; Bond, and a $3.6 million increase in income taxes and other smaller items, our consolidated net income improved to $52.4 million in the current year from $37.9 million in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allowance for losses on signature loans,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0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believe the following critical accounting policies and estimates could have a significant impact on our results of operations. You should refer to Note A of our consolidated financial statements for a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complete review of other accounting policies and estimates used in the preparation of our consolidated financial statements.</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CREDIT SERVICE REVENUE RECOGNITION: We earn credit service fees when we assist customers in obtaining loans from unaffiliated lenders. We 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Credit service revenue is included in “Signature loan fees” on our statements of operations.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CREDIT SERVICE BAD DEBT: 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it by the borrowers plus any insufficient funds fee.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We account for the sale of defaulted accounts in the same manner as internal collections of defaulted accounts.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majority of our credit service customers obtain short-term loans with a single maturity date. These short-term loans, with maturity dates averaging about 18 days, are considered defaulted if they have not been repaid or renewed by the maturity date. Other credit service customers obtain installment loans with a series of payments due over as much as a five-month period. If one payment of an installment loan is delinquent, that one payment is considered defaulted. If more than one installment payment is delinquent at any time, the entire loan is considered defaulted.</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CREDIT SERVICE ALLOWANCE FOR LOSSES: We also provide an allowance for losses we expect to incur under letters of credit for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signature loan bad debt expense. We include the balance of Expected LOC Losses in “Accounts payable and other accrued expenses” on our balance sheet. At September 30, 2008, the allowance for Expected LOC Losses was $2.3 million. At that date, our maximum exposure for losses on letters of credit, if all brokered loans defaulted and none was collected, was $25.0 million. This amount includes principal, interest and insufficient funds fees. Based on the expected loss and collection percentages, we also provide an allowance for the credit service fees we expect not to collect, and charge changes in this allowance to signature loan fee revenue.</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Actual loan losses could vary from those estimated due to variance in any of these factors. Increased defaults and credit losses may occur during a national or regional economic downturn, in response to regulatory changes or for other reasons, resulting in the need to increase the allowance. We believe we effectively manage these risks through our underwriting criteria and closely monitoring the performance of the portfolio.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PAYDAY LOAN REVENUE RECOGNITION: We accrue fees in accordance with state laws on the percentage of payday loans we believe to be collectible. Accrued fees related to defaulted loans reduce fee revenue upon loan default, and increase fee revenue upon collection. Payday loan fee revenue is included in “Signature loan fees” on our statements of operations. Loan terms are generally less than 30 days, averaging about 18 days.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PAYDAY LOAN BAD DEBT: We consider a loan defaulted if it has not been repaid or renewed by the maturity date. Although defaulted loans may 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We account for the sale of defaulted accounts in the same manner as internal collections of defaulted accounts.</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PAYDAY LOAN ALLOWANCE FOR LOSSES: We also provide an allowance for losses on payday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At September 30, 2008, the combined allowances for uncollectible principal and interest on payday loans were $0.7 million.</w:t>
      </w:r>
    </w:p>
    <w:p>
      <w:pPr>
        <w:spacing w:after="0" w:line="9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INVENTORY: 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 moving inventory. The allowance is based on the type and age of merchandise and recent sales trends and margins. At September 30, 2008, the inventory valuation allowance was</w:t>
      </w:r>
    </w:p>
    <w:p>
      <w:pPr>
        <w:spacing w:after="0" w:line="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$4.0 million, or 8.5% of gross inventory. We record changes in the inventory valuation allowance as cost of goods sold. The accuracy of our inventory allowance is dependent on our ability to predict future events based on historical trends. Unexpected variations in sales margins, inventory turnover, or other factors, including fluctuations in gold values could increase or decrease our inventory allowance.</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INCOME TAXES: As part of the process of preparing the consolidated financial statements, we estimate income taxes in each jurisdiction in which we operate. This involves estimating the actual current tax liability and assessing temporary differences in recognition of income for tax and accounting purposes. These differences result in deferred tax assets and liabilities that we include in our balance sheet. We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We assess the need for a deferred tax asset valuation allowance quarterly. Our valuation allowance was $0.2 million at September 30, 2008, compared to $0.4 million at September 30, 2007. As a result of a taxable gain on the sale of property, we reduced the valuation allowance in the fourth quarter of fiscal 2008 due to the utilization of a capital loss carry-forward that was previously reserved.</w:t>
      </w:r>
    </w:p>
    <w:p>
      <w:pPr>
        <w:spacing w:after="0" w:line="9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Effective October 1, 2007, we adopted Financial Interpretation No. 48, “Accounting for Uncertainty in Income Taxes” (“FIN 48”). See Note J, “Income Taxes,” to our Consolidated Financial Statements for further discussion and related disclosures.</w:t>
      </w:r>
    </w:p>
    <w:p>
      <w:pPr>
        <w:spacing w:after="0" w:line="89"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SHARE-BASED COMPENSATION: We account for share-based compensation in accordance with the fair value recognition provisions of SFAS No. 123(R), “Share-based Payment.” We estimate the grant-date fair value of options using the Black-Scholes-Merton option-pricing model and amortize that fair value to compensation expense on a straight-line basis over the options’ vesting periods.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balances have been reclassified to conform to the current year presentation.</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Pending at September 30, 2008</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On November 13, 2008, we acquired the operating assets of eleven pawnshops located in Las Vegas, North Las Vegas and Henderson, Nevada that operate under the Pawn Plus, Pawn Place and ASAP Pawn brands for approximately $ 34.3 million. $17.3 million of the purchase price was paid through the issuance of 1,116,505 shares of our Class A Non-voting Common Stock, and the remaining $17.0 million was paid in cash.</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September 16, 2008, we agreed to acquire through a merger all of the capital stock of Value Financial Services, Inc. (“VFS”). In the merger, we will acquire VFS’s 67 pawn stores, most of which are in Florida. The total purchase price may increase upon the payment of contingent consideration, as described below, depending on the price at which the sellers sell the EZCORP shares they will acquire as part of the merger consideration. As merger consideration, each VFS shareholder may choose to receive either (1) 0.75 shares of EZCORP Class A Non-voting Common Stock (the “EZCORP shares”), rounded up to the nearest whole EZCORP Share, or (2) $11.00 cash for each share of VFS common stock owned by such shareholder at the effective time of the merger. The cash consideration is limited to 20% or less of the VFS common stock. Assuming the exercise of all options, warrants or other conversion rights, we expect to acquire 6,646,370 shares of VFS Common Stock in the merger.</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EZCORP agreed to provide VFS shareholders some price protections if they sell their EZCORP Shares received in the merger within 125 days after the closing of the merger. Pursuant to this, EZCORP will pay a selling shareholder the difference between $14.67 per share and the gross price per share the selling shareholder actually receives, if less than $14.67 per share, up to a maximum of $4.01 per share. As an inducement to enter the merger agreement, EZCORP has also agreed to provide VFS shareholders who decide to sell their EZCORP Shares within</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125 days after the closing of the merger a premium for sales of their EZCORP Shares for more than $14.67 per share. For VFS shareholders who sell their EZCORP Shares for more than $14.67 per share and, after a five day waiting period to facilitate share distribution, within the</w:t>
      </w:r>
    </w:p>
    <w:p>
      <w:pPr>
        <w:spacing w:after="0" w:line="2" w:lineRule="exact"/>
        <w:rPr>
          <w:sz w:val="20"/>
          <w:szCs w:val="20"/>
          <w:color w:val="auto"/>
        </w:rPr>
      </w:pPr>
    </w:p>
    <w:p>
      <w:pPr>
        <w:ind w:right="120" w:firstLine="8"/>
        <w:spacing w:after="0" w:line="239"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35 day period from the date of the closing of the merger, EZCORP will pay $1.33 per share, (2) second 30 day period from the date of the closing of the merger, $1.00 per share, (3) third 30 day period from the date of the closing of the merger, $0.67 per share, and (4) fourth 30 day period from the date of the closing of the merger, $0.33 per share. We are currently unable to estimate the amount of contingent consideration that will be paid under the provisions described in this paragraph.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Excluding the contingent consideration that is not currently known, we estimate the total VFS acquisition price to be approximately</w:t>
      </w:r>
    </w:p>
    <w:p>
      <w:pPr>
        <w:spacing w:after="0" w:line="234" w:lineRule="auto"/>
        <w:rPr>
          <w:sz w:val="20"/>
          <w:szCs w:val="20"/>
          <w:color w:val="auto"/>
        </w:rPr>
      </w:pPr>
      <w:r>
        <w:rPr>
          <w:rFonts w:ascii="Arial" w:cs="Arial" w:eastAsia="Arial" w:hAnsi="Arial"/>
          <w:sz w:val="18"/>
          <w:szCs w:val="18"/>
          <w:color w:val="auto"/>
        </w:rPr>
        <w:t>$80.6 million, plus the assumption of VFS outstanding debt of approximately $35.3 million, for an aggregate value of approximately</w:t>
      </w:r>
    </w:p>
    <w:p>
      <w:pPr>
        <w:spacing w:after="0" w:line="235" w:lineRule="auto"/>
        <w:rPr>
          <w:sz w:val="20"/>
          <w:szCs w:val="20"/>
          <w:color w:val="auto"/>
        </w:rPr>
      </w:pPr>
      <w:r>
        <w:rPr>
          <w:rFonts w:ascii="Arial" w:cs="Arial" w:eastAsia="Arial" w:hAnsi="Arial"/>
          <w:sz w:val="18"/>
          <w:szCs w:val="18"/>
          <w:color w:val="auto"/>
        </w:rPr>
        <w:t>$115.9 million. The ultimate total purchase price will vary from this amount based on the value of EZCORP’s stock, the amount of VFS</w:t>
      </w:r>
    </w:p>
    <w:p>
      <w:pPr>
        <w:spacing w:after="0" w:line="235" w:lineRule="auto"/>
        <w:rPr>
          <w:sz w:val="20"/>
          <w:szCs w:val="20"/>
          <w:color w:val="auto"/>
        </w:rPr>
      </w:pPr>
      <w:r>
        <w:rPr>
          <w:rFonts w:ascii="Arial" w:cs="Arial" w:eastAsia="Arial" w:hAnsi="Arial"/>
          <w:sz w:val="18"/>
          <w:szCs w:val="18"/>
          <w:color w:val="auto"/>
        </w:rPr>
        <w:t>shareholders electing to receive cash in lieu of EZCORP shares, and any contingent consideration that will become payable, up to a maximum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possible contingent payment of $20.0 million. We anticipate completing the VFS acquisition on December 31,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2008 Compared to Fiscal 2007</w:t>
      </w:r>
    </w:p>
    <w:p>
      <w:pPr>
        <w:spacing w:after="0" w:line="126"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 following discussion compares our results of operations for the current year ended September 30, 2008 to the prior year ended September 30, 2007. It should be read with the accompanying consolidated financial statements and related notes.</w:t>
      </w:r>
    </w:p>
    <w:p>
      <w:pPr>
        <w:spacing w:after="0" w:line="89"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Included in the fiscal 2008 results is the impact of Hurricane Ike, which made landfall near Houston, Texas on September 13, 2008. In September 2008, the Company lost approximately 1,000 store days due to the hurricane and the resulting power outages. We estimate this reduced our fiscal 2008 pre-tax income by approximately $2.5 million. In the EZPAWN U.S. Operations segment, we estimate the hurricane reduced sales gross profit $0.2 million, reduced pawn service charges $0.6 million, and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increased operating expenses $0.2 million. In the EZMONEY Operations segment, we estimate the hurricane reduced signature loan fee revenues $0.9 million and increased signature loan bad debt $0.5 million. The remaining impact was a loss on the disposal of assets destroyed by the storm, net of insurance recoveries expected. These effects are included in the results discussed below.</w:t>
      </w:r>
    </w:p>
    <w:p>
      <w:pPr>
        <w:spacing w:after="0" w:line="28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EZPAWN U.S. Operations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EZPAWN U.S. Operations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color w:val="auto"/>
              </w:rPr>
              <w:t>Year Ended September 30,</w:t>
            </w:r>
          </w:p>
        </w:tc>
      </w:tr>
      <w:tr>
        <w:trPr>
          <w:trHeight w:val="157"/>
        </w:trPr>
        <w:tc>
          <w:tcPr>
            <w:tcW w:w="9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2007</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r>
      <w:tr>
        <w:trPr>
          <w:trHeight w:val="156"/>
        </w:trPr>
        <w:tc>
          <w:tcPr>
            <w:tcW w:w="9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jc w:val="right"/>
              <w:ind w:right="331"/>
              <w:spacing w:after="0" w:line="155"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192,832</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225,747</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73,471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89,431</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fees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2,782</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2,116</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270,945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320,076</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117,923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135,142</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153,022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184,934</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Store operating expenses: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Operations expense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87,151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96,674</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bad debt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1,108</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store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88,541</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97,782</w:t>
            </w:r>
          </w:p>
        </w:tc>
        <w:tc>
          <w:tcPr>
            <w:tcW w:w="160" w:type="dxa"/>
            <w:vAlign w:val="bottom"/>
            <w:shd w:val="clear" w:color="auto" w:fill="CCEEFF"/>
          </w:tcPr>
          <w:p>
            <w:pPr>
              <w:spacing w:after="0"/>
              <w:rPr>
                <w:sz w:val="17"/>
                <w:szCs w:val="17"/>
                <w:color w:val="auto"/>
              </w:rPr>
            </w:pPr>
          </w:p>
        </w:tc>
      </w:tr>
      <w:tr>
        <w:trPr>
          <w:trHeight w:val="210"/>
        </w:trPr>
        <w:tc>
          <w:tcPr>
            <w:tcW w:w="9000" w:type="dxa"/>
            <w:vAlign w:val="bottom"/>
          </w:tcPr>
          <w:p>
            <w:pPr>
              <w:ind w:left="420"/>
              <w:spacing w:after="0"/>
              <w:rPr>
                <w:sz w:val="20"/>
                <w:szCs w:val="20"/>
                <w:color w:val="auto"/>
              </w:rPr>
            </w:pPr>
            <w:r>
              <w:rPr>
                <w:rFonts w:ascii="Arial" w:cs="Arial" w:eastAsia="Arial" w:hAnsi="Arial"/>
                <w:sz w:val="18"/>
                <w:szCs w:val="18"/>
                <w:color w:val="auto"/>
              </w:rPr>
              <w:t>Store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64,481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87,152</w:t>
            </w:r>
          </w:p>
        </w:tc>
      </w:tr>
      <w:tr>
        <w:trPr>
          <w:trHeight w:val="20"/>
        </w:trPr>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data: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Gross margin on sales</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Annual inventory turnover</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3.4x</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3.5x</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Average pawn loan balance per pawn store at year end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206</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Average inventory per pawn store at year end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128</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Average yield on pawn loan portfolio (a)</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 loan redemption rate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17"/>
        </w:trPr>
        <w:tc>
          <w:tcPr>
            <w:tcW w:w="9000" w:type="dxa"/>
            <w:vAlign w:val="bottom"/>
          </w:tcPr>
          <w:p>
            <w:pPr>
              <w:ind w:left="220"/>
              <w:spacing w:after="0"/>
              <w:rPr>
                <w:sz w:val="20"/>
                <w:szCs w:val="20"/>
                <w:color w:val="auto"/>
              </w:rPr>
            </w:pPr>
            <w:r>
              <w:rPr>
                <w:rFonts w:ascii="Arial" w:cs="Arial" w:eastAsia="Arial" w:hAnsi="Arial"/>
                <w:sz w:val="18"/>
                <w:szCs w:val="18"/>
                <w:color w:val="auto"/>
              </w:rPr>
              <w:t>Average signature loan balance per store offering signature loans at year end (b)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20" w:hanging="452"/>
        <w:spacing w:after="0" w:line="24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yield on pawn loan portfolio is calculated as pawn service charge revenue for the year divided by the average pawn loan balance during the year.</w:t>
      </w:r>
    </w:p>
    <w:p>
      <w:pPr>
        <w:spacing w:after="0" w:line="48" w:lineRule="exact"/>
        <w:rPr>
          <w:rFonts w:ascii="Arial" w:cs="Arial" w:eastAsia="Arial" w:hAnsi="Arial"/>
          <w:sz w:val="18"/>
          <w:szCs w:val="18"/>
          <w:color w:val="auto"/>
        </w:rPr>
      </w:pPr>
    </w:p>
    <w:p>
      <w:pPr>
        <w:ind w:left="460" w:right="400" w:hanging="452"/>
        <w:spacing w:after="0" w:line="24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current year pawn service charge revenue increased 22%, or $16 million from the prior year to $89.4 million. This was due to a three percentage point increase in loan yields to 146%, coupled with a 19% higher average pawn loan balance. Same store pawn service charges increased 17% from the prior year, with the remaining increase coming from acquired stores. We estimate temporary store closures from Hurricane Ike in September 2008, discussed above, reduced pawn service charges approximately $0.6 million. In the last two years, we have periodically raised our loan values on gold jewelry in response to increases in gold market values and similar changes by our competitors. This contributed about $7.0 million to the increase in pawn service charges in the current year.</w:t>
      </w:r>
    </w:p>
    <w:p>
      <w:pPr>
        <w:spacing w:after="0" w:line="9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the current year, $87.1 million of recorded pawn service charge revenue was collected in cash, and $2.3 million was due to an increase in pawn service charges receivable related to the larger ending portfolio in the current year. In the prior year, $71.6 million of recorded pawn service charge revenue was collected in cash, and $1.9 million was due to an increase in pawn service charges receivable.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sales volume, gross profit and gross margins: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gridSpan w:val="7"/>
          </w:tcPr>
          <w:p>
            <w:pPr>
              <w:spacing w:after="0"/>
              <w:rPr>
                <w:sz w:val="20"/>
                <w:szCs w:val="20"/>
                <w:color w:val="auto"/>
              </w:rPr>
            </w:pPr>
            <w:r>
              <w:rPr>
                <w:rFonts w:ascii="Arial" w:cs="Arial" w:eastAsia="Arial" w:hAnsi="Arial"/>
                <w:sz w:val="14"/>
                <w:szCs w:val="14"/>
                <w:color w:val="auto"/>
              </w:rPr>
              <w:t>Fiscal Year Ended September 30,</w:t>
            </w: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2007</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6"/>
          </w:tcPr>
          <w:p>
            <w:pPr>
              <w:jc w:val="right"/>
              <w:ind w:right="640"/>
              <w:spacing w:after="0" w:line="155" w:lineRule="exact"/>
              <w:rPr>
                <w:sz w:val="20"/>
                <w:szCs w:val="20"/>
                <w:color w:val="auto"/>
              </w:rPr>
            </w:pPr>
            <w:r>
              <w:rPr>
                <w:rFonts w:ascii="Arial" w:cs="Arial" w:eastAsia="Arial" w:hAnsi="Arial"/>
                <w:sz w:val="14"/>
                <w:szCs w:val="14"/>
                <w:i w:val="1"/>
                <w:iCs w:val="1"/>
                <w:color w:val="auto"/>
              </w:rPr>
              <w:t>(Dollars in millions)</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Merchandise sales</w:t>
            </w:r>
          </w:p>
        </w:tc>
        <w:tc>
          <w:tcPr>
            <w:tcW w:w="3060" w:type="dxa"/>
            <w:vAlign w:val="bottom"/>
            <w:gridSpan w:val="2"/>
            <w:shd w:val="clear" w:color="auto" w:fill="CCEEFF"/>
          </w:tcPr>
          <w:p>
            <w:pPr>
              <w:ind w:left="29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141.0</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149.9</w:t>
            </w:r>
          </w:p>
        </w:tc>
      </w:tr>
      <w:tr>
        <w:trPr>
          <w:trHeight w:val="210"/>
        </w:trPr>
        <w:tc>
          <w:tcPr>
            <w:tcW w:w="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Jewelry scrapping sales</w:t>
            </w: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192.8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225.7</w:t>
            </w:r>
          </w:p>
        </w:tc>
      </w:tr>
      <w:tr>
        <w:trPr>
          <w:trHeight w:val="405"/>
        </w:trPr>
        <w:tc>
          <w:tcPr>
            <w:tcW w:w="6180" w:type="dxa"/>
            <w:vAlign w:val="bottom"/>
            <w:gridSpan w:val="2"/>
          </w:tcPr>
          <w:p>
            <w:pPr>
              <w:spacing w:after="0"/>
              <w:rPr>
                <w:sz w:val="20"/>
                <w:szCs w:val="20"/>
                <w:color w:val="auto"/>
              </w:rPr>
            </w:pPr>
            <w:r>
              <w:rPr>
                <w:rFonts w:ascii="Arial" w:cs="Arial" w:eastAsia="Arial" w:hAnsi="Arial"/>
                <w:sz w:val="18"/>
                <w:szCs w:val="18"/>
                <w:color w:val="auto"/>
              </w:rPr>
              <w:t>Gross profit on merchandise sales</w:t>
            </w:r>
          </w:p>
        </w:tc>
        <w:tc>
          <w:tcPr>
            <w:tcW w:w="3060" w:type="dxa"/>
            <w:vAlign w:val="bottom"/>
            <w:gridSpan w:val="2"/>
          </w:tcPr>
          <w:p>
            <w:pPr>
              <w:ind w:left="2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57.5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29.6</w:t>
            </w:r>
          </w:p>
        </w:tc>
      </w:tr>
      <w:tr>
        <w:trPr>
          <w:trHeight w:val="405"/>
        </w:trPr>
        <w:tc>
          <w:tcPr>
            <w:tcW w:w="6180" w:type="dxa"/>
            <w:vAlign w:val="bottom"/>
            <w:gridSpan w:val="2"/>
          </w:tcPr>
          <w:p>
            <w:pPr>
              <w:spacing w:after="0"/>
              <w:rPr>
                <w:sz w:val="20"/>
                <w:szCs w:val="20"/>
                <w:color w:val="auto"/>
              </w:rPr>
            </w:pPr>
            <w:r>
              <w:rPr>
                <w:rFonts w:ascii="Arial" w:cs="Arial" w:eastAsia="Arial" w:hAnsi="Arial"/>
                <w:sz w:val="18"/>
                <w:szCs w:val="18"/>
                <w:color w:val="auto"/>
              </w:rPr>
              <w:t>Gross margin on merchandise sales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40.7%</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217"/>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Overall gross margin</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40.1%</w:t>
            </w:r>
          </w:p>
        </w:tc>
      </w:tr>
    </w:tbl>
    <w:p>
      <w:pPr>
        <w:spacing w:after="0" w:line="9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current year merchandise gross profit increased $3.5 million from the prior year to $61.0 million. This was due to a $3.3 million, or 2% increase in same store merchandise sales and a $5.7 million increase in sales from acquired stores, partially offset by a 0.1 percentage point decrease in gross margins. We estimate temporary store closures from Hurricane Ike in September 2008 reduced the gross profit on merchandise sales approximately $0.2 million.</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gross profit on jewelry scrapping sales increased $12.2 million from the prior year to $29.6 million. This was due to a $23.9 million, or 46% increase in jewelry scrapping sales on 12% more volume, and a 5.5 percentage point increase in margins. The jewelry scrapping sales include the current year sale of approximately $1.2 million of loose diamonds removed from scrapped jewelry, compared to approximately $1.6 million in fiscal 2007. The proceeds refiners pay us for jewelry has increased in the last year in response to higher gold values. We also increased the amount we loan on jewelry and pay to purchase jewelry from customers, increasing the cost of these items. We estimate these factors had a $10.0 million positive net effect on the gross profit from jewelry scrapping sales.</w:t>
      </w:r>
    </w:p>
    <w:p>
      <w:pPr>
        <w:spacing w:after="0" w:line="9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segment’s signature loan contribution, or fee revenue less bad debt, decreased $0.3 million in the current year, primarily due to lower average loan balances, somewhat offset by an improvement in bad debt to 39.8% of fees compared to 41.9% in fiscal 2007.</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Operations expense improved to 52% of net revenues ($96.7 million) in the current year from 57% of net revenues ($87.2 million) in the prior year, as operating expenses grew at a slower pace than the segment’s net revenues. Many of our store level operating expenses are fixed. We generally gain efficiencies by growing same store revenues and leveraging their fixed costs.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the current year, the $32.5 million greater net revenue from pawn activities, partially offset by a $0.3 million decrease in contribution from signature loans and the $9.5 million higher operations expenses resulted in a $22.7 million overall increase in store operating income from the EZPAWN U.S. Operations segment compared to fiscal 2007. For the year, the segment comprised 68% of consolidated store operating income compared to 66% in the prior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Empeño Fácil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Empeño Fácil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color w:val="auto"/>
              </w:rPr>
              <w:t>Year Ended September 30,</w:t>
            </w:r>
          </w:p>
        </w:tc>
      </w:tr>
      <w:tr>
        <w:trPr>
          <w:trHeight w:val="157"/>
        </w:trPr>
        <w:tc>
          <w:tcPr>
            <w:tcW w:w="6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3"/>
              <w:spacing w:after="0" w:line="157" w:lineRule="exact"/>
              <w:rPr>
                <w:sz w:val="20"/>
                <w:szCs w:val="20"/>
                <w:color w:val="auto"/>
              </w:rPr>
            </w:pPr>
            <w:r>
              <w:rPr>
                <w:rFonts w:ascii="Arial" w:cs="Arial" w:eastAsia="Arial" w:hAnsi="Arial"/>
                <w:sz w:val="14"/>
                <w:szCs w:val="14"/>
                <w:color w:val="auto"/>
              </w:rPr>
              <w:t>2007</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r>
      <w:tr>
        <w:trPr>
          <w:trHeight w:val="156"/>
        </w:trPr>
        <w:tc>
          <w:tcPr>
            <w:tcW w:w="6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251"/>
              <w:spacing w:after="0" w:line="155"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Sales</w:t>
            </w:r>
          </w:p>
        </w:tc>
        <w:tc>
          <w:tcPr>
            <w:tcW w:w="2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155</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6,813</w:t>
            </w: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Pawn service charges</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4,813</w:t>
            </w: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11,631</w:t>
            </w: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goods sold</w:t>
            </w:r>
          </w:p>
        </w:tc>
        <w:tc>
          <w:tcPr>
            <w:tcW w:w="2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4,260</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7,371</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Store operating expenses:</w:t>
            </w: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Operations expense</w:t>
            </w:r>
          </w:p>
        </w:tc>
        <w:tc>
          <w:tcPr>
            <w:tcW w:w="2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4,066</w:t>
            </w:r>
          </w:p>
        </w:tc>
        <w:tc>
          <w:tcPr>
            <w:tcW w:w="160" w:type="dxa"/>
            <w:vAlign w:val="bottom"/>
          </w:tcPr>
          <w:p>
            <w:pPr>
              <w:spacing w:after="0"/>
              <w:rPr>
                <w:sz w:val="18"/>
                <w:szCs w:val="18"/>
                <w:color w:val="auto"/>
              </w:rPr>
            </w:pPr>
          </w:p>
        </w:tc>
      </w:tr>
      <w:tr>
        <w:trPr>
          <w:trHeight w:val="203"/>
        </w:trPr>
        <w:tc>
          <w:tcPr>
            <w:tcW w:w="69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store operating expenses</w:t>
            </w:r>
          </w:p>
        </w:tc>
        <w:tc>
          <w:tcPr>
            <w:tcW w:w="2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4,066</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ind w:left="420"/>
              <w:spacing w:after="0"/>
              <w:rPr>
                <w:sz w:val="20"/>
                <w:szCs w:val="20"/>
                <w:color w:val="auto"/>
              </w:rPr>
            </w:pPr>
            <w:r>
              <w:rPr>
                <w:rFonts w:ascii="Arial" w:cs="Arial" w:eastAsia="Arial" w:hAnsi="Arial"/>
                <w:sz w:val="18"/>
                <w:szCs w:val="18"/>
                <w:color w:val="auto"/>
              </w:rPr>
              <w:t>Store operating income (loss)</w:t>
            </w: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3,305</w:t>
            </w:r>
          </w:p>
        </w:tc>
      </w:tr>
      <w:tr>
        <w:trPr>
          <w:trHeight w:val="20"/>
        </w:trPr>
        <w:tc>
          <w:tcPr>
            <w:tcW w:w="6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data:</w:t>
            </w: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Gross margin on sales</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Annual inventory turnover</w:t>
            </w: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1.1x</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2.3x</w:t>
            </w: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Average pawn loan balance per pawn store at year end</w:t>
            </w:r>
          </w:p>
        </w:tc>
        <w:tc>
          <w:tcPr>
            <w:tcW w:w="2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35</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Average inventory per pawn store at year end</w:t>
            </w:r>
          </w:p>
        </w:tc>
        <w:tc>
          <w:tcPr>
            <w:tcW w:w="2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48</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w:t>
            </w:r>
          </w:p>
        </w:tc>
      </w:tr>
      <w:tr>
        <w:trPr>
          <w:trHeight w:val="203"/>
        </w:trPr>
        <w:tc>
          <w:tcPr>
            <w:tcW w:w="6900" w:type="dxa"/>
            <w:vAlign w:val="bottom"/>
          </w:tcPr>
          <w:p>
            <w:pPr>
              <w:ind w:left="220"/>
              <w:spacing w:after="0" w:line="202" w:lineRule="exact"/>
              <w:rPr>
                <w:sz w:val="20"/>
                <w:szCs w:val="20"/>
                <w:color w:val="auto"/>
              </w:rPr>
            </w:pPr>
            <w:r>
              <w:rPr>
                <w:rFonts w:ascii="Arial" w:cs="Arial" w:eastAsia="Arial" w:hAnsi="Arial"/>
                <w:sz w:val="18"/>
                <w:szCs w:val="18"/>
                <w:color w:val="auto"/>
              </w:rPr>
              <w:t>Average yield on pawn loan portfolio (a)</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 loan redemption rate</w:t>
            </w:r>
          </w:p>
        </w:tc>
        <w:tc>
          <w:tcPr>
            <w:tcW w:w="2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4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yield on pawn loan portfolio is calculated as pawn service charge revenue for the year divided by the average pawn loan balance during the year.</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 fiscal year 2007, our Empeño Fácil segment included the results from our first four stores opened in fiscal 2007. Fiscal year 2008 includes results from those stores, the twenty stores acquired October 22, 2007, and the fourteen additional stores opened during fiscal year 2008.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sales volume, gross profit, and gross margins in the Empeño Fácil segment: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gridSpan w:val="7"/>
          </w:tcPr>
          <w:p>
            <w:pPr>
              <w:spacing w:after="0"/>
              <w:rPr>
                <w:sz w:val="20"/>
                <w:szCs w:val="20"/>
                <w:color w:val="auto"/>
              </w:rPr>
            </w:pPr>
            <w:r>
              <w:rPr>
                <w:rFonts w:ascii="Arial" w:cs="Arial" w:eastAsia="Arial" w:hAnsi="Arial"/>
                <w:sz w:val="14"/>
                <w:szCs w:val="14"/>
                <w:color w:val="auto"/>
              </w:rPr>
              <w:t>Fiscal Year Ended September 30,</w:t>
            </w: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2007</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6"/>
          </w:tcPr>
          <w:p>
            <w:pPr>
              <w:jc w:val="right"/>
              <w:ind w:right="640"/>
              <w:spacing w:after="0" w:line="155" w:lineRule="exact"/>
              <w:rPr>
                <w:sz w:val="20"/>
                <w:szCs w:val="20"/>
                <w:color w:val="auto"/>
              </w:rPr>
            </w:pPr>
            <w:r>
              <w:rPr>
                <w:rFonts w:ascii="Arial" w:cs="Arial" w:eastAsia="Arial" w:hAnsi="Arial"/>
                <w:sz w:val="14"/>
                <w:szCs w:val="14"/>
                <w:i w:val="1"/>
                <w:iCs w:val="1"/>
                <w:color w:val="auto"/>
              </w:rPr>
              <w:t>(Dollars in millions)</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Merchandise sales</w:t>
            </w:r>
          </w:p>
        </w:tc>
        <w:tc>
          <w:tcPr>
            <w:tcW w:w="3060" w:type="dxa"/>
            <w:vAlign w:val="bottom"/>
            <w:gridSpan w:val="2"/>
            <w:shd w:val="clear" w:color="auto" w:fill="CCEEFF"/>
          </w:tcPr>
          <w:p>
            <w:pPr>
              <w:ind w:left="29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0.2</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w:t>
            </w:r>
          </w:p>
        </w:tc>
      </w:tr>
      <w:tr>
        <w:trPr>
          <w:trHeight w:val="210"/>
        </w:trPr>
        <w:tc>
          <w:tcPr>
            <w:tcW w:w="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Jewelry scrapping sales</w:t>
            </w: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w:t>
            </w:r>
          </w:p>
        </w:tc>
      </w:tr>
      <w:tr>
        <w:trPr>
          <w:trHeight w:val="405"/>
        </w:trPr>
        <w:tc>
          <w:tcPr>
            <w:tcW w:w="6180" w:type="dxa"/>
            <w:vAlign w:val="bottom"/>
            <w:gridSpan w:val="2"/>
          </w:tcPr>
          <w:p>
            <w:pPr>
              <w:spacing w:after="0"/>
              <w:rPr>
                <w:sz w:val="20"/>
                <w:szCs w:val="20"/>
                <w:color w:val="auto"/>
              </w:rPr>
            </w:pPr>
            <w:r>
              <w:rPr>
                <w:rFonts w:ascii="Arial" w:cs="Arial" w:eastAsia="Arial" w:hAnsi="Arial"/>
                <w:sz w:val="18"/>
                <w:szCs w:val="18"/>
                <w:color w:val="auto"/>
              </w:rPr>
              <w:t>Gross profit on merchandise sales</w:t>
            </w:r>
          </w:p>
        </w:tc>
        <w:tc>
          <w:tcPr>
            <w:tcW w:w="3060" w:type="dxa"/>
            <w:vAlign w:val="bottom"/>
            <w:gridSpan w:val="2"/>
          </w:tcPr>
          <w:p>
            <w:pPr>
              <w:ind w:left="2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Gross margin on merchandise sales</w:t>
            </w: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46.7%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37.3%</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r>
      <w:tr>
        <w:trPr>
          <w:trHeight w:val="217"/>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Overall gross margin</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37.5%</w:t>
            </w:r>
          </w:p>
        </w:tc>
      </w:tr>
    </w:tbl>
    <w:p>
      <w:pPr>
        <w:spacing w:after="0" w:line="93"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current year’s merchandise gross profit increased to $2.2 million on $5.9 million of sales due to new and acquired stores and the maturation of the stores opened in fiscal 2007. Gross margins on merchandise sales were 37.3%.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current year’s gross profit on jewelry scrapping sales was $0.4 million on $0.9 million of proceeds. Gross margins on jewelry scrapping sales were 38.3%.</w:t>
      </w:r>
    </w:p>
    <w:p>
      <w:pPr>
        <w:spacing w:after="0" w:line="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Operations expense was 55% of segment net revenues ($4.1 million) in the current year. Operating expenses exceeded net revenues in the prior year during the start-up period of our Empeño Fácil operations.</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current year, the $7.2 million greater net revenue from Mexico pawn activities, partially offset by the $3.7 million higher operations expense, resulted in a $3.6 million overall improvement in store operating income from the Empeño Fácil segment compared to the $ 0.3 million loss in the prior year. For the current year, Empeño Fácil comprised 3% of consolidated store operating income, compared to a small loss in the start-up period in the prior year.</w:t>
      </w: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EZMONEY Operations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EZMONEY Operations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color w:val="auto"/>
              </w:rPr>
              <w:t>Year Ended September 30,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5"/>
              <w:spacing w:after="0" w:line="157" w:lineRule="exact"/>
              <w:rPr>
                <w:sz w:val="20"/>
                <w:szCs w:val="20"/>
                <w:color w:val="auto"/>
              </w:rPr>
            </w:pPr>
            <w:r>
              <w:rPr>
                <w:rFonts w:ascii="Arial" w:cs="Arial" w:eastAsia="Arial" w:hAnsi="Arial"/>
                <w:sz w:val="14"/>
                <w:szCs w:val="14"/>
                <w:color w:val="auto"/>
              </w:rPr>
              <w:t>2007</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jc w:val="right"/>
              <w:ind w:right="332"/>
              <w:spacing w:after="0" w:line="155"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fees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101,033</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125,696</w:t>
            </w:r>
          </w:p>
        </w:tc>
        <w:tc>
          <w:tcPr>
            <w:tcW w:w="0" w:type="dxa"/>
            <w:vAlign w:val="bottom"/>
          </w:tcPr>
          <w:p>
            <w:pPr>
              <w:spacing w:after="0"/>
              <w:rPr>
                <w:sz w:val="1"/>
                <w:szCs w:val="1"/>
                <w:color w:val="auto"/>
              </w:rPr>
            </w:pP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bad debt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27,118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Signature loan contribution (fees less bad debt)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73,915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89,654</w:t>
            </w:r>
          </w:p>
        </w:tc>
        <w:tc>
          <w:tcPr>
            <w:tcW w:w="0" w:type="dxa"/>
            <w:vAlign w:val="bottom"/>
          </w:tcPr>
          <w:p>
            <w:pPr>
              <w:spacing w:after="0"/>
              <w:rPr>
                <w:sz w:val="1"/>
                <w:szCs w:val="1"/>
                <w:color w:val="auto"/>
              </w:rPr>
            </w:pPr>
          </w:p>
        </w:tc>
      </w:tr>
      <w:tr>
        <w:trPr>
          <w:trHeight w:val="412"/>
        </w:trPr>
        <w:tc>
          <w:tcPr>
            <w:tcW w:w="9000" w:type="dxa"/>
            <w:vAlign w:val="bottom"/>
          </w:tcPr>
          <w:p>
            <w:pPr>
              <w:ind w:left="220"/>
              <w:spacing w:after="0"/>
              <w:rPr>
                <w:sz w:val="20"/>
                <w:szCs w:val="20"/>
                <w:color w:val="auto"/>
              </w:rPr>
            </w:pPr>
            <w:r>
              <w:rPr>
                <w:rFonts w:ascii="Arial" w:cs="Arial" w:eastAsia="Arial" w:hAnsi="Arial"/>
                <w:sz w:val="18"/>
                <w:szCs w:val="18"/>
                <w:color w:val="auto"/>
              </w:rPr>
              <w:t>Operations expense</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Store operating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32,868</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36,974</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color w:val="auto"/>
              </w:rPr>
              <w:t>Other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bad debt as a percent of signature loan fees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7"/>
        </w:trPr>
        <w:tc>
          <w:tcPr>
            <w:tcW w:w="9000" w:type="dxa"/>
            <w:vAlign w:val="bottom"/>
          </w:tcPr>
          <w:p>
            <w:pPr>
              <w:ind w:left="220"/>
              <w:spacing w:after="0"/>
              <w:rPr>
                <w:sz w:val="20"/>
                <w:szCs w:val="20"/>
                <w:color w:val="auto"/>
              </w:rPr>
            </w:pPr>
            <w:r>
              <w:rPr>
                <w:rFonts w:ascii="Arial" w:cs="Arial" w:eastAsia="Arial" w:hAnsi="Arial"/>
                <w:sz w:val="18"/>
                <w:szCs w:val="18"/>
                <w:color w:val="auto"/>
              </w:rPr>
              <w:t>Average signature loan balance per store offering signature loans at year end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400" w:hanging="452"/>
        <w:spacing w:after="0" w:line="24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segment’s signature loan contribution, or fees less bad debt, increased $15.7 million, or 21% compared to fiscal 2007. The primary driver of the increased contribution is the addition of new stores, resulting in a 24% increase in the current year signature loan fee revenue. Signature loan bad debt increased $8.9 million to 28.7% of related fees in the current year compared to 26.8% in the prior year. We believe the effects of the economic stimulus checks distributed May through July dampened demand for new loans during the period but benefited bad debt. We estimate that power outages resulting from Hurricane Ike, which caused temporary closures in EZMONEY stores in the Houston, Texas area in September 2008, as discussed above, reduced signature loan fee revenues approximately $0.9 million and increased bad debt approximately $0.5 million, or 0.4% of fee revenues for the year. For the past several years, we also have sold our bad debt, on a weekly basis, to third parties after 60 days of internal collection efforts, but market rates for debt sales have declined over the last two years. Beginning in the March 2008 quarter, we now continue to attempt collection of our bad debt past 60 days and are employing a combination of in-house collections and third party debt sales and are testing several new ancillary collection techniques.</w:t>
      </w:r>
    </w:p>
    <w:p>
      <w:pPr>
        <w:spacing w:after="0" w:line="9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Operations expense increased $11.6 million in the current year to $52.7 million, or 42% of segment revenues from 41% in the prior year. The increase was mostly from additional labor, rent and other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at new and existing stores. In the current year, operations expense was $117,327 per average store, compared to $113,390 per average store in fiscal 2007. Stores adjoining an EZPAWN location, which generally have lower operating costs, now comprise a smaller percentage of the total EZMONEY stores.</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Included in the current year’s results is a $0.5 million charge to the EZMONEY segment’s operating income related to the closure of eleven Florida stores following a regulatory action, as more fully described in Note O to the consolidated financial statements included in this annual report on Form 10-K. Approximately $ 0.2 million was recorded as a reduction of fee revenue, and $0.3 million was recorded as bad debt in the current year based on the increase in loans that were not collected as a result of these store closures.</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the current year, the $ 15.7 million increase in signature loan fees net of bad debt and $11.6 million greater operations expense resulted in a $4.1 million net increase in store operating income from the EZMONEY Operations segment. For the current year, EZMONEY Operations comprised 29% of consolidated store operating income compared to 34% in fiscal 2007, as operating income from the EZPAWN U.S. Operations and Empeño Fácil segments grew at a faster pace.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items discussed below affect our consolidated financial results, but are not allocated between segments.</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Administrative expenses in the current year were $40.5 million compared to $31.7 million in the prior year. Administrative expenses increased to 12.7% from 12.5% in the prior year, when measured as a percentage of net revenue. The dollar increase was due primarily to a $ 4.6 million increase in administrative labor and benefits, a $1.9 million increase in professional fees &amp; services, a $0.5 million increase in travel and transportation expenses and a $0.6 million settlement of a lawsuit from the Texas Attorney General as more fully described in Note O to the attached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$12.4 million in the current year, compared to $9.8 million in the prior year. Depreciation on assets placed in service, primarily related to new EZMONEY and Empeño Fácil stores and acquired U.S. pawn stores exceeded the reduction from assets that became fully depreciated or were retired.</w:t>
      </w:r>
    </w:p>
    <w:p>
      <w:pPr>
        <w:spacing w:after="0" w:line="95"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We earned $0.5 million of interest income on our invested cash in the current year for a rate of return of 2.7%. In fiscal 2007, we earned $1.7 million of interest income on our invested cash, yielding a 5.0% rate of return.</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With no debt in the current year, our $0.4 million interest expense represents primarily the amortization of deferred financing costs, the commitment fee on our existing $40 million line of credit, and an incremental ticking fee on our new $ 120 million credit facility that will become effective upon the closing of the Value Financial Services acquisition. With no debt, interest expense of $0.3 million in the prior year represented primarily the amortization of deferred financing costs.</w:t>
      </w:r>
    </w:p>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equity in the net income of Albemarle and Bond Plc increased $1.4 million from fiscal 2007 to $4.3 million in the current year primarily as a result of A&amp;B’s higher earnings from same stores and from A&amp;B’s acquisition of a competitor in July 2007.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fiscal 2008 income tax expense was $25.6 million (32.8% of pretax income) compared to $22.1 million (36.8% of pretax income) for the</w:t>
      </w:r>
    </w:p>
    <w:p>
      <w:pPr>
        <w:spacing w:after="0" w:line="234" w:lineRule="auto"/>
        <w:rPr>
          <w:sz w:val="20"/>
          <w:szCs w:val="20"/>
          <w:color w:val="auto"/>
        </w:rPr>
      </w:pPr>
      <w:r>
        <w:rPr>
          <w:rFonts w:ascii="Arial" w:cs="Arial" w:eastAsia="Arial" w:hAnsi="Arial"/>
          <w:sz w:val="18"/>
          <w:szCs w:val="18"/>
          <w:color w:val="auto"/>
        </w:rPr>
        <w:t>prior year. In the current year, we recognized the benefit of a previously under-utilized foreign tax credit related to our investment in Albemarle</w:t>
      </w:r>
    </w:p>
    <w:p>
      <w:pPr>
        <w:spacing w:after="0" w:line="235" w:lineRule="auto"/>
        <w:rPr>
          <w:sz w:val="20"/>
          <w:szCs w:val="20"/>
          <w:color w:val="auto"/>
        </w:rPr>
      </w:pPr>
      <w:r>
        <w:rPr>
          <w:rFonts w:ascii="Arial" w:cs="Arial" w:eastAsia="Arial" w:hAnsi="Arial"/>
          <w:sz w:val="18"/>
          <w:szCs w:val="18"/>
          <w:color w:val="auto"/>
        </w:rPr>
        <w:t>and Bond Holdings Plc by electing to use the gross method rather than the net method in claiming this credit on our U.S. federal taxes. This</w:t>
      </w:r>
    </w:p>
    <w:p>
      <w:pPr>
        <w:spacing w:after="0" w:line="235" w:lineRule="auto"/>
        <w:rPr>
          <w:sz w:val="20"/>
          <w:szCs w:val="20"/>
          <w:color w:val="auto"/>
        </w:rPr>
      </w:pPr>
      <w:r>
        <w:rPr>
          <w:rFonts w:ascii="Arial" w:cs="Arial" w:eastAsia="Arial" w:hAnsi="Arial"/>
          <w:sz w:val="18"/>
          <w:szCs w:val="18"/>
          <w:color w:val="auto"/>
        </w:rPr>
        <w:t>resulted in a $3.4 million reduction in income tax expense compared to what would have been recognized under the net method. Of the</w:t>
      </w:r>
    </w:p>
    <w:p>
      <w:pPr>
        <w:spacing w:after="0" w:line="235" w:lineRule="auto"/>
        <w:rPr>
          <w:sz w:val="20"/>
          <w:szCs w:val="20"/>
          <w:color w:val="auto"/>
        </w:rPr>
      </w:pPr>
      <w:r>
        <w:rPr>
          <w:rFonts w:ascii="Arial" w:cs="Arial" w:eastAsia="Arial" w:hAnsi="Arial"/>
          <w:sz w:val="18"/>
          <w:szCs w:val="18"/>
          <w:color w:val="auto"/>
        </w:rPr>
        <w:t>$3.4 million total, $1.0 million relates to a reduction of taxes related to A&amp;B’s current year earnings and $2.4 million results from our ability to</w:t>
      </w:r>
    </w:p>
    <w:p>
      <w:pPr>
        <w:spacing w:after="0"/>
        <w:rPr>
          <w:sz w:val="20"/>
          <w:szCs w:val="20"/>
          <w:color w:val="auto"/>
        </w:rPr>
      </w:pPr>
      <w:r>
        <w:rPr>
          <w:rFonts w:ascii="Arial" w:cs="Arial" w:eastAsia="Arial" w:hAnsi="Arial"/>
          <w:sz w:val="18"/>
          <w:szCs w:val="18"/>
          <w:color w:val="auto"/>
        </w:rPr>
        <w:t>claim the larger credit by making the same election on amended prior year tax returns and by applying the same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approach to A&amp;B’s undistributed earnings from prior years. In the current year, we also generated a capital gain resulting in the reversal of</w:t>
      </w:r>
    </w:p>
    <w:p>
      <w:pPr>
        <w:spacing w:after="0" w:line="236" w:lineRule="auto"/>
        <w:rPr>
          <w:sz w:val="20"/>
          <w:szCs w:val="20"/>
          <w:color w:val="auto"/>
        </w:rPr>
      </w:pPr>
      <w:r>
        <w:rPr>
          <w:rFonts w:ascii="Arial" w:cs="Arial" w:eastAsia="Arial" w:hAnsi="Arial"/>
          <w:sz w:val="18"/>
          <w:szCs w:val="18"/>
          <w:color w:val="auto"/>
        </w:rPr>
        <w:t>$0.2 million from the valuation allowance previously placed on a capital loss carry-forward. In the fourth quarter, we also recorded a $0.4 million additional tax charge related to an uncertain tax position in accordance with Financial Interpretation No. 48. The net effect of the above items caused the decrease in the effective tax rate from fiscal 2007 to fiscal 2008. In the first three quarters of fiscal 2008, we also estimated we would not qualify as a retail company under the Texas Margins Tax based on the composition of our revenues, which would have doubled the applicable Texas tax rate compared to fiscal 2007, and accrued our taxes through the first three quarters of the year at the expected higher rate. In the fourth quarter, we determined we qualify as a retail company in Texas and lowered the applicable state tax rate in our accrued taxes. This resulted in no change in tax rates between years but only in the estimated tax rates between quarters in fiscal 2008. Taking into account all the above factors and our expectations for the next year, we estimate our effective tax rate in the year ending September 30, 2009 will be approximately 35.2%.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income for the current year improved $18.1 million over the prior year to $73.7 million. Contributing to this were the</w:t>
      </w:r>
    </w:p>
    <w:p>
      <w:pPr>
        <w:ind w:right="100"/>
        <w:spacing w:after="0" w:line="238" w:lineRule="auto"/>
        <w:rPr>
          <w:sz w:val="20"/>
          <w:szCs w:val="20"/>
          <w:color w:val="auto"/>
        </w:rPr>
      </w:pPr>
      <w:r>
        <w:rPr>
          <w:rFonts w:ascii="Arial" w:cs="Arial" w:eastAsia="Arial" w:hAnsi="Arial"/>
          <w:sz w:val="18"/>
          <w:szCs w:val="18"/>
          <w:color w:val="auto"/>
        </w:rPr>
        <w:t>$22.7 million, $3.6 million and $4.1 million increases in store operating income in our EZPAWN US, Empeño Fácil and EZMONEY Operations segments, partially offset by the $8.7 million increase in administrative expenses, $2.5 million increase in depreciation and amortization, and a $0.9 million loss on sale/disposal of assets compared to a small gain in fiscal 2007. After a $1.4 million increase in our equity interest in the earnings of Albemarle and Bond, a $ 1.3 million decrease in net interest income, and a $3.6 million increase in income taxes and other smaller items, net income improved to $52.4 million in fiscal 2008 from $37.9 million in fiscal 2007.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2007 Compared to Fiscal 2006</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following discussion compares our results of operations for the year ended September 30, 2007 to the year ended September 30, 2006. It should be read with the accompanying consolidated financial statements and related notes.</w:t>
      </w: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EZPAWN U.S. Operations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EZPAWN U.S. Operations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color w:val="auto"/>
              </w:rPr>
              <w:t>Year Ended September 30,</w:t>
            </w:r>
          </w:p>
        </w:tc>
      </w:tr>
      <w:tr>
        <w:trPr>
          <w:trHeight w:val="157"/>
        </w:trPr>
        <w:tc>
          <w:tcPr>
            <w:tcW w:w="9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2006</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3"/>
                <w:szCs w:val="13"/>
                <w:color w:val="auto"/>
              </w:rPr>
            </w:pPr>
          </w:p>
        </w:tc>
      </w:tr>
      <w:tr>
        <w:trPr>
          <w:trHeight w:val="156"/>
        </w:trPr>
        <w:tc>
          <w:tcPr>
            <w:tcW w:w="9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5"/>
          </w:tcPr>
          <w:p>
            <w:pPr>
              <w:jc w:val="right"/>
              <w:ind w:right="331"/>
              <w:spacing w:after="0" w:line="155"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177,424</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192,832</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65,325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73,471</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fees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3,155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3,314</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247,167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270,945</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106,873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117,923</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140,294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153,022</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Store operating expenses: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Operations expense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84,830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87,151</w:t>
            </w:r>
          </w:p>
        </w:tc>
      </w:tr>
      <w:tr>
        <w:trPr>
          <w:trHeight w:val="210"/>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bad debt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1,390</w:t>
            </w:r>
          </w:p>
        </w:tc>
        <w:tc>
          <w:tcPr>
            <w:tcW w:w="160" w:type="dxa"/>
            <w:vAlign w:val="bottom"/>
          </w:tcPr>
          <w:p>
            <w:pPr>
              <w:spacing w:after="0"/>
              <w:rPr>
                <w:sz w:val="18"/>
                <w:szCs w:val="18"/>
                <w:color w:val="auto"/>
              </w:rPr>
            </w:pPr>
          </w:p>
        </w:tc>
      </w:tr>
      <w:tr>
        <w:trPr>
          <w:trHeight w:val="203"/>
        </w:trPr>
        <w:tc>
          <w:tcPr>
            <w:tcW w:w="90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store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86,116</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88,541</w:t>
            </w:r>
          </w:p>
        </w:tc>
        <w:tc>
          <w:tcPr>
            <w:tcW w:w="160" w:type="dxa"/>
            <w:vAlign w:val="bottom"/>
            <w:shd w:val="clear" w:color="auto" w:fill="CCEEFF"/>
          </w:tcPr>
          <w:p>
            <w:pPr>
              <w:spacing w:after="0"/>
              <w:rPr>
                <w:sz w:val="17"/>
                <w:szCs w:val="17"/>
                <w:color w:val="auto"/>
              </w:rPr>
            </w:pPr>
          </w:p>
        </w:tc>
      </w:tr>
      <w:tr>
        <w:trPr>
          <w:trHeight w:val="210"/>
        </w:trPr>
        <w:tc>
          <w:tcPr>
            <w:tcW w:w="9000" w:type="dxa"/>
            <w:vAlign w:val="bottom"/>
          </w:tcPr>
          <w:p>
            <w:pPr>
              <w:ind w:left="420"/>
              <w:spacing w:after="0"/>
              <w:rPr>
                <w:sz w:val="20"/>
                <w:szCs w:val="20"/>
                <w:color w:val="auto"/>
              </w:rPr>
            </w:pPr>
            <w:r>
              <w:rPr>
                <w:rFonts w:ascii="Arial" w:cs="Arial" w:eastAsia="Arial" w:hAnsi="Arial"/>
                <w:sz w:val="18"/>
                <w:szCs w:val="18"/>
                <w:color w:val="auto"/>
              </w:rPr>
              <w:t>Store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54,178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64,481</w:t>
            </w:r>
          </w:p>
        </w:tc>
      </w:tr>
      <w:tr>
        <w:trPr>
          <w:trHeight w:val="20"/>
        </w:trPr>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data: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Gross margin on sales</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Annual inventory turnover</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3.2x</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3.4x</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Average pawn loan balance per pawn store at year end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Average inventory per pawn store at year end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127</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w:t>
            </w:r>
          </w:p>
        </w:tc>
      </w:tr>
      <w:tr>
        <w:trPr>
          <w:trHeight w:val="203"/>
        </w:trPr>
        <w:tc>
          <w:tcPr>
            <w:tcW w:w="9000" w:type="dxa"/>
            <w:vAlign w:val="bottom"/>
          </w:tcPr>
          <w:p>
            <w:pPr>
              <w:ind w:left="220"/>
              <w:spacing w:after="0" w:line="202" w:lineRule="exact"/>
              <w:rPr>
                <w:sz w:val="20"/>
                <w:szCs w:val="20"/>
                <w:color w:val="auto"/>
              </w:rPr>
            </w:pPr>
            <w:r>
              <w:rPr>
                <w:rFonts w:ascii="Arial" w:cs="Arial" w:eastAsia="Arial" w:hAnsi="Arial"/>
                <w:sz w:val="18"/>
                <w:szCs w:val="18"/>
                <w:color w:val="auto"/>
              </w:rPr>
              <w:t>Average yield on pawn loan portfolio (a)</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9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Pawn loan redemption rate</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17"/>
        </w:trPr>
        <w:tc>
          <w:tcPr>
            <w:tcW w:w="9000" w:type="dxa"/>
            <w:vAlign w:val="bottom"/>
          </w:tcPr>
          <w:p>
            <w:pPr>
              <w:ind w:left="220"/>
              <w:spacing w:after="0"/>
              <w:rPr>
                <w:sz w:val="20"/>
                <w:szCs w:val="20"/>
                <w:color w:val="auto"/>
              </w:rPr>
            </w:pPr>
            <w:r>
              <w:rPr>
                <w:rFonts w:ascii="Arial" w:cs="Arial" w:eastAsia="Arial" w:hAnsi="Arial"/>
                <w:sz w:val="18"/>
                <w:szCs w:val="18"/>
                <w:color w:val="auto"/>
              </w:rPr>
              <w:t>Average signature loan balance per store offering signature loans at year end (b)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20" w:hanging="452"/>
        <w:spacing w:after="0" w:line="24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yield on pawn loan portfolio is calculated as pawn service charge revenue for the year divided by the average pawn loan balance during the year.</w:t>
      </w:r>
    </w:p>
    <w:p>
      <w:pPr>
        <w:spacing w:after="0" w:line="48" w:lineRule="exact"/>
        <w:rPr>
          <w:rFonts w:ascii="Arial" w:cs="Arial" w:eastAsia="Arial" w:hAnsi="Arial"/>
          <w:sz w:val="18"/>
          <w:szCs w:val="18"/>
          <w:color w:val="auto"/>
        </w:rPr>
      </w:pPr>
    </w:p>
    <w:p>
      <w:pPr>
        <w:ind w:left="460" w:right="400" w:hanging="452"/>
        <w:spacing w:after="0" w:line="24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fiscal 2007 pawn service charge revenue increased 13%, or $8.1 million from fiscal 2006 to $73.5 million. The growth was due to an improvement in loan yields to 143% from 139% in fiscal 2006, and a 9% higher average pawn balance. Same store pawn service charges increased 10% from the prior year, with the remaining increase coming from new stores. In the last two years, we have periodically raised our loan values on gold jewelry in response to increases in gold market values and similar changes by our competitors. This contributed about $4.3 million to the increase in pawn service charges in the current year. The higher yield resulted largely from the fiscal 2006 mid-year conversion of most of our pawn stores from offering 90-day loan terms to offering 60-day terms.</w:t>
      </w:r>
    </w:p>
    <w:p>
      <w:pPr>
        <w:spacing w:after="0" w:line="9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 fiscal 2007, $ 71.6 million of recorded pawn service charge revenue was collected in cash, and $1.9 million was due to an increase in pawn service charges receivable related to the larger ending portfolio in the current year. In the prior year, $66.6 million of recorded pawn service charge revenue was collected in cash, offset by a $1.3 million decrease in pawn service charges receivable. The decrease in the prior year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720"/>
        <w:spacing w:after="0" w:line="246" w:lineRule="auto"/>
        <w:rPr>
          <w:sz w:val="20"/>
          <w:szCs w:val="20"/>
          <w:color w:val="auto"/>
        </w:rPr>
      </w:pPr>
      <w:r>
        <w:rPr>
          <w:rFonts w:ascii="Arial" w:cs="Arial" w:eastAsia="Arial" w:hAnsi="Arial"/>
          <w:sz w:val="18"/>
          <w:szCs w:val="18"/>
          <w:color w:val="auto"/>
        </w:rPr>
        <w:t>accrual was primarily due to shortening the loan term in most of our pawn stores in that period. The accrual of pawn service charges is dependent on the size of the loan portfolio, the loan term and our estimate of collectible loans in the portfolio at the end of each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sales volume, gross profit and gross margins: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gridSpan w:val="7"/>
          </w:tcPr>
          <w:p>
            <w:pPr>
              <w:spacing w:after="0"/>
              <w:rPr>
                <w:sz w:val="20"/>
                <w:szCs w:val="20"/>
                <w:color w:val="auto"/>
              </w:rPr>
            </w:pPr>
            <w:r>
              <w:rPr>
                <w:rFonts w:ascii="Arial" w:cs="Arial" w:eastAsia="Arial" w:hAnsi="Arial"/>
                <w:sz w:val="14"/>
                <w:szCs w:val="14"/>
                <w:color w:val="auto"/>
              </w:rPr>
              <w:t>Fiscal Year Ended September 30,</w:t>
            </w: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color w:val="auto"/>
              </w:rPr>
              <w:t>2006</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6"/>
          </w:tcPr>
          <w:p>
            <w:pPr>
              <w:jc w:val="right"/>
              <w:ind w:right="640"/>
              <w:spacing w:after="0" w:line="155" w:lineRule="exact"/>
              <w:rPr>
                <w:sz w:val="20"/>
                <w:szCs w:val="20"/>
                <w:color w:val="auto"/>
              </w:rPr>
            </w:pPr>
            <w:r>
              <w:rPr>
                <w:rFonts w:ascii="Arial" w:cs="Arial" w:eastAsia="Arial" w:hAnsi="Arial"/>
                <w:sz w:val="14"/>
                <w:szCs w:val="14"/>
                <w:i w:val="1"/>
                <w:iCs w:val="1"/>
                <w:color w:val="auto"/>
              </w:rPr>
              <w:t>(Dollars in millions)</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Merchandise sales</w:t>
            </w:r>
          </w:p>
        </w:tc>
        <w:tc>
          <w:tcPr>
            <w:tcW w:w="3060" w:type="dxa"/>
            <w:vAlign w:val="bottom"/>
            <w:gridSpan w:val="2"/>
            <w:shd w:val="clear" w:color="auto" w:fill="CCEEFF"/>
          </w:tcPr>
          <w:p>
            <w:pPr>
              <w:ind w:left="29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134.3</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141.0</w:t>
            </w:r>
          </w:p>
        </w:tc>
      </w:tr>
      <w:tr>
        <w:trPr>
          <w:trHeight w:val="210"/>
        </w:trPr>
        <w:tc>
          <w:tcPr>
            <w:tcW w:w="20" w:type="dxa"/>
            <w:vAlign w:val="bottom"/>
          </w:tcPr>
          <w:p>
            <w:pPr>
              <w:spacing w:after="0"/>
              <w:rPr>
                <w:sz w:val="18"/>
                <w:szCs w:val="18"/>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Jewelry scrapping sales</w:t>
            </w: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177.4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192.8</w:t>
            </w:r>
          </w:p>
        </w:tc>
      </w:tr>
      <w:tr>
        <w:trPr>
          <w:trHeight w:val="405"/>
        </w:trPr>
        <w:tc>
          <w:tcPr>
            <w:tcW w:w="6180" w:type="dxa"/>
            <w:vAlign w:val="bottom"/>
            <w:gridSpan w:val="2"/>
          </w:tcPr>
          <w:p>
            <w:pPr>
              <w:spacing w:after="0"/>
              <w:rPr>
                <w:sz w:val="20"/>
                <w:szCs w:val="20"/>
                <w:color w:val="auto"/>
              </w:rPr>
            </w:pPr>
            <w:r>
              <w:rPr>
                <w:rFonts w:ascii="Arial" w:cs="Arial" w:eastAsia="Arial" w:hAnsi="Arial"/>
                <w:sz w:val="18"/>
                <w:szCs w:val="18"/>
                <w:color w:val="auto"/>
              </w:rPr>
              <w:t>Gross profit on merchandise sales</w:t>
            </w:r>
          </w:p>
        </w:tc>
        <w:tc>
          <w:tcPr>
            <w:tcW w:w="3060" w:type="dxa"/>
            <w:vAlign w:val="bottom"/>
            <w:gridSpan w:val="2"/>
          </w:tcPr>
          <w:p>
            <w:pPr>
              <w:ind w:left="29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55.9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17.4</w:t>
            </w:r>
          </w:p>
        </w:tc>
      </w:tr>
      <w:tr>
        <w:trPr>
          <w:trHeight w:val="405"/>
        </w:trPr>
        <w:tc>
          <w:tcPr>
            <w:tcW w:w="6180" w:type="dxa"/>
            <w:vAlign w:val="bottom"/>
            <w:gridSpan w:val="2"/>
          </w:tcPr>
          <w:p>
            <w:pPr>
              <w:spacing w:after="0"/>
              <w:rPr>
                <w:sz w:val="20"/>
                <w:szCs w:val="20"/>
                <w:color w:val="auto"/>
              </w:rPr>
            </w:pPr>
            <w:r>
              <w:rPr>
                <w:rFonts w:ascii="Arial" w:cs="Arial" w:eastAsia="Arial" w:hAnsi="Arial"/>
                <w:sz w:val="18"/>
                <w:szCs w:val="18"/>
                <w:color w:val="auto"/>
              </w:rPr>
              <w:t>Gross margin on merchandise sales</w:t>
            </w: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on jewelry scrapping sales</w:t>
            </w:r>
          </w:p>
        </w:tc>
        <w:tc>
          <w:tcPr>
            <w:tcW w:w="2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33.5%</w:t>
            </w:r>
          </w:p>
        </w:tc>
      </w:tr>
      <w:tr>
        <w:trPr>
          <w:trHeight w:val="217"/>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Overall gross margin</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38.8%</w:t>
            </w:r>
          </w:p>
        </w:tc>
      </w:tr>
    </w:tbl>
    <w:p>
      <w:pPr>
        <w:spacing w:after="0" w:line="9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fiscal 2007 merchandise gross profit increased $1.6 million from the prior year to $57.5 million. This was due to a $ 4.0 million, or 3% increase in same store merchandise sales and a $2.7 million increase in new store sales, reduced by a 0.8 percentage point decrease in gross margins. In fiscal 2006, we benefited from the doubling of loan forfeitures due to the reduction of loan terms in the majority of our stores. This provided a greater amount of fresh inventory in the second and third quarters of fiscal 2006 to fuel sales at a better margin. More aggressive discounting of electronics and jewelry and increased jewelry loan values in response to market increases in gold values also led to lower margins in fiscal 2007.</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gross profit on jewelry scrapping sales increased $2.7 million from fiscal 2006 to $17.4 million. This was due to an $8.8 million, or 20% increase in jewelry scrapping sales on 7% more volume, and a 0.6 percentage point decrease in margins. The jewelry scrapping sales include the sale of approximately $1.6 million of loose diamonds removed from scrapped jewelry in fiscal 2007, compared to approximately $0.5 million in fiscal 2006. The proceeds refiners pay us for jewelry has increased in the last year in response to higher gold values. We also increased the amount we loan on jewelry and pay to purchase jewelry from customers, increasing the cost of these items. These factors had a $0.9 million positive net effect on the gross profit from jewelry scrapping sales.</w:t>
      </w:r>
    </w:p>
    <w:p>
      <w:pPr>
        <w:spacing w:after="0" w:line="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segment’s signature loan contribution, or fee revenue less bad debt, increased $0.1 million in 2007, primarily due to an increase in same store signature loan revenues.</w:t>
      </w:r>
    </w:p>
    <w:p>
      <w:pPr>
        <w:spacing w:after="0" w:line="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Operations expense improved to 57% of net revenues ($87.2 million) in fiscal 2007 from 60% of net revenues ($84.8 million) in the prior year, as operating expenses grew at a slower pace than the segment’s net revenues.</w:t>
      </w:r>
    </w:p>
    <w:p>
      <w:pPr>
        <w:spacing w:after="0" w:line="8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fiscal 2007, the $12.6 million greater net revenue from pawn activities and $0.1 million greater contribution from signature loans, partially offset by the $2.4 million higher operations expenses resulted in a $10.3 million overall increase in store operating income from the EZPAWN U.S. Operations segment compared to fiscal 2006. For the year, EZPAWN U.S. Operations made up 66% of consolidated store operating income compared to 68% in the prior year.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Empeño Fácil Segment</w:t>
      </w:r>
    </w:p>
    <w:p>
      <w:pPr>
        <w:spacing w:after="0" w:line="126"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opened our first four Mexico pawn stores in fiscal 2007, with no activities in Mexico in fiscal 2006. The results for the stores were not material in fiscal 2007, resulting in total revenues of $0.2 million and a $0.3 million store operating loss during the start-up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EZMONEY Operations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EZMONEY Operations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80"/>
              <w:spacing w:after="0"/>
              <w:rPr>
                <w:sz w:val="20"/>
                <w:szCs w:val="20"/>
                <w:color w:val="auto"/>
              </w:rPr>
            </w:pPr>
            <w:r>
              <w:rPr>
                <w:rFonts w:ascii="Arial" w:cs="Arial" w:eastAsia="Arial" w:hAnsi="Arial"/>
                <w:sz w:val="14"/>
                <w:szCs w:val="14"/>
                <w:color w:val="auto"/>
              </w:rPr>
              <w:t>Year Ended September 30,</w:t>
            </w:r>
          </w:p>
        </w:tc>
        <w:tc>
          <w:tcPr>
            <w:tcW w:w="0" w:type="dxa"/>
            <w:vAlign w:val="bottom"/>
          </w:tcPr>
          <w:p>
            <w:pPr>
              <w:spacing w:after="0"/>
              <w:rPr>
                <w:sz w:val="1"/>
                <w:szCs w:val="1"/>
                <w:color w:val="auto"/>
              </w:rPr>
            </w:pPr>
          </w:p>
        </w:tc>
      </w:tr>
      <w:tr>
        <w:trPr>
          <w:trHeight w:val="157"/>
        </w:trPr>
        <w:tc>
          <w:tcPr>
            <w:tcW w:w="9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5"/>
              <w:spacing w:after="0" w:line="157" w:lineRule="exact"/>
              <w:rPr>
                <w:sz w:val="20"/>
                <w:szCs w:val="20"/>
                <w:color w:val="auto"/>
              </w:rPr>
            </w:pPr>
            <w:r>
              <w:rPr>
                <w:rFonts w:ascii="Arial" w:cs="Arial" w:eastAsia="Arial" w:hAnsi="Arial"/>
                <w:sz w:val="14"/>
                <w:szCs w:val="14"/>
                <w:color w:val="auto"/>
              </w:rPr>
              <w:t>2006</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7" w:lineRule="exact"/>
              <w:rPr>
                <w:sz w:val="20"/>
                <w:szCs w:val="20"/>
                <w:color w:val="auto"/>
              </w:rPr>
            </w:pPr>
            <w:r>
              <w:rPr>
                <w:rFonts w:ascii="Arial" w:cs="Arial" w:eastAsia="Arial" w:hAnsi="Arial"/>
                <w:sz w:val="14"/>
                <w:szCs w:val="14"/>
                <w:color w:val="auto"/>
              </w:rPr>
              <w:t>2007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right"/>
              <w:ind w:right="292"/>
              <w:spacing w:after="0" w:line="155" w:lineRule="exact"/>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fees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68,685</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101,033</w:t>
            </w:r>
          </w:p>
        </w:tc>
        <w:tc>
          <w:tcPr>
            <w:tcW w:w="0" w:type="dxa"/>
            <w:vAlign w:val="bottom"/>
          </w:tcPr>
          <w:p>
            <w:pPr>
              <w:spacing w:after="0"/>
              <w:rPr>
                <w:sz w:val="1"/>
                <w:szCs w:val="1"/>
                <w:color w:val="auto"/>
              </w:rPr>
            </w:pPr>
          </w:p>
        </w:tc>
      </w:tr>
      <w:tr>
        <w:trPr>
          <w:trHeight w:val="210"/>
        </w:trPr>
        <w:tc>
          <w:tcPr>
            <w:tcW w:w="9080" w:type="dxa"/>
            <w:vAlign w:val="bottom"/>
          </w:tcPr>
          <w:p>
            <w:pPr>
              <w:ind w:left="220"/>
              <w:spacing w:after="0" w:line="202" w:lineRule="exact"/>
              <w:rPr>
                <w:sz w:val="20"/>
                <w:szCs w:val="20"/>
                <w:color w:val="auto"/>
              </w:rPr>
            </w:pPr>
            <w:r>
              <w:rPr>
                <w:rFonts w:ascii="Arial" w:cs="Arial" w:eastAsia="Arial" w:hAnsi="Arial"/>
                <w:sz w:val="18"/>
                <w:szCs w:val="18"/>
                <w:color w:val="auto"/>
              </w:rPr>
              <w:t>Signature loan bad debt</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16,611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Signature loan contribution (fees less bad debt)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52,074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73,915</w:t>
            </w:r>
          </w:p>
        </w:tc>
        <w:tc>
          <w:tcPr>
            <w:tcW w:w="0" w:type="dxa"/>
            <w:vAlign w:val="bottom"/>
          </w:tcPr>
          <w:p>
            <w:pPr>
              <w:spacing w:after="0"/>
              <w:rPr>
                <w:sz w:val="1"/>
                <w:szCs w:val="1"/>
                <w:color w:val="auto"/>
              </w:rPr>
            </w:pPr>
          </w:p>
        </w:tc>
      </w:tr>
      <w:tr>
        <w:trPr>
          <w:trHeight w:val="412"/>
        </w:trPr>
        <w:tc>
          <w:tcPr>
            <w:tcW w:w="9080" w:type="dxa"/>
            <w:vAlign w:val="bottom"/>
          </w:tcPr>
          <w:p>
            <w:pPr>
              <w:ind w:left="220"/>
              <w:spacing w:after="0"/>
              <w:rPr>
                <w:sz w:val="20"/>
                <w:szCs w:val="20"/>
                <w:color w:val="auto"/>
              </w:rPr>
            </w:pPr>
            <w:r>
              <w:rPr>
                <w:rFonts w:ascii="Arial" w:cs="Arial" w:eastAsia="Arial" w:hAnsi="Arial"/>
                <w:sz w:val="18"/>
                <w:szCs w:val="18"/>
                <w:color w:val="auto"/>
              </w:rPr>
              <w:t>Operations expense</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26,908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Store operating income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25,166</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32,868</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color w:val="auto"/>
              </w:rPr>
              <w:t>Other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Signature loan bad debt as a percent of signature loan fees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7"/>
        </w:trPr>
        <w:tc>
          <w:tcPr>
            <w:tcW w:w="9080" w:type="dxa"/>
            <w:vAlign w:val="bottom"/>
          </w:tcPr>
          <w:p>
            <w:pPr>
              <w:ind w:left="220"/>
              <w:spacing w:after="0"/>
              <w:rPr>
                <w:sz w:val="20"/>
                <w:szCs w:val="20"/>
                <w:color w:val="auto"/>
              </w:rPr>
            </w:pPr>
            <w:r>
              <w:rPr>
                <w:rFonts w:ascii="Arial" w:cs="Arial" w:eastAsia="Arial" w:hAnsi="Arial"/>
                <w:sz w:val="18"/>
                <w:szCs w:val="18"/>
                <w:color w:val="auto"/>
              </w:rPr>
              <w:t>Average signature loan balance per store offering signature loans at year end (a)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right="400" w:hanging="452"/>
        <w:spacing w:after="0" w:line="24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segment’s signature loan contribution, or fees less bad debt, increased $21.8 million, or 42% compared to fiscal 2006. The primary cause of the increased contribution was the higher average loan balances at existing stores and the addition of new stores, resulting in a 47% increase in signature loan fee revenue in fiscal 2007. Signature loan bad debt increased $10.5 million to 26.8% of related fees in fiscal 2007 compared to 24.2% in fiscal 2006. Early in the third quarter of fiscal 2007, we revised some of our underwriting criteria to optimize our loan growth. The result was stronger than normal loan growth as well as a higher level of bad debt. Later in the third quarter, we refined our underwriting criteria specifically for new customers. As a result, our bad debt improved in the fourth quarter compared to the third quarter, but was approximately 4.5 percentage points higher as a percentage of related fees than the fourth quarter of fiscal 2006.</w:t>
      </w:r>
    </w:p>
    <w:p>
      <w:pPr>
        <w:spacing w:after="0" w:line="9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Operations expense increased $14.1 million in fiscal 2007 to $41.0 million, or 41% of segment revenues from 39% in the prior year. The increase was mostly from additional labor, rent and other costs at new stores that have not yet matured. In the fiscal 2007, operations expense was $113,390 per average store, compared to $103,890 per average store in fiscal 2006. Stores adjoining an EZPAWN location, which generally have lower operating costs, now comprise a smaller percentage of the total EZMONEY stores.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fiscal 2007, the $21.8 million increase in signature loan fees net of bad debt and $14.1 million greater operations expense resulted in a</w:t>
      </w:r>
    </w:p>
    <w:p>
      <w:pPr>
        <w:ind w:right="120"/>
        <w:spacing w:after="0" w:line="246" w:lineRule="auto"/>
        <w:rPr>
          <w:sz w:val="20"/>
          <w:szCs w:val="20"/>
          <w:color w:val="auto"/>
        </w:rPr>
      </w:pPr>
      <w:r>
        <w:rPr>
          <w:rFonts w:ascii="Arial" w:cs="Arial" w:eastAsia="Arial" w:hAnsi="Arial"/>
          <w:sz w:val="18"/>
          <w:szCs w:val="18"/>
          <w:color w:val="auto"/>
        </w:rPr>
        <w:t>$7.7 million net increase in store operating income from the EZMONEY Operations segment. For fiscal 2007, EZMONEY Operations made up 34% of consolidated store operating income compared to 32% in fiscal 2006.</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items discussed below affect our consolidated financial results, but are not allocated between segments.</w:t>
      </w:r>
    </w:p>
    <w:p>
      <w:pPr>
        <w:spacing w:after="0" w:line="104"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Administrative expenses in fiscal 2007 were $31.7 million compared to $ 27.7 million in fiscal 2006. This is an improvement of 0.8 of a percentage point to 12.5% when measured as a percent of net revenue. The dollar increase was due primarily to a $2.2 million increase in stock compensation, a $1.1 million increase in administrative labor and benefits, and a $0.5 million increase in information technology consulting fees.</w:t>
      </w:r>
    </w:p>
    <w:p>
      <w:pPr>
        <w:spacing w:after="0" w:line="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Depreciation and amortization expense was $9.8 million in fiscal 2007, compared to $8.6 million in fiscal 2006. Depreciation on assets placed in service, primarily related to new EZMONEY stores, exceeded the reduction from assets that became fully depreciated or were retired.</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earned $1.7 million of interest income on our invested cash in fiscal 2007 for a rate of return of 5.0%. In fiscal 2006, we earned $0.5 million of interest income on our invested cash, yielding a 4.1% rate of return.</w:t>
      </w:r>
    </w:p>
    <w:p>
      <w:pPr>
        <w:spacing w:after="0" w:line="89"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With no debt in fiscal 2007, our $0.3 million interest expense was comprised mostly of the amortization of deferred financing costs and the commitment fee on our line of credit. Interest expense in the prior year was $0.4 million. In that period, we had an average debt balance of $1.6 million.</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fiscal 2007 income tax expense was $22.1 million (36.8% of pretax income) compared to $16.2 million (35.7% of pretax income) for the prior year. The increase in effective tax rate is due primarily to a legislative change increasing our expected taxes in Texas.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Consolidated operating income for fiscal 2007 improved $12.6 million over the prior year to $55.6 million. Contributing to this were the</w:t>
      </w:r>
    </w:p>
    <w:p>
      <w:pPr>
        <w:jc w:val="both"/>
        <w:spacing w:after="0" w:line="239" w:lineRule="auto"/>
        <w:rPr>
          <w:sz w:val="20"/>
          <w:szCs w:val="20"/>
          <w:color w:val="auto"/>
        </w:rPr>
      </w:pPr>
      <w:r>
        <w:rPr>
          <w:rFonts w:ascii="Arial" w:cs="Arial" w:eastAsia="Arial" w:hAnsi="Arial"/>
          <w:sz w:val="18"/>
          <w:szCs w:val="18"/>
          <w:color w:val="auto"/>
        </w:rPr>
        <w:t>$10.3 million and $7.7 million increases in store operating income in our EZPAWN U.S. and EZMONEY Operations segments and a small gain on sale of assets, partially offset by the $4.0 million increase in administrative expenses and the $0.3 million store operating loss in the Empeño Fácil segment. After a $1.3 million improvement in net interest and a $5.8 million increase in income taxes and other smaller items, net income improved to $37.9 million in fiscal 2007 from $29.3 million in fiscal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fiscal 2008, our $62.3 million cash flow from operations consisted of (i) net income plus several non-cash items, aggregating to $68.5 million, and (ii) $6.2 million of normal, recurring changes in operating assets and liabilities. In fiscal 2007, our $53.4 million cash flow from operations consisted of (i) net income plus several non-cash items, aggregating to $51.0 million and (ii) $ 2.4 million of normal, recurring changes in operating assets and liabilities. The primary differences in cash flow from operations between the two years were an increase in the gross profit on sales of inventory and an increase in collected pawn service charges and signature loan fees, net of higher operating expenditures and taxes paid.</w:t>
      </w:r>
    </w:p>
    <w:p>
      <w:pPr>
        <w:spacing w:after="0" w:line="97"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The $58.4 million of cash used in investing activities during the current year was funded by cash flow from operations. Our most significant year-to-date investments were the $18.2 million in additions to property and equipment primarily for new store construction and the</w:t>
      </w:r>
    </w:p>
    <w:p>
      <w:pPr>
        <w:spacing w:after="0" w:line="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$15.5 million acquisition of 20 Mexico pawn stores from MMFS Intl., S.A. de C.V, a subsidiary of Mister Money Holdings, Inc. Other significant investments were the funding of $15.5 million of pawn loans net of repayments and recoveries through the sale of forfeited collateral and $11.0 million of payday loans net of repayments. Partially offsetting these were $1.7 million of dividends received from an unconsolidated affiliate and $1.0 million received from the exercise of employee stock options and related excess tax benefits. The net effect of these cash flows was a $4.9 million increase in cash on hand, providing a $27.4 million ending cash balance.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Below is a summary of our cash needs to meet future aggregate contractual obligations </w:t>
      </w:r>
      <w:r>
        <w:rPr>
          <w:rFonts w:ascii="Arial" w:cs="Arial" w:eastAsia="Arial" w:hAnsi="Arial"/>
          <w:sz w:val="18"/>
          <w:szCs w:val="18"/>
          <w:i w:val="1"/>
          <w:iCs w:val="1"/>
          <w:color w:val="auto"/>
        </w:rPr>
        <w:t>(in millions)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Payments due by Period</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Less than 1</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More than</w:t>
            </w:r>
          </w:p>
        </w:tc>
        <w:tc>
          <w:tcPr>
            <w:tcW w:w="0" w:type="dxa"/>
            <w:vAlign w:val="bottom"/>
          </w:tcPr>
          <w:p>
            <w:pPr>
              <w:spacing w:after="0"/>
              <w:rPr>
                <w:sz w:val="1"/>
                <w:szCs w:val="1"/>
                <w:color w:val="auto"/>
              </w:rPr>
            </w:pPr>
          </w:p>
        </w:tc>
      </w:tr>
      <w:tr>
        <w:trPr>
          <w:trHeight w:val="157"/>
        </w:trPr>
        <w:tc>
          <w:tcPr>
            <w:tcW w:w="4580" w:type="dxa"/>
            <w:vAlign w:val="bottom"/>
            <w:gridSpan w:val="2"/>
          </w:tcPr>
          <w:p>
            <w:pPr>
              <w:spacing w:after="0" w:line="157" w:lineRule="exact"/>
              <w:rPr>
                <w:sz w:val="20"/>
                <w:szCs w:val="20"/>
                <w:color w:val="auto"/>
              </w:rPr>
            </w:pPr>
            <w:r>
              <w:rPr>
                <w:rFonts w:ascii="Arial" w:cs="Arial" w:eastAsia="Arial" w:hAnsi="Arial"/>
                <w:sz w:val="14"/>
                <w:szCs w:val="14"/>
                <w:color w:val="auto"/>
              </w:rPr>
              <w:t>Contractual Obligations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860"/>
              <w:spacing w:after="0" w:line="157"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c>
          <w:tcPr>
            <w:tcW w:w="68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year</w:t>
            </w:r>
          </w:p>
        </w:tc>
        <w:tc>
          <w:tcPr>
            <w:tcW w:w="580" w:type="dxa"/>
            <w:vAlign w:val="bottom"/>
          </w:tcPr>
          <w:p>
            <w:pPr>
              <w:spacing w:after="0"/>
              <w:rPr>
                <w:sz w:val="13"/>
                <w:szCs w:val="13"/>
                <w:color w:val="auto"/>
              </w:rPr>
            </w:pPr>
          </w:p>
        </w:tc>
        <w:tc>
          <w:tcPr>
            <w:tcW w:w="134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1-3 years</w:t>
            </w:r>
          </w:p>
        </w:tc>
        <w:tc>
          <w:tcPr>
            <w:tcW w:w="1020" w:type="dxa"/>
            <w:vAlign w:val="bottom"/>
            <w:gridSpan w:val="3"/>
          </w:tcPr>
          <w:p>
            <w:pPr>
              <w:jc w:val="right"/>
              <w:ind w:right="380"/>
              <w:spacing w:after="0" w:line="157" w:lineRule="exact"/>
              <w:rPr>
                <w:sz w:val="20"/>
                <w:szCs w:val="20"/>
                <w:color w:val="auto"/>
              </w:rPr>
            </w:pPr>
            <w:r>
              <w:rPr>
                <w:rFonts w:ascii="Arial" w:cs="Arial" w:eastAsia="Arial" w:hAnsi="Arial"/>
                <w:sz w:val="14"/>
                <w:szCs w:val="14"/>
                <w:color w:val="auto"/>
              </w:rPr>
              <w:t>3-5 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spacing w:after="0" w:line="157"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obligations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Interest on long-term debt obligations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103.4</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103.8</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24.7</w:t>
            </w:r>
          </w:p>
        </w:tc>
        <w:tc>
          <w:tcPr>
            <w:tcW w:w="7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21.0</w:t>
            </w:r>
          </w:p>
        </w:tc>
        <w:tc>
          <w:tcPr>
            <w:tcW w:w="4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to the contractual obligations in the table above, we are obligated under letters of credit issued to unaffiliated lenders as part of our credit service operations. At September 30, 2008, our maximum exposure for losses on letters of credit, if all brokered loans defaulted and none was collected, was $25.0 million. This amount includes principal, interest and insufficient funds fees.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addition to the operating lease obligations in the table above, we are responsible for the maintenance, property taxes, and insurance at most of our locations. In the fiscal year ended September 30, 2008, these collectively amounted to $10.6 million.</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fiscal year ending September 30, 2009, we plan to open 30 to 35 new signature loan stores in the U.S. and 30 to 35 Empeño Fácil pawn stores in Mexico for an expected capital expenditure of approximately $6.8 million, plus the funding of working capital and start-up losses at these stores. We believe these new stores will create a drag on earnings and liquidity in their first six to nine months of operations before turning profitable.</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While we had no debt outstanding at September 30, 2008, we have a $40 million revolving credit facility secured by our assets, which matures October 1, 2009. Under the terms of the agreement, we could borrow the full $40 million at September 30, 2008. Terms of the agreement require, among other things, that we meet certain financial covenants. We were in compliance with all covenants at September 30, 2008. Payment of dividends and additional debt are allowed but restricted. The interest amount shown in the table above reflects the commitment fee we anticipate paying through the maturity of the credit agreement, combined with the incremental commitment fee on our $120 million Fifth Amended and Restated Credit Agreement, discussed below, assuming we remain debt-free.</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November 13, 2008, we acquired the operating assets of eleven pawnshops located in Las Vegas, North Las Vegas and Henderson, Nevada that operate under the Pawn Plus, Pawn Place and ASAP Pawn brands for approximately $ 34.3 million. $17.3 million of the purchase price was paid through the issuance of 1,116,505 shares of our Class A Non-voting Common Stock, and the remaining $17.0 million was paid in cash. On September 16, 2008, we announced our agreement to acquire, for a combination of stock and cash consideration, 100% of the equity ownership of Value Financial Services, Inc. (“VFS”) for approximately $80.6 million, plus the assumption of VFS outstanding debt of approximately $35.3 million, for an aggregate value of approximately $115.9 million. If the VFS acquisition is completed, our cash on hand and availability under our current credit facility may not be adequate to fund the acquisition and other operating and growth cash needs. We have executed a $120 million Fifth Amended and Restated Credit Agreement with the two banks in our current $40 million Fourth Amended and Restated Credit Agreement and three additional banks. The agreement and the related loan documents were placed in escrow pending the closing of the merger agreement with VFS. Effectiveness of the new credit agreement is contingent upon the closing of the merger agreement with VFS by December 31, 2008, but bears a ticking fee of 0.50% through December 31, 2008, regardless of whether it becomes effective 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that date. This ticking fee is included in the Interest on Long-Term Debt Obligations line of the contractual obligations table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the merger agreement with VFS is closed on or before December 31, 2008, the new credit agreement will provide for, among other things,</w:t>
      </w:r>
    </w:p>
    <w:p>
      <w:pPr>
        <w:ind w:right="180" w:firstLine="8"/>
        <w:spacing w:after="0"/>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$80 million revolving credit facility that EZCORP may request to be increased to a total of $110 million and (ii) a $40 million term loan. If the agreement becomes effective, it will extend the maturity date of the revolving credit facility to three years from the closing of the merger agreement with VFS. The maturity date of the term loan will be four years from the closing of the merger agreement with VFS.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anticipate that cash flow from operations, cash on hand, and availability under our existing revolving credit facility (if the VFS acquisition is not completed by December 31, 2008) or our new credit facility (if the VFS acquisition is completed by December 31, 2008) will be adequate to fund our contractual obligations, planned store growth, capital expenditures, working capital requirements and planned acquisition during the coming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them by the borrowers plus any insufficient funds fee.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Financial Interpretation No. 46 regarding variable interest entities</w:t>
      </w:r>
      <w:r>
        <w:rPr>
          <w:rFonts w:ascii="Arial" w:cs="Arial" w:eastAsia="Arial" w:hAnsi="Arial"/>
          <w:sz w:val="18"/>
          <w:szCs w:val="18"/>
          <w:i w:val="1"/>
          <w:iCs w:val="1"/>
          <w:color w:val="auto"/>
        </w:rPr>
        <w:t>.</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include an allowance for Expected LOC Losses in “Accounts payable and other accrued expenses” on our balance sheet. At September 30, 2008, the allowance for Expected LOC Losses was $2.3 million. At that date, our maximum exposure for losses on letters of credit, if all brokered loans defaulted and none was collected, was $25.0 million. This amount includes principal, interest and insufficient funds fees.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due to relatively low jewelry merchandise sales in that quarter.</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quarters and lowest in the second quarter due primarily to the impact of tax refunds.</w:t>
      </w:r>
    </w:p>
    <w:p>
      <w:pPr>
        <w:spacing w:after="0" w:line="9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income tax refund season.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AUTIONARY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ISKS AND</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NCERTAINTIES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HAT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FFECT</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UTURE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includes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acquisitions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Actual results could differ materially from those expressed in the forward-looking statements, and you should not regard them as a representation that the expected results will be achieved. Important risk factors that could cause results or events to differ from current expectations are described in Item 1A, “Risk Factors,” of this Annual Report on Form 10-K. These factors are not intended to be an all-encompassing list of risks and uncertainties that may affect our operations, performance, development and results. You are cautioned not to overly rely on these forward-looking statements, which are current only as of the date of this report.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acquisitions, store growth plans or to reflect unanticipated events.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7A. Q</w:t>
      </w:r>
      <w:r>
        <w:rPr>
          <w:rFonts w:ascii="Arial" w:cs="Arial" w:eastAsia="Arial" w:hAnsi="Arial"/>
          <w:sz w:val="12"/>
          <w:szCs w:val="12"/>
          <w:b w:val="1"/>
          <w:bCs w:val="1"/>
          <w:color w:val="auto"/>
        </w:rPr>
        <w:t>UALITATIVE AND</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UANTITATIVE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Disclosures</w:t>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discussion about our market risk disclosures involves forward-looking statements. Actual results could differ materially from those projected in the forward-looking statements. We are exposed to market risk related to changes in foreign currency exchange rates and gold values. We also are exposed to regulatory risk in relation to our credit services, payday loans and pawn operations. We do not use derivative financial instruments.</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earnings and financial position may be affected by changes in gold values and the resulting impact on pawn lending and jewelry sales. The proceeds of scrap sales and our ability to sell excess jewelry inventory at an acceptable margin depend on gold values. The impact on our financial position and results of operations of a hypothetical decrease in gold values cannot be reasonably estimated. For further discussion, you should read “Risk Factors” in Part I, Item 1A of this annual report on Form 10-K.</w:t>
      </w:r>
    </w:p>
    <w:p>
      <w:pPr>
        <w:spacing w:after="0" w:line="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earnings and financial position are affected by foreign exchange rate fluctuations related to our equity investment in A&amp;B. A&amp;B’s functional currency is the U.K. pound. The impact on our results of operations and financial position of a hypothetical change in the exchange rate between the U.S. dollar and the U.K. pound cannot be reasonably estimated due to the interrelationship of operating results and exchange rates. The translation adjustment representing the weakening in the U.K. pound during the year ended June 30, 2008 (included in our September 30, 2008 results on a three-month lag as described above) was a $79,000 decrease, net of tax effect, to stockholders’ equity. On September 30, 2008, the U.K. pound weakened to 1.00 to 1.8175 U.S. dollars from 1.9954 at June 30, 2008. We cannot assure the future valuation of the U.K. pound or how further movements in the pound could affect our future earnings or financial position.</w:t>
      </w:r>
    </w:p>
    <w:p>
      <w:pPr>
        <w:spacing w:after="0" w:line="95"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Similar to the discussion above regarding the U.K. pound, fluctuations in the exchange rate for the Mexican peso also affect our earnings and financial position due to our pawn operations in Mexico. The translation adjustment representing the strengthening in the Mexican peso during the year ended September 30, 2008 was a $58,000 increase, net of tax effect, to stockholders’ equity. We have currently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assumed permanent reinvestment of earnings and capital in Mexico. Accumulated translation gains or losses related to any future repatriation of earnings or capital would impact our earnings in the period of repatriation. At October 31, 2008, the Mexican peso weakened 19% to 12.90 pesos to the U.S. dollar, compared to 10.87 pesos to the U.S. dollar at September 30, 2008. If the peso remains at this weaker level, it would decrease the value of the assets and earnings translated to U.S. dollars in fiscal 2009 compared to fiscal 2008.</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UPPLEMENTARY</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3"/>
            <w:vMerge w:val="restart"/>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Report of Independent Registered Public Accounting Firm</w:t>
              </w:r>
            </w:hyperlink>
          </w:p>
        </w:tc>
        <w:tc>
          <w:tcPr>
            <w:tcW w:w="6160" w:type="dxa"/>
            <w:vAlign w:val="bottom"/>
            <w:gridSpan w:val="5"/>
            <w:vMerge w:val="restart"/>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4620" w:type="dxa"/>
            <w:vAlign w:val="bottom"/>
            <w:tcBorders>
              <w:bottom w:val="single" w:sz="8" w:color="0000EE"/>
            </w:tcBorders>
            <w:gridSpan w:val="3"/>
            <w:vMerge w:val="continue"/>
          </w:tcPr>
          <w:p>
            <w:pPr>
              <w:spacing w:after="0"/>
              <w:rPr>
                <w:sz w:val="14"/>
                <w:szCs w:val="14"/>
                <w:color w:val="auto"/>
              </w:rPr>
            </w:pPr>
          </w:p>
        </w:tc>
        <w:tc>
          <w:tcPr>
            <w:tcW w:w="6160" w:type="dxa"/>
            <w:vAlign w:val="bottom"/>
            <w:gridSpan w:val="5"/>
            <w:vMerge w:val="continue"/>
          </w:tcPr>
          <w:p>
            <w:pPr>
              <w:spacing w:after="0"/>
              <w:rPr>
                <w:sz w:val="14"/>
                <w:szCs w:val="14"/>
                <w:color w:val="auto"/>
              </w:rPr>
            </w:pPr>
          </w:p>
        </w:tc>
        <w:tc>
          <w:tcPr>
            <w:tcW w:w="640" w:type="dxa"/>
            <w:vAlign w:val="bottom"/>
          </w:tcPr>
          <w:p>
            <w:pPr>
              <w:jc w:val="center"/>
              <w:spacing w:after="0" w:line="170" w:lineRule="exact"/>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426"/>
        </w:trPr>
        <w:tc>
          <w:tcPr>
            <w:tcW w:w="1078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52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Consolidated Balance Sheets as of September 30, 2007 and 2008</w:t>
              </w:r>
            </w:hyperlink>
          </w:p>
        </w:tc>
        <w:tc>
          <w:tcPr>
            <w:tcW w:w="528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1054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for each of the Three Years Ended September 30, 2008</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1054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each of the Three Years Ended September 30, 2008</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16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83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Consolidated Statements of Stockholders’ Equity for each of the Three Years Ended September 30, 2008</w:t>
              </w:r>
            </w:hyperlink>
          </w:p>
        </w:tc>
        <w:tc>
          <w:tcPr>
            <w:tcW w:w="22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1054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3480" w:type="dxa"/>
            <w:vAlign w:val="bottom"/>
            <w:tcBorders>
              <w:top w:val="single" w:sz="8" w:color="0000EE"/>
            </w:tcBorders>
          </w:tcPr>
          <w:p>
            <w:pPr>
              <w:spacing w:after="0"/>
              <w:rPr>
                <w:sz w:val="24"/>
                <w:szCs w:val="24"/>
                <w:color w:val="auto"/>
              </w:rPr>
            </w:pPr>
          </w:p>
        </w:tc>
        <w:tc>
          <w:tcPr>
            <w:tcW w:w="4100" w:type="dxa"/>
            <w:vAlign w:val="bottom"/>
            <w:gridSpan w:val="3"/>
          </w:tcPr>
          <w:p>
            <w:pPr>
              <w:jc w:val="right"/>
              <w:ind w:right="200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40" w:type="dxa"/>
            <w:vAlign w:val="bottom"/>
            <w:tcBorders>
              <w:bottom w:val="single" w:sz="8" w:color="808080"/>
            </w:tcBorders>
          </w:tcPr>
          <w:p>
            <w:pPr>
              <w:spacing w:after="0"/>
              <w:rPr>
                <w:sz w:val="18"/>
                <w:szCs w:val="18"/>
                <w:color w:val="auto"/>
              </w:rPr>
            </w:pPr>
          </w:p>
        </w:tc>
        <w:tc>
          <w:tcPr>
            <w:tcW w:w="34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2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4" w:lineRule="auto"/>
        <w:rPr>
          <w:sz w:val="20"/>
          <w:szCs w:val="20"/>
          <w:color w:val="auto"/>
        </w:rPr>
      </w:pPr>
      <w:r>
        <w:rPr>
          <w:rFonts w:ascii="Arial" w:cs="Arial" w:eastAsia="Arial" w:hAnsi="Arial"/>
          <w:sz w:val="18"/>
          <w:szCs w:val="18"/>
          <w:color w:val="auto"/>
        </w:rPr>
        <w:t>EZCORP,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0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have audited the accompanying consolidated balance sheets of EZCORP, Inc. and subsidiaries as of September 30, 2007 and 2008 and the related consolidated statements of operations, stockholders’ equity, and cash flows for each of the three years in the period ended September 30, 2008. Our audits also include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and schedule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and subsidiaries at September 30, 2007 and 2008, and the results of its operations and its cash flows for each of the three years in the period ended September 30, 2008,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more fully described in Note J to the consolidated financial statements, effective October 1, 2007, the Company adopted the provisions of Financial Interpretation Number 48, “Accounting for Uncertainty in Income Taxes.”</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EZCORP, Inc.’s internal control over financial reporting as of September 30, 2008, based on criteria established in Internal Control — Integrated Framework issued by the Committee of Sponsoring Organizations of the Treadway Commission (COSO) and our report dated December 12, 2008 expressed an unqualified opinion thereon.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December 12, 2008</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6"/>
        </w:trPr>
        <w:tc>
          <w:tcPr>
            <w:tcW w:w="8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2007</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5"/>
          </w:tcPr>
          <w:p>
            <w:pPr>
              <w:jc w:val="right"/>
              <w:ind w:right="760"/>
              <w:spacing w:after="0" w:line="155"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20"/>
              <w:spacing w:after="0" w:line="202" w:lineRule="exact"/>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22,533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27,444</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Pawn loans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60,742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75,936</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Payday loans, net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4,814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Pawn service charges receivable, net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10,113</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12,755</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Signature loan fees receivable, net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5,992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Inventory, net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37,942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43,209</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tax asset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6,146</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157,246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191,916</w:t>
            </w:r>
          </w:p>
        </w:tc>
        <w:tc>
          <w:tcPr>
            <w:tcW w:w="0" w:type="dxa"/>
            <w:vAlign w:val="bottom"/>
          </w:tcPr>
          <w:p>
            <w:pPr>
              <w:spacing w:after="0"/>
              <w:rPr>
                <w:sz w:val="1"/>
                <w:szCs w:val="1"/>
                <w:color w:val="auto"/>
              </w:rPr>
            </w:pPr>
          </w:p>
        </w:tc>
      </w:tr>
      <w:tr>
        <w:trPr>
          <w:trHeight w:val="405"/>
        </w:trPr>
        <w:tc>
          <w:tcPr>
            <w:tcW w:w="8640" w:type="dxa"/>
            <w:vAlign w:val="bottom"/>
          </w:tcPr>
          <w:p>
            <w:pPr>
              <w:ind w:left="220"/>
              <w:spacing w:after="0"/>
              <w:rPr>
                <w:sz w:val="20"/>
                <w:szCs w:val="20"/>
                <w:color w:val="auto"/>
              </w:rPr>
            </w:pPr>
            <w:r>
              <w:rPr>
                <w:rFonts w:ascii="Arial" w:cs="Arial" w:eastAsia="Arial" w:hAnsi="Arial"/>
                <w:sz w:val="18"/>
                <w:szCs w:val="18"/>
                <w:color w:val="auto"/>
              </w:rPr>
              <w:t>Investment in unconsolidated affiliate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35,746</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38,439</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33,806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40,079</w:t>
            </w:r>
          </w:p>
        </w:tc>
        <w:tc>
          <w:tcPr>
            <w:tcW w:w="0" w:type="dxa"/>
            <w:vAlign w:val="bottom"/>
          </w:tcPr>
          <w:p>
            <w:pPr>
              <w:spacing w:after="0"/>
              <w:rPr>
                <w:sz w:val="1"/>
                <w:szCs w:val="1"/>
                <w:color w:val="auto"/>
              </w:rPr>
            </w:pPr>
          </w:p>
        </w:tc>
      </w:tr>
      <w:tr>
        <w:trPr>
          <w:trHeight w:val="203"/>
        </w:trPr>
        <w:tc>
          <w:tcPr>
            <w:tcW w:w="8640" w:type="dxa"/>
            <w:vAlign w:val="bottom"/>
          </w:tcPr>
          <w:p>
            <w:pPr>
              <w:ind w:left="220"/>
              <w:spacing w:after="0" w:line="202" w:lineRule="exact"/>
              <w:rPr>
                <w:sz w:val="20"/>
                <w:szCs w:val="20"/>
                <w:color w:val="auto"/>
              </w:rPr>
            </w:pPr>
            <w:r>
              <w:rPr>
                <w:rFonts w:ascii="Arial" w:cs="Arial" w:eastAsia="Arial" w:hAnsi="Arial"/>
                <w:sz w:val="18"/>
                <w:szCs w:val="18"/>
                <w:color w:val="auto"/>
              </w:rPr>
              <w:t>Deferred tax asset, non-current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4,765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8,139</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16,211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24,376</w:t>
            </w:r>
          </w:p>
        </w:tc>
        <w:tc>
          <w:tcPr>
            <w:tcW w:w="0" w:type="dxa"/>
            <w:vAlign w:val="bottom"/>
          </w:tcPr>
          <w:p>
            <w:pPr>
              <w:spacing w:after="0"/>
              <w:rPr>
                <w:sz w:val="1"/>
                <w:szCs w:val="1"/>
                <w:color w:val="auto"/>
              </w:rPr>
            </w:pPr>
          </w:p>
        </w:tc>
      </w:tr>
      <w:tr>
        <w:trPr>
          <w:trHeight w:val="203"/>
        </w:trPr>
        <w:tc>
          <w:tcPr>
            <w:tcW w:w="8640" w:type="dxa"/>
            <w:vAlign w:val="bottom"/>
          </w:tcPr>
          <w:p>
            <w:pPr>
              <w:ind w:left="220"/>
              <w:spacing w:after="0" w:line="202" w:lineRule="exact"/>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3,412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251,186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308,720</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25,592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29,425</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Customer layaway deposits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Federal income taxes payable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4,795</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32,375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405"/>
        </w:trPr>
        <w:tc>
          <w:tcPr>
            <w:tcW w:w="8640" w:type="dxa"/>
            <w:vAlign w:val="bottom"/>
          </w:tcPr>
          <w:p>
            <w:pPr>
              <w:ind w:left="220"/>
              <w:spacing w:after="0"/>
              <w:rPr>
                <w:sz w:val="20"/>
                <w:szCs w:val="20"/>
                <w:color w:val="auto"/>
              </w:rPr>
            </w:pPr>
            <w:r>
              <w:rPr>
                <w:rFonts w:ascii="Arial" w:cs="Arial" w:eastAsia="Arial" w:hAnsi="Arial"/>
                <w:sz w:val="18"/>
                <w:szCs w:val="18"/>
                <w:color w:val="auto"/>
              </w:rPr>
              <w:t>Deferred gains and other long-term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220"/>
              <w:spacing w:after="0" w:line="202"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Preferred Stock, par value $.01 per share; 5 million shares authorized in 2007, none authorized in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2008; none issued and outstanding in 2007 and 2008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40" w:type="dxa"/>
            <w:vAlign w:val="bottom"/>
          </w:tcPr>
          <w:p>
            <w:pPr>
              <w:ind w:left="420"/>
              <w:spacing w:after="0" w:line="201" w:lineRule="exact"/>
              <w:rPr>
                <w:sz w:val="20"/>
                <w:szCs w:val="20"/>
                <w:color w:val="auto"/>
              </w:rPr>
            </w:pPr>
            <w:r>
              <w:rPr>
                <w:rFonts w:ascii="Arial" w:cs="Arial" w:eastAsia="Arial" w:hAnsi="Arial"/>
                <w:sz w:val="18"/>
                <w:szCs w:val="18"/>
                <w:color w:val="auto"/>
              </w:rPr>
              <w:t>Class A Non-voting Common Stock, par value $.01 per share; Authorized 54 million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620"/>
              <w:spacing w:after="0" w:line="202" w:lineRule="exact"/>
              <w:rPr>
                <w:sz w:val="20"/>
                <w:szCs w:val="20"/>
                <w:color w:val="auto"/>
              </w:rPr>
            </w:pPr>
            <w:r>
              <w:rPr>
                <w:rFonts w:ascii="Arial" w:cs="Arial" w:eastAsia="Arial" w:hAnsi="Arial"/>
                <w:sz w:val="18"/>
                <w:szCs w:val="18"/>
                <w:color w:val="auto"/>
              </w:rPr>
              <w:t>38,363,176 issued and 38,336,077 outstanding in 2007; 38,564,331 issued and 38,554,331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outstanding in 2008;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383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Class B Voting Common Stock, convertible, par value $.01 per share; 3 million shares authorized;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2,970,171 issued and outstanding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8"/>
              </w:rPr>
              <w:t>131,098</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135,895</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81,847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134,170</w:t>
            </w:r>
          </w:p>
        </w:tc>
        <w:tc>
          <w:tcPr>
            <w:tcW w:w="0" w:type="dxa"/>
            <w:vAlign w:val="bottom"/>
          </w:tcPr>
          <w:p>
            <w:pPr>
              <w:spacing w:after="0"/>
              <w:rPr>
                <w:sz w:val="1"/>
                <w:szCs w:val="1"/>
                <w:color w:val="auto"/>
              </w:rPr>
            </w:pPr>
          </w:p>
        </w:tc>
      </w:tr>
      <w:tr>
        <w:trPr>
          <w:trHeight w:val="203"/>
        </w:trPr>
        <w:tc>
          <w:tcPr>
            <w:tcW w:w="8640" w:type="dxa"/>
            <w:vAlign w:val="bottom"/>
          </w:tcPr>
          <w:p>
            <w:pPr>
              <w:ind w:left="420"/>
              <w:spacing w:after="0" w:line="202" w:lineRule="exact"/>
              <w:rPr>
                <w:sz w:val="20"/>
                <w:szCs w:val="20"/>
                <w:color w:val="auto"/>
              </w:rPr>
            </w:pPr>
            <w:r>
              <w:rPr>
                <w:rFonts w:ascii="Arial" w:cs="Arial" w:eastAsia="Arial" w:hAnsi="Arial"/>
                <w:sz w:val="18"/>
                <w:szCs w:val="18"/>
                <w:color w:val="auto"/>
              </w:rPr>
              <w:t>Treasury stock, at cost; 30,000 shares in 2007; 10,000 shares in 2008</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86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Accumulated other comprehensive income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tcPr>
          <w:p>
            <w:pPr>
              <w:ind w:left="62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215,925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273,050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8"/>
              </w:rPr>
              <w:t>251,186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308,720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Years Ended 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2006</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1"/>
              <w:spacing w:after="0" w:line="155" w:lineRule="exact"/>
              <w:rPr>
                <w:sz w:val="20"/>
                <w:szCs w:val="20"/>
                <w:color w:val="auto"/>
              </w:rPr>
            </w:pPr>
            <w:r>
              <w:rPr>
                <w:rFonts w:ascii="Arial" w:cs="Arial" w:eastAsia="Arial" w:hAnsi="Arial"/>
                <w:sz w:val="14"/>
                <w:szCs w:val="14"/>
                <w:i w:val="1"/>
                <w:iCs w:val="1"/>
                <w:color w:val="auto"/>
              </w:rPr>
              <w:t>(In</w:t>
            </w:r>
          </w:p>
        </w:tc>
        <w:tc>
          <w:tcPr>
            <w:tcW w:w="6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w w:val="96"/>
              </w:rPr>
              <w:t>thousands,</w:t>
            </w:r>
          </w:p>
        </w:tc>
        <w:tc>
          <w:tcPr>
            <w:tcW w:w="7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except per</w:t>
            </w:r>
          </w:p>
        </w:tc>
        <w:tc>
          <w:tcPr>
            <w:tcW w:w="1460" w:type="dxa"/>
            <w:vAlign w:val="bottom"/>
            <w:gridSpan w:val="3"/>
          </w:tcPr>
          <w:p>
            <w:pPr>
              <w:jc w:val="right"/>
              <w:ind w:right="411"/>
              <w:spacing w:after="0" w:line="155" w:lineRule="exact"/>
              <w:rPr>
                <w:sz w:val="20"/>
                <w:szCs w:val="20"/>
                <w:color w:val="auto"/>
              </w:rPr>
            </w:pPr>
            <w:r>
              <w:rPr>
                <w:rFonts w:ascii="Arial" w:cs="Arial" w:eastAsia="Arial" w:hAnsi="Arial"/>
                <w:sz w:val="14"/>
                <w:szCs w:val="14"/>
                <w:i w:val="1"/>
                <w:iCs w:val="1"/>
                <w:color w:val="auto"/>
                <w:w w:val="96"/>
              </w:rPr>
              <w:t>share amounts)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w w:val="98"/>
              </w:rPr>
              <w:t>177,424</w:t>
            </w:r>
          </w:p>
        </w:tc>
        <w:tc>
          <w:tcPr>
            <w:tcW w:w="6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w w:val="98"/>
              </w:rPr>
              <w:t>192,987</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232,560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service charges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65,325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73,551</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Signature loan fees</w:t>
            </w:r>
          </w:p>
        </w:tc>
        <w:tc>
          <w:tcPr>
            <w:tcW w:w="100" w:type="dxa"/>
            <w:vAlign w:val="bottom"/>
          </w:tcPr>
          <w:p>
            <w:pPr>
              <w:spacing w:after="0"/>
              <w:rPr>
                <w:sz w:val="17"/>
                <w:szCs w:val="17"/>
                <w:color w:val="auto"/>
              </w:rPr>
            </w:pP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71,840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w w:val="98"/>
              </w:rPr>
              <w:t>104,347</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128,478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1,263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315,852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w w:val="98"/>
              </w:rPr>
              <w:t>372,215</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457,403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w w:val="98"/>
              </w:rPr>
              <w:t>106,873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w w:val="98"/>
              </w:rPr>
              <w:t>118,007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139,402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19"/>
                <w:szCs w:val="19"/>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208,979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w w:val="98"/>
              </w:rPr>
              <w:t>254,208</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318,001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7"/>
                <w:szCs w:val="17"/>
                <w:color w:val="auto"/>
              </w:rPr>
            </w:pP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w w:val="98"/>
              </w:rPr>
              <w:t>111,738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w w:val="98"/>
              </w:rPr>
              <w:t>128,602</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153,420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Signature loan bad debt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17,897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28,508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7"/>
                <w:szCs w:val="17"/>
                <w:color w:val="auto"/>
              </w:rPr>
            </w:pP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27,749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8"/>
              <w:spacing w:after="0" w:line="202" w:lineRule="exact"/>
              <w:rPr>
                <w:sz w:val="20"/>
                <w:szCs w:val="20"/>
                <w:color w:val="auto"/>
              </w:rPr>
            </w:pPr>
            <w:r>
              <w:rPr>
                <w:rFonts w:ascii="Arial" w:cs="Arial" w:eastAsia="Arial" w:hAnsi="Arial"/>
                <w:sz w:val="18"/>
                <w:szCs w:val="18"/>
                <w:color w:val="auto"/>
              </w:rPr>
              <w:t>31,749</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8,543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9,697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7"/>
                <w:szCs w:val="17"/>
                <w:color w:val="auto"/>
              </w:rPr>
            </w:pP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67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loss on sale / disposal of assets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165,987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w w:val="98"/>
              </w:rPr>
              <w:t>198,599</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244,321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42,992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55,609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73,680</w:t>
            </w:r>
          </w:p>
        </w:tc>
        <w:tc>
          <w:tcPr>
            <w:tcW w:w="0" w:type="dxa"/>
            <w:vAlign w:val="bottom"/>
          </w:tcPr>
          <w:p>
            <w:pPr>
              <w:spacing w:after="0"/>
              <w:rPr>
                <w:sz w:val="1"/>
                <w:szCs w:val="1"/>
                <w:color w:val="auto"/>
              </w:rPr>
            </w:pPr>
          </w:p>
        </w:tc>
      </w:tr>
      <w:tr>
        <w:trPr>
          <w:trHeight w:val="405"/>
        </w:trPr>
        <w:tc>
          <w:tcPr>
            <w:tcW w:w="76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48"/>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441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Equity in net income of unconsolidated affiliate</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548"/>
              <w:spacing w:after="0" w:line="202" w:lineRule="exact"/>
              <w:rPr>
                <w:sz w:val="20"/>
                <w:szCs w:val="20"/>
                <w:color w:val="auto"/>
              </w:rPr>
            </w:pPr>
            <w:r>
              <w:rPr>
                <w:rFonts w:ascii="Arial" w:cs="Arial" w:eastAsia="Arial" w:hAnsi="Arial"/>
                <w:sz w:val="18"/>
                <w:szCs w:val="18"/>
                <w:color w:val="auto"/>
              </w:rPr>
              <w:t>(2,945)</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45,504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rPr>
              <w:t>59,927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16,245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22,053</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25,642</w:t>
            </w:r>
          </w:p>
        </w:tc>
        <w:tc>
          <w:tcPr>
            <w:tcW w:w="0" w:type="dxa"/>
            <w:vAlign w:val="bottom"/>
          </w:tcPr>
          <w:p>
            <w:pPr>
              <w:spacing w:after="0"/>
              <w:rPr>
                <w:sz w:val="1"/>
                <w:szCs w:val="1"/>
                <w:color w:val="auto"/>
              </w:rPr>
            </w:pPr>
          </w:p>
        </w:tc>
      </w:tr>
      <w:tr>
        <w:trPr>
          <w:trHeight w:val="20"/>
        </w:trPr>
        <w:tc>
          <w:tcPr>
            <w:tcW w:w="7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29,259</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rPr>
              <w:t>37,874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0.74</w:t>
            </w:r>
          </w:p>
        </w:tc>
        <w:tc>
          <w:tcPr>
            <w:tcW w:w="66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0.92</w:t>
            </w:r>
          </w:p>
        </w:tc>
        <w:tc>
          <w:tcPr>
            <w:tcW w:w="6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0.69</w:t>
            </w:r>
          </w:p>
        </w:tc>
        <w:tc>
          <w:tcPr>
            <w:tcW w:w="660" w:type="dxa"/>
            <w:vAlign w:val="bottom"/>
            <w:gridSpan w:val="2"/>
            <w:shd w:val="clear" w:color="auto" w:fill="CCEEFF"/>
          </w:tcPr>
          <w:p>
            <w:pPr>
              <w:ind w:left="56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39,432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41,034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41,396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8"/>
                <w:szCs w:val="18"/>
                <w:color w:val="auto"/>
              </w:rPr>
              <w:t>42,264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8"/>
              <w:spacing w:after="0"/>
              <w:rPr>
                <w:sz w:val="20"/>
                <w:szCs w:val="20"/>
                <w:color w:val="auto"/>
              </w:rPr>
            </w:pPr>
            <w:r>
              <w:rPr>
                <w:rFonts w:ascii="Arial" w:cs="Arial" w:eastAsia="Arial" w:hAnsi="Arial"/>
                <w:sz w:val="18"/>
                <w:szCs w:val="18"/>
                <w:color w:val="auto"/>
              </w:rPr>
              <w:t>43,230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43,327</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rPr>
              <w:t>Years Ended September 30,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2006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line="155" w:lineRule="exact"/>
              <w:rPr>
                <w:sz w:val="20"/>
                <w:szCs w:val="20"/>
                <w:color w:val="auto"/>
              </w:rPr>
            </w:pPr>
            <w:r>
              <w:rPr>
                <w:rFonts w:ascii="Arial" w:cs="Arial" w:eastAsia="Arial" w:hAnsi="Arial"/>
                <w:sz w:val="14"/>
                <w:szCs w:val="14"/>
                <w:color w:val="auto"/>
              </w:rPr>
              <w:t>2007</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left="394"/>
              <w:spacing w:after="0" w:line="155" w:lineRule="exact"/>
              <w:rPr>
                <w:sz w:val="20"/>
                <w:szCs w:val="20"/>
                <w:color w:val="auto"/>
              </w:rPr>
            </w:pPr>
            <w:r>
              <w:rPr>
                <w:rFonts w:ascii="Arial" w:cs="Arial" w:eastAsia="Arial" w:hAnsi="Arial"/>
                <w:sz w:val="14"/>
                <w:szCs w:val="14"/>
                <w:i w:val="1"/>
                <w:iCs w:val="1"/>
                <w:color w:val="auto"/>
                <w:w w:val="98"/>
              </w:rPr>
              <w:t>(In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29,259</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37,874</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52,429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9,812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Payday loan loss provision</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2,221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Deferred taxes</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(2,636)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(gain) loss on sale or disposal of assets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1,397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3,627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from investment in unconsolidated affiliate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(2,433)</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business acquisitions: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Service charges and fees receivable, net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(2,948)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Prepaid expenses, other current assets, and other assets, net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(1,675)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2,903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Customer layaway deposits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Deferred gains and other long-term liabilities</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(348)</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(363)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Excess tax benefit from stock-based compensation</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Federal income taxes</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6,248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43,238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53,409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62,344</w:t>
            </w:r>
          </w:p>
        </w:tc>
        <w:tc>
          <w:tcPr>
            <w:tcW w:w="0" w:type="dxa"/>
            <w:vAlign w:val="bottom"/>
          </w:tcPr>
          <w:p>
            <w:pPr>
              <w:spacing w:after="0"/>
              <w:rPr>
                <w:sz w:val="1"/>
                <w:szCs w:val="1"/>
                <w:color w:val="auto"/>
              </w:rPr>
            </w:pPr>
          </w:p>
        </w:tc>
      </w:tr>
      <w:tr>
        <w:trPr>
          <w:trHeight w:val="405"/>
        </w:trPr>
        <w:tc>
          <w:tcPr>
            <w:tcW w:w="75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loans made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(191,826)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(211,856)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(262,483)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Pawn loans repaid</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101,610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109,175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136,753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Recovery of pawn loan principal through sale of forfeited collateral</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89,556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96,207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Payday loans made</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(24,368)</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(48,460)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(81,967)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Payday loans repaid</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21,338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40,842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Additions to property and equipment</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(11,052)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(13,742)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(2,194)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(23,201)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Investment in unconsolidated affiliate</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(13,408)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 from unconsolidated affiliate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assets</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(15,901)</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(62,910)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(58,402)</w:t>
            </w:r>
          </w:p>
        </w:tc>
        <w:tc>
          <w:tcPr>
            <w:tcW w:w="0" w:type="dxa"/>
            <w:vAlign w:val="bottom"/>
          </w:tcPr>
          <w:p>
            <w:pPr>
              <w:spacing w:after="0"/>
              <w:rPr>
                <w:sz w:val="1"/>
                <w:szCs w:val="1"/>
                <w:color w:val="auto"/>
              </w:rPr>
            </w:pPr>
          </w:p>
        </w:tc>
      </w:tr>
      <w:tr>
        <w:trPr>
          <w:trHeight w:val="405"/>
        </w:trPr>
        <w:tc>
          <w:tcPr>
            <w:tcW w:w="75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exercise of stock options and warrants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4,350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Excess tax benefit from stock-based compensation</w:t>
            </w:r>
          </w:p>
        </w:tc>
        <w:tc>
          <w:tcPr>
            <w:tcW w:w="1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1,084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Net payments on bank borrowings</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(7,000)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(1,566)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Change in cash and equivalents</w:t>
            </w:r>
          </w:p>
        </w:tc>
        <w:tc>
          <w:tcPr>
            <w:tcW w:w="1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25,771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(7,406)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equivalents at beginning of period</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4,168</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29,939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Cash and equivalents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29,939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22,533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40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380</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56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12,163</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18,441</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35,034</w:t>
            </w:r>
          </w:p>
        </w:tc>
        <w:tc>
          <w:tcPr>
            <w:tcW w:w="0" w:type="dxa"/>
            <w:vAlign w:val="bottom"/>
          </w:tcPr>
          <w:p>
            <w:pPr>
              <w:spacing w:after="0"/>
              <w:rPr>
                <w:sz w:val="1"/>
                <w:szCs w:val="1"/>
                <w:color w:val="auto"/>
              </w:rPr>
            </w:pPr>
          </w:p>
        </w:tc>
      </w:tr>
      <w:tr>
        <w:trPr>
          <w:trHeight w:val="405"/>
        </w:trPr>
        <w:tc>
          <w:tcPr>
            <w:tcW w:w="754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loans forfeited and transferred to inventory</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93,184</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96,387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Issuance of common stock to 401(k) plan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(1,377)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Cumulative effect of adopting a new accounting principle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E</w:t>
      </w:r>
      <w:r>
        <w:rPr>
          <w:rFonts w:ascii="Arial" w:cs="Arial" w:eastAsia="Arial" w:hAnsi="Arial"/>
          <w:sz w:val="12"/>
          <w:szCs w:val="12"/>
          <w:b w:val="1"/>
          <w:bCs w:val="1"/>
          <w:color w:val="auto"/>
        </w:rPr>
        <w:t>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80" w:type="dxa"/>
            <w:vAlign w:val="bottom"/>
          </w:tcPr>
          <w:p>
            <w:pPr>
              <w:spacing w:after="0"/>
              <w:rPr>
                <w:sz w:val="13"/>
                <w:szCs w:val="13"/>
                <w:color w:val="auto"/>
              </w:rPr>
            </w:pPr>
          </w:p>
        </w:tc>
        <w:tc>
          <w:tcPr>
            <w:tcW w:w="1700" w:type="dxa"/>
            <w:vAlign w:val="bottom"/>
            <w:gridSpan w:val="4"/>
            <w:vMerge w:val="restart"/>
          </w:tcPr>
          <w:p>
            <w:pPr>
              <w:jc w:val="right"/>
              <w:ind w:right="288"/>
              <w:spacing w:after="0"/>
              <w:rPr>
                <w:sz w:val="20"/>
                <w:szCs w:val="20"/>
                <w:color w:val="auto"/>
              </w:rPr>
            </w:pPr>
            <w:r>
              <w:rPr>
                <w:rFonts w:ascii="Arial" w:cs="Arial" w:eastAsia="Arial" w:hAnsi="Arial"/>
                <w:sz w:val="14"/>
                <w:szCs w:val="14"/>
                <w:color w:val="auto"/>
              </w:rPr>
              <w:t>Common Stock</w:t>
            </w:r>
          </w:p>
        </w:tc>
        <w:tc>
          <w:tcPr>
            <w:tcW w:w="3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color w:val="auto"/>
                <w:w w:val="98"/>
              </w:rPr>
              <w:t>Accumulated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900" w:type="dxa"/>
            <w:vAlign w:val="bottom"/>
            <w:gridSpan w:val="3"/>
          </w:tcPr>
          <w:p>
            <w:pPr>
              <w:ind w:left="20"/>
              <w:spacing w:after="0" w:line="151"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80"/>
              <w:spacing w:after="0" w:line="151" w:lineRule="exact"/>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4"/>
                <w:szCs w:val="14"/>
                <w:color w:val="auto"/>
              </w:rPr>
              <w:t>Par</w:t>
            </w:r>
          </w:p>
        </w:tc>
        <w:tc>
          <w:tcPr>
            <w:tcW w:w="1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Paid In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Retained</w:t>
            </w:r>
          </w:p>
        </w:tc>
        <w:tc>
          <w:tcPr>
            <w:tcW w:w="1500" w:type="dxa"/>
            <w:vAlign w:val="bottom"/>
            <w:gridSpan w:val="4"/>
          </w:tcPr>
          <w:p>
            <w:pPr>
              <w:ind w:left="180"/>
              <w:spacing w:after="0"/>
              <w:rPr>
                <w:sz w:val="20"/>
                <w:szCs w:val="20"/>
                <w:color w:val="auto"/>
              </w:rPr>
            </w:pPr>
            <w:r>
              <w:rPr>
                <w:rFonts w:ascii="Arial" w:cs="Arial" w:eastAsia="Arial" w:hAnsi="Arial"/>
                <w:sz w:val="14"/>
                <w:szCs w:val="14"/>
                <w:color w:val="auto"/>
              </w:rPr>
              <w:t>Compensation</w:t>
            </w: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rPr>
              <w:t>Treasury</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1080" w:type="dxa"/>
            <w:vAlign w:val="bottom"/>
            <w:gridSpan w:val="2"/>
          </w:tcPr>
          <w:p>
            <w:pPr>
              <w:jc w:val="right"/>
              <w:ind w:right="520"/>
              <w:spacing w:after="0" w:line="157"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88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Value</w:t>
            </w:r>
          </w:p>
        </w:tc>
        <w:tc>
          <w:tcPr>
            <w:tcW w:w="100" w:type="dxa"/>
            <w:vAlign w:val="bottom"/>
          </w:tcPr>
          <w:p>
            <w:pPr>
              <w:spacing w:after="0"/>
              <w:rPr>
                <w:sz w:val="13"/>
                <w:szCs w:val="13"/>
                <w:color w:val="auto"/>
              </w:rPr>
            </w:pPr>
          </w:p>
        </w:tc>
        <w:tc>
          <w:tcPr>
            <w:tcW w:w="800" w:type="dxa"/>
            <w:vAlign w:val="bottom"/>
            <w:gridSpan w:val="2"/>
          </w:tcPr>
          <w:p>
            <w:pPr>
              <w:jc w:val="right"/>
              <w:ind w:right="340"/>
              <w:spacing w:after="0" w:line="157"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80"/>
              <w:spacing w:after="0" w:line="157" w:lineRule="exact"/>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3"/>
                <w:szCs w:val="13"/>
                <w:color w:val="auto"/>
              </w:rPr>
            </w:pPr>
          </w:p>
        </w:tc>
        <w:tc>
          <w:tcPr>
            <w:tcW w:w="960" w:type="dxa"/>
            <w:vAlign w:val="bottom"/>
            <w:gridSpan w:val="2"/>
          </w:tcPr>
          <w:p>
            <w:pPr>
              <w:jc w:val="right"/>
              <w:ind w:right="560"/>
              <w:spacing w:after="0" w:line="157" w:lineRule="exact"/>
              <w:rPr>
                <w:sz w:val="20"/>
                <w:szCs w:val="20"/>
                <w:color w:val="auto"/>
              </w:rPr>
            </w:pPr>
            <w:r>
              <w:rPr>
                <w:rFonts w:ascii="Arial" w:cs="Arial" w:eastAsia="Arial" w:hAnsi="Arial"/>
                <w:sz w:val="14"/>
                <w:szCs w:val="14"/>
                <w:color w:val="auto"/>
              </w:rPr>
              <w:t>Stock</w:t>
            </w:r>
          </w:p>
        </w:tc>
        <w:tc>
          <w:tcPr>
            <w:tcW w:w="1220" w:type="dxa"/>
            <w:vAlign w:val="bottom"/>
            <w:gridSpan w:val="3"/>
          </w:tcPr>
          <w:p>
            <w:pPr>
              <w:jc w:val="center"/>
              <w:ind w:right="240"/>
              <w:spacing w:after="0" w:line="157" w:lineRule="exact"/>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Balances at Sept. 30, 2005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38,604</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117,965</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14,714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133,543</w:t>
            </w:r>
          </w:p>
        </w:tc>
        <w:tc>
          <w:tcPr>
            <w:tcW w:w="0" w:type="dxa"/>
            <w:vAlign w:val="bottom"/>
          </w:tcPr>
          <w:p>
            <w:pPr>
              <w:spacing w:after="0"/>
              <w:rPr>
                <w:sz w:val="1"/>
                <w:szCs w:val="1"/>
                <w:color w:val="auto"/>
              </w:rPr>
            </w:pPr>
          </w:p>
        </w:tc>
      </w:tr>
      <w:tr>
        <w:trPr>
          <w:trHeight w:val="329"/>
        </w:trPr>
        <w:tc>
          <w:tcPr>
            <w:tcW w:w="2380" w:type="dxa"/>
            <w:vAlign w:val="bottom"/>
          </w:tcPr>
          <w:p>
            <w:pPr>
              <w:ind w:left="420"/>
              <w:spacing w:after="0"/>
              <w:rPr>
                <w:sz w:val="20"/>
                <w:szCs w:val="20"/>
                <w:color w:val="auto"/>
              </w:rPr>
            </w:pPr>
            <w:r>
              <w:rPr>
                <w:rFonts w:ascii="Arial" w:cs="Arial" w:eastAsia="Arial" w:hAnsi="Arial"/>
                <w:sz w:val="14"/>
                <w:szCs w:val="14"/>
                <w:color w:val="auto"/>
              </w:rPr>
              <w:t>Issuance of Common</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Stock to 401(k) plan</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Amortization of deferred</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compensation</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Reclass upon adoption of</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SFAS No. 123(R)</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(169)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169</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1,320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Stock options and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warrants exercised</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1,845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4,327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4,350</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Excess tax benefit from</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compensation</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1,084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Foreign currency</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translation adjustment</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463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29,259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29,259</w:t>
            </w:r>
          </w:p>
        </w:tc>
        <w:tc>
          <w:tcPr>
            <w:tcW w:w="0" w:type="dxa"/>
            <w:vAlign w:val="bottom"/>
          </w:tcPr>
          <w:p>
            <w:pPr>
              <w:spacing w:after="0"/>
              <w:rPr>
                <w:sz w:val="1"/>
                <w:szCs w:val="1"/>
                <w:color w:val="auto"/>
              </w:rPr>
            </w:pPr>
          </w:p>
        </w:tc>
      </w:tr>
      <w:tr>
        <w:trPr>
          <w:trHeight w:val="174"/>
        </w:trPr>
        <w:tc>
          <w:tcPr>
            <w:tcW w:w="2380" w:type="dxa"/>
            <w:vAlign w:val="bottom"/>
          </w:tcPr>
          <w:p>
            <w:pPr>
              <w:ind w:left="420"/>
              <w:spacing w:after="0"/>
              <w:rPr>
                <w:sz w:val="20"/>
                <w:szCs w:val="20"/>
                <w:color w:val="auto"/>
              </w:rPr>
            </w:pPr>
            <w:r>
              <w:rPr>
                <w:rFonts w:ascii="Arial" w:cs="Arial" w:eastAsia="Arial" w:hAnsi="Arial"/>
                <w:sz w:val="14"/>
                <w:szCs w:val="14"/>
                <w:color w:val="auto"/>
              </w:rPr>
              <w:t>Total comprehensive</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income</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29,722</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Balances at Sept. 30, 2006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40,512</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124,572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43,973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170,140</w:t>
            </w:r>
          </w:p>
        </w:tc>
        <w:tc>
          <w:tcPr>
            <w:tcW w:w="0" w:type="dxa"/>
            <w:vAlign w:val="bottom"/>
          </w:tcPr>
          <w:p>
            <w:pPr>
              <w:spacing w:after="0"/>
              <w:rPr>
                <w:sz w:val="1"/>
                <w:szCs w:val="1"/>
                <w:color w:val="auto"/>
              </w:rPr>
            </w:pPr>
          </w:p>
        </w:tc>
      </w:tr>
      <w:tr>
        <w:trPr>
          <w:trHeight w:val="329"/>
        </w:trPr>
        <w:tc>
          <w:tcPr>
            <w:tcW w:w="2380" w:type="dxa"/>
            <w:vAlign w:val="bottom"/>
          </w:tcPr>
          <w:p>
            <w:pPr>
              <w:ind w:left="420"/>
              <w:spacing w:after="0"/>
              <w:rPr>
                <w:sz w:val="20"/>
                <w:szCs w:val="20"/>
                <w:color w:val="auto"/>
              </w:rPr>
            </w:pPr>
            <w:r>
              <w:rPr>
                <w:rFonts w:ascii="Arial" w:cs="Arial" w:eastAsia="Arial" w:hAnsi="Arial"/>
                <w:sz w:val="14"/>
                <w:szCs w:val="14"/>
                <w:color w:val="auto"/>
              </w:rPr>
              <w:t>Issuance of Common</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Stock to 401(k) plan</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compensation</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3,627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3,627</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Stock options and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warrants exercised</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819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1,454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Excess tax benefit from</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compensation</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1,418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Foreign currency</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translation adjustment</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37,874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37,874</w:t>
            </w:r>
          </w:p>
        </w:tc>
        <w:tc>
          <w:tcPr>
            <w:tcW w:w="0" w:type="dxa"/>
            <w:vAlign w:val="bottom"/>
          </w:tcPr>
          <w:p>
            <w:pPr>
              <w:spacing w:after="0"/>
              <w:rPr>
                <w:sz w:val="1"/>
                <w:szCs w:val="1"/>
                <w:color w:val="auto"/>
              </w:rPr>
            </w:pPr>
          </w:p>
        </w:tc>
      </w:tr>
      <w:tr>
        <w:trPr>
          <w:trHeight w:val="174"/>
        </w:trPr>
        <w:tc>
          <w:tcPr>
            <w:tcW w:w="2380" w:type="dxa"/>
            <w:vAlign w:val="bottom"/>
          </w:tcPr>
          <w:p>
            <w:pPr>
              <w:ind w:left="420"/>
              <w:spacing w:after="0"/>
              <w:rPr>
                <w:sz w:val="20"/>
                <w:szCs w:val="20"/>
                <w:color w:val="auto"/>
              </w:rPr>
            </w:pPr>
            <w:r>
              <w:rPr>
                <w:rFonts w:ascii="Arial" w:cs="Arial" w:eastAsia="Arial" w:hAnsi="Arial"/>
                <w:sz w:val="14"/>
                <w:szCs w:val="14"/>
                <w:color w:val="auto"/>
              </w:rPr>
              <w:t>Total comprehensive</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income</w:t>
            </w:r>
          </w:p>
        </w:tc>
        <w:tc>
          <w:tcPr>
            <w:tcW w:w="108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39,251</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Balances at Sept. 30, 2007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41,333</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81,847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215,925</w:t>
            </w:r>
          </w:p>
        </w:tc>
        <w:tc>
          <w:tcPr>
            <w:tcW w:w="0" w:type="dxa"/>
            <w:vAlign w:val="bottom"/>
          </w:tcPr>
          <w:p>
            <w:pPr>
              <w:spacing w:after="0"/>
              <w:rPr>
                <w:sz w:val="1"/>
                <w:szCs w:val="1"/>
                <w:color w:val="auto"/>
              </w:rPr>
            </w:pPr>
          </w:p>
        </w:tc>
      </w:tr>
      <w:tr>
        <w:trPr>
          <w:trHeight w:val="329"/>
        </w:trPr>
        <w:tc>
          <w:tcPr>
            <w:tcW w:w="2380" w:type="dxa"/>
            <w:vAlign w:val="bottom"/>
          </w:tcPr>
          <w:p>
            <w:pPr>
              <w:ind w:left="420"/>
              <w:spacing w:after="0"/>
              <w:rPr>
                <w:sz w:val="20"/>
                <w:szCs w:val="20"/>
                <w:color w:val="auto"/>
              </w:rPr>
            </w:pPr>
            <w:r>
              <w:rPr>
                <w:rFonts w:ascii="Arial" w:cs="Arial" w:eastAsia="Arial" w:hAnsi="Arial"/>
                <w:sz w:val="14"/>
                <w:szCs w:val="14"/>
                <w:color w:val="auto"/>
              </w:rPr>
              <w:t>Issuance of Common</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Stock to 401(k) plan</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compensation</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3,719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3,719</w:t>
            </w:r>
          </w:p>
        </w:tc>
        <w:tc>
          <w:tcPr>
            <w:tcW w:w="0" w:type="dxa"/>
            <w:vAlign w:val="bottom"/>
          </w:tcPr>
          <w:p>
            <w:pPr>
              <w:spacing w:after="0"/>
              <w:rPr>
                <w:sz w:val="1"/>
                <w:szCs w:val="1"/>
                <w:color w:val="auto"/>
              </w:rPr>
            </w:pPr>
          </w:p>
        </w:tc>
      </w:tr>
      <w:tr>
        <w:trPr>
          <w:trHeight w:val="167"/>
        </w:trPr>
        <w:tc>
          <w:tcPr>
            <w:tcW w:w="2380" w:type="dxa"/>
            <w:vAlign w:val="bottom"/>
          </w:tcPr>
          <w:p>
            <w:pPr>
              <w:ind w:left="420"/>
              <w:spacing w:after="0"/>
              <w:rPr>
                <w:sz w:val="20"/>
                <w:szCs w:val="20"/>
                <w:color w:val="auto"/>
              </w:rPr>
            </w:pPr>
            <w:r>
              <w:rPr>
                <w:rFonts w:ascii="Arial" w:cs="Arial" w:eastAsia="Arial" w:hAnsi="Arial"/>
                <w:sz w:val="14"/>
                <w:szCs w:val="14"/>
                <w:color w:val="auto"/>
              </w:rPr>
              <w:t>Stock options and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tcPr>
          <w:p>
            <w:pPr>
              <w:ind w:left="620"/>
              <w:spacing w:after="0" w:line="157" w:lineRule="exact"/>
              <w:rPr>
                <w:sz w:val="20"/>
                <w:szCs w:val="20"/>
                <w:color w:val="auto"/>
              </w:rPr>
            </w:pPr>
            <w:r>
              <w:rPr>
                <w:rFonts w:ascii="Arial" w:cs="Arial" w:eastAsia="Arial" w:hAnsi="Arial"/>
                <w:sz w:val="14"/>
                <w:szCs w:val="14"/>
                <w:color w:val="auto"/>
              </w:rPr>
              <w:t>warrants exercised</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190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391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3"/>
                <w:szCs w:val="13"/>
                <w:color w:val="auto"/>
              </w:rPr>
            </w:pPr>
          </w:p>
        </w:tc>
        <w:tc>
          <w:tcPr>
            <w:tcW w:w="112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Excess tax benefit from</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compensation</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552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2"/>
        </w:trPr>
        <w:tc>
          <w:tcPr>
            <w:tcW w:w="2380" w:type="dxa"/>
            <w:vAlign w:val="bottom"/>
          </w:tcPr>
          <w:p>
            <w:pPr>
              <w:ind w:left="220"/>
              <w:spacing w:after="0"/>
              <w:rPr>
                <w:sz w:val="20"/>
                <w:szCs w:val="20"/>
                <w:color w:val="auto"/>
              </w:rPr>
            </w:pPr>
            <w:r>
              <w:rPr>
                <w:rFonts w:ascii="Arial" w:cs="Arial" w:eastAsia="Arial" w:hAnsi="Arial"/>
                <w:sz w:val="14"/>
                <w:szCs w:val="14"/>
                <w:color w:val="auto"/>
              </w:rPr>
              <w:t>Adoption of FIN48</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Foreign currency</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translation adjustment</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(21)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2380" w:type="dxa"/>
            <w:vAlign w:val="bottom"/>
          </w:tcPr>
          <w:p>
            <w:pPr>
              <w:ind w:left="4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52,429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52,429</w:t>
            </w: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Total comprehensive</w:t>
            </w: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80" w:type="dxa"/>
            <w:vAlign w:val="bottom"/>
            <w:shd w:val="clear" w:color="auto" w:fill="CCEEFF"/>
          </w:tcPr>
          <w:p>
            <w:pPr>
              <w:ind w:left="620"/>
              <w:spacing w:after="0" w:line="157" w:lineRule="exact"/>
              <w:rPr>
                <w:sz w:val="20"/>
                <w:szCs w:val="20"/>
                <w:color w:val="auto"/>
              </w:rPr>
            </w:pPr>
            <w:r>
              <w:rPr>
                <w:rFonts w:ascii="Arial" w:cs="Arial" w:eastAsia="Arial" w:hAnsi="Arial"/>
                <w:sz w:val="14"/>
                <w:szCs w:val="14"/>
                <w:color w:val="auto"/>
              </w:rPr>
              <w:t>income</w:t>
            </w:r>
          </w:p>
        </w:tc>
        <w:tc>
          <w:tcPr>
            <w:tcW w:w="10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52,408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80" w:type="dxa"/>
            <w:vAlign w:val="bottom"/>
          </w:tcPr>
          <w:p>
            <w:pPr>
              <w:spacing w:after="0"/>
              <w:rPr>
                <w:sz w:val="20"/>
                <w:szCs w:val="20"/>
                <w:color w:val="auto"/>
              </w:rPr>
            </w:pPr>
            <w:r>
              <w:rPr>
                <w:rFonts w:ascii="Arial" w:cs="Arial" w:eastAsia="Arial" w:hAnsi="Arial"/>
                <w:sz w:val="14"/>
                <w:szCs w:val="14"/>
                <w:color w:val="auto"/>
              </w:rPr>
              <w:t>Balances at Sept. 30, 2008</w:t>
            </w:r>
          </w:p>
        </w:tc>
        <w:tc>
          <w:tcPr>
            <w:tcW w:w="660" w:type="dxa"/>
            <w:vAlign w:val="bottom"/>
          </w:tcPr>
          <w:p>
            <w:pPr>
              <w:jc w:val="right"/>
              <w:spacing w:after="0"/>
              <w:rPr>
                <w:sz w:val="20"/>
                <w:szCs w:val="20"/>
                <w:color w:val="auto"/>
              </w:rPr>
            </w:pPr>
            <w:r>
              <w:rPr>
                <w:rFonts w:ascii="Arial" w:cs="Arial" w:eastAsia="Arial" w:hAnsi="Arial"/>
                <w:sz w:val="14"/>
                <w:szCs w:val="14"/>
                <w:color w:val="auto"/>
              </w:rPr>
              <w:t>41,535</w:t>
            </w:r>
          </w:p>
        </w:tc>
        <w:tc>
          <w:tcPr>
            <w:tcW w:w="4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135,895</w:t>
            </w:r>
          </w:p>
        </w:tc>
        <w:tc>
          <w:tcPr>
            <w:tcW w:w="220" w:type="dxa"/>
            <w:vAlign w:val="bottom"/>
          </w:tcPr>
          <w:p>
            <w:pPr>
              <w:spacing w:after="0"/>
              <w:rPr>
                <w:sz w:val="14"/>
                <w:szCs w:val="14"/>
                <w:color w:val="auto"/>
              </w:rPr>
            </w:pPr>
          </w:p>
        </w:tc>
        <w:tc>
          <w:tcPr>
            <w:tcW w:w="3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134,170</w:t>
            </w:r>
          </w:p>
        </w:tc>
        <w:tc>
          <w:tcPr>
            <w:tcW w:w="200" w:type="dxa"/>
            <w:vAlign w:val="bottom"/>
          </w:tcPr>
          <w:p>
            <w:pPr>
              <w:spacing w:after="0"/>
              <w:rPr>
                <w:sz w:val="14"/>
                <w:szCs w:val="14"/>
                <w:color w:val="auto"/>
              </w:rPr>
            </w:pP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2,581</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273,050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Organization and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r>
        <w:rPr>
          <w:rFonts w:ascii="Arial" w:cs="Arial" w:eastAsia="Arial" w:hAnsi="Arial"/>
          <w:sz w:val="18"/>
          <w:szCs w:val="18"/>
          <w:color w:val="auto"/>
        </w:rPr>
        <w:t>: We lend or provide credit services to individuals who do not have cash resources or access to credit to meet their short-term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cash needs. We offer pawn loans in 294 domestic pawn stores and 38 Mexico pawn stores open at September 30, 2008. Pawn loans are non-</w:t>
      </w:r>
    </w:p>
    <w:p>
      <w:pPr>
        <w:spacing w:after="0" w:line="234" w:lineRule="auto"/>
        <w:rPr>
          <w:sz w:val="20"/>
          <w:szCs w:val="20"/>
          <w:color w:val="auto"/>
        </w:rPr>
      </w:pPr>
      <w:r>
        <w:rPr>
          <w:rFonts w:ascii="Arial" w:cs="Arial" w:eastAsia="Arial" w:hAnsi="Arial"/>
          <w:sz w:val="18"/>
          <w:szCs w:val="18"/>
          <w:color w:val="auto"/>
        </w:rPr>
        <w:t>recourse loans collateralized by tangible personal property. At these stores, we also sell merchandise, primarily collateral forfeited from our</w:t>
      </w:r>
    </w:p>
    <w:p>
      <w:pPr>
        <w:spacing w:after="0" w:line="235" w:lineRule="auto"/>
        <w:rPr>
          <w:sz w:val="20"/>
          <w:szCs w:val="20"/>
          <w:color w:val="auto"/>
        </w:rPr>
      </w:pPr>
      <w:r>
        <w:rPr>
          <w:rFonts w:ascii="Arial" w:cs="Arial" w:eastAsia="Arial" w:hAnsi="Arial"/>
          <w:sz w:val="18"/>
          <w:szCs w:val="18"/>
          <w:color w:val="auto"/>
        </w:rPr>
        <w:t>pawn lending operations, to customers looking for good value. In 477 EZMONEY stores and 71 of our domestic pawn stores open</w:t>
      </w:r>
    </w:p>
    <w:p>
      <w:pPr>
        <w:spacing w:after="0" w:line="235" w:lineRule="auto"/>
        <w:rPr>
          <w:sz w:val="20"/>
          <w:szCs w:val="20"/>
          <w:color w:val="auto"/>
        </w:rPr>
      </w:pPr>
      <w:r>
        <w:rPr>
          <w:rFonts w:ascii="Arial" w:cs="Arial" w:eastAsia="Arial" w:hAnsi="Arial"/>
          <w:sz w:val="18"/>
          <w:szCs w:val="18"/>
          <w:color w:val="auto"/>
        </w:rPr>
        <w:t>September 30, 2008, we offer short-term non-collateralized loans, often called payday loans, or fee-based credit services to customers seeking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loans (collectively, “signature loans”).</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The consolidated financial statements include the accounts of EZCORP, Inc. and its wholly owned subsidiaries. All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accounts and transactions have been eliminated in consolidation. We account for our interest in Albemarle &amp; Bond Holdings, plc (“A&amp;B”) using the equity method.</w:t>
      </w:r>
    </w:p>
    <w:p>
      <w:pPr>
        <w:spacing w:after="0" w:line="6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 xml:space="preserve">Stock Split: </w:t>
      </w:r>
      <w:r>
        <w:rPr>
          <w:rFonts w:ascii="Arial" w:cs="Arial" w:eastAsia="Arial" w:hAnsi="Arial"/>
          <w:sz w:val="18"/>
          <w:szCs w:val="18"/>
          <w:color w:val="auto"/>
        </w:rPr>
        <w:t>In November 2006, our Board of Directors approved a three-for-one stock split of our two classes of common stock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of record as of November 27, 2006. The additional shares were distributed on December 11, 2006. All shares and amounts per share in this report have been adjusted to reflect the split.</w:t>
      </w:r>
    </w:p>
    <w:p>
      <w:pPr>
        <w:spacing w:after="0" w:line="6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Pawn Loan and Sales Revenue Recognition: </w:t>
      </w:r>
      <w:r>
        <w:rPr>
          <w:rFonts w:ascii="Arial" w:cs="Arial" w:eastAsia="Arial" w:hAnsi="Arial"/>
          <w:sz w:val="18"/>
          <w:szCs w:val="18"/>
          <w:color w:val="auto"/>
        </w:rPr>
        <w:t>We record pawn service charges using the interest method for all pawn loans we believe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 Sales tax collected upon the sale of inventory is excluded from the amount recognized as sales and instead recorded as a liability in </w:t>
      </w:r>
      <w:r>
        <w:rPr>
          <w:rFonts w:ascii="Arial" w:cs="Arial" w:eastAsia="Arial" w:hAnsi="Arial"/>
          <w:sz w:val="18"/>
          <w:szCs w:val="18"/>
          <w:i w:val="1"/>
          <w:iCs w:val="1"/>
          <w:color w:val="auto"/>
        </w:rPr>
        <w:t>Accounts Payable and Other Accrued Liabilities</w:t>
      </w:r>
      <w:r>
        <w:rPr>
          <w:rFonts w:ascii="Arial" w:cs="Arial" w:eastAsia="Arial" w:hAnsi="Arial"/>
          <w:sz w:val="18"/>
          <w:szCs w:val="18"/>
          <w:color w:val="auto"/>
        </w:rPr>
        <w:t xml:space="preserve"> on our balance sheets until remitted to the appropriate governmental authorities.</w:t>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Credit Service Revenue Recognition: </w:t>
      </w:r>
      <w:r>
        <w:rPr>
          <w:rFonts w:ascii="Arial" w:cs="Arial" w:eastAsia="Arial" w:hAnsi="Arial"/>
          <w:sz w:val="18"/>
          <w:szCs w:val="18"/>
          <w:color w:val="auto"/>
        </w:rPr>
        <w:t>We earn credit service fees when we assist customers in obtaining loans from unaffiliated lenders.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initially defer recognition of the fees we expect to collect, net of direct expenses, and recognize that deferred net amount over the life of the related loans. We reserve the percentage of credit service fees we expect not to collect. Accrued fees related to defaulted loans reduce credit service fee revenue upon loan default, and increase credit service fee revenue upon collection. Credit service revenue is included in “Signature loan fees” on our statements of operations.</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Credit Service Bad Debt: </w:t>
      </w:r>
      <w:r>
        <w:rPr>
          <w:rFonts w:ascii="Arial" w:cs="Arial" w:eastAsia="Arial" w:hAnsi="Arial"/>
          <w:sz w:val="18"/>
          <w:szCs w:val="18"/>
          <w:color w:val="auto"/>
        </w:rPr>
        <w:t>We issue letters of credit to enhance the creditworthiness of our credit service customers seeking loans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unaffiliated lenders. The letters of credit assure the lenders that if borrowers default on the loans, we will pay the lenders, upon demand, the principal and accrued interest owed it by the borrowers plus any insufficient funds fee. Although amounts paid under letters of credit may be collected later, we charge those amounts to signature loan bad debt upon default. We record recoveries under the letters of credit as a reduction of bad debt at the time of collection. After attempting collection of bad debts internally, we occasionally sell them to an unaffiliated company as another method of recovery. We account for the sale of defaulted accounts in the same manner as internal collections of defaulted accounts.</w:t>
      </w:r>
    </w:p>
    <w:p>
      <w:pPr>
        <w:spacing w:after="0" w:line="9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majority of our credit service customers obtain short-term loans with a single maturity date. These short-term loans, with maturity dates averaging about 18 days, are considered defaulted if they have not been repaid or renewed by the maturity date. Other credit service customers obtain installment loans with a series of payments due over as much as a five-month period. If one payment of an installment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loan is delinquent, that one payment is considered defaulted. If more than one installment payment is delinquent at any time, the entire loan is considered defaulted.</w:t>
      </w:r>
    </w:p>
    <w:p>
      <w:pPr>
        <w:spacing w:after="0" w:line="6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Credit Service Allowance for Losses: </w:t>
      </w:r>
      <w:r>
        <w:rPr>
          <w:rFonts w:ascii="Arial" w:cs="Arial" w:eastAsia="Arial" w:hAnsi="Arial"/>
          <w:sz w:val="18"/>
          <w:szCs w:val="18"/>
          <w:color w:val="auto"/>
        </w:rPr>
        <w:t>We also provide an allowance for losses we expect to incur under letters of credit for loans that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signature loan bad debt expense. We include the balance of Expected LOC Losses in “Accounts payable and other accrued expenses” on our balance sheet. At September 30, 2008, the allowance for Expected LOC Losses was $2.3 million. At that date, our maximum exposure for losses on letters of credit, if all brokered loans defaulted and none was collected, was $25.0 million. This amount includes principal, interest and insufficient funds fees. Based on the expected loss and collection percentages, we also provide an allowance for the credit service fees we expect not to collect, and charge changes in this allowance to signature loan fee revenue.</w:t>
      </w:r>
    </w:p>
    <w:p>
      <w:pPr>
        <w:spacing w:after="0" w:line="7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 xml:space="preserve">Payday Loan Revenue Recognition: </w:t>
      </w:r>
      <w:r>
        <w:rPr>
          <w:rFonts w:ascii="Arial" w:cs="Arial" w:eastAsia="Arial" w:hAnsi="Arial"/>
          <w:sz w:val="18"/>
          <w:szCs w:val="18"/>
          <w:color w:val="auto"/>
        </w:rPr>
        <w:t>We accrue fees in accordance with state laws on the percentage of payday loans we believe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collectible. Accrued fees related to defaulted loans reduce fee revenue upon loan default, and increase fee revenue upon collection. Payday loan fee revenue is included in “Signature loan fees” on our statements of operations.</w:t>
      </w:r>
    </w:p>
    <w:p>
      <w:pPr>
        <w:spacing w:after="0" w:line="6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Payday Loan Bad Debt: </w:t>
      </w:r>
      <w:r>
        <w:rPr>
          <w:rFonts w:ascii="Arial" w:cs="Arial" w:eastAsia="Arial" w:hAnsi="Arial"/>
          <w:sz w:val="18"/>
          <w:szCs w:val="18"/>
          <w:color w:val="auto"/>
        </w:rPr>
        <w:t>We consider a loan defaulted if it has not been repaid or renewed by the maturity date. Although defaulted loans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collected later, we charge the loan principal to signature loan bad debt upon default, leaving only active loans in the reported balance. We record collections of principal as a reduction of signature loan bad debt when collected. After attempting collection of bad debts internally, we occasionally sell them to an unaffiliated company as another method of recovery. We account for the sale of defaulted accounts in the same manner as internal collections of defaulted accounts.</w:t>
      </w:r>
    </w:p>
    <w:p>
      <w:pPr>
        <w:spacing w:after="0" w:line="6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 xml:space="preserve">Payday Loan Allowance for Losses: </w:t>
      </w:r>
      <w:r>
        <w:rPr>
          <w:rFonts w:ascii="Arial" w:cs="Arial" w:eastAsia="Arial" w:hAnsi="Arial"/>
          <w:sz w:val="18"/>
          <w:szCs w:val="18"/>
          <w:color w:val="auto"/>
        </w:rPr>
        <w:t>We also provide an allowance for losses on payday loans that have not yet matured and related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based on recent loan default experience adjusted for seasonal variations. We charge any changes in the principal valuation allowance to signature loan bad debt. We record changes in the fee receivable valuation allowance to signature loan fee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We consider investments with maturities of 90 days or less when purchased to be cash equivalents.</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If a pawn loan is not redeemed, we record the forfeited collateral at cost. We do not record loan loss allowances or charge-offs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principal portion of pawn loans, as they are fully collateralized. In order to state inventory at the lower of cost (specific identification) or market (net realizable value), we record an allowance for shrinkage and excess, obsolete or slow moving inventory. The allowance is based on the type and age of merchandise and recent sales trends and margins. At September 30, 2008, the inventory valuation allowance was $4.0 million, or 8.5% of gross inventory. We record changes in the inventory valuation allowance as cost of goods sold.</w:t>
      </w:r>
    </w:p>
    <w:p>
      <w:pPr>
        <w:spacing w:after="0" w:line="6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i w:val="1"/>
          <w:iCs w:val="1"/>
          <w:color w:val="auto"/>
        </w:rPr>
        <w:t xml:space="preserve">Software Development Costs: </w:t>
      </w:r>
      <w:r>
        <w:rPr>
          <w:rFonts w:ascii="Arial" w:cs="Arial" w:eastAsia="Arial" w:hAnsi="Arial"/>
          <w:sz w:val="18"/>
          <w:szCs w:val="18"/>
          <w:color w:val="auto"/>
        </w:rPr>
        <w:t>We account for internal software development costs in accordance with the American Institute of Certified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Accountants’ (“AICPA”) Statement of Position (“SOP”) No. 98-1, “Accounting for the Costs of Computer Software Developed for or Obtained for Internal Use,” which requires the capitalization of certain costs incurred in connection with developing or obtaining software for internal use. During 2006, 2007 and 2008 approximately $ 0.3 million, $0.9 million and $1.6 million was capitalized in connection with the development and acquisition of internal software systems. No interest was capitalized in 2006, 2007 or 2008. Capitalized costs are amortized by the straight-line method over the estimated useful lives of each system, ranging from five to eight years.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Customer Layaway Deposits: </w:t>
      </w:r>
      <w:r>
        <w:rPr>
          <w:rFonts w:ascii="Arial" w:cs="Arial" w:eastAsia="Arial" w:hAnsi="Arial"/>
          <w:sz w:val="18"/>
          <w:szCs w:val="18"/>
          <w:color w:val="auto"/>
        </w:rPr>
        <w:t>Customer layaway deposits are recorded as deferred revenue until we collect the entire related sales price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the related merchandise to the customer.</w:t>
      </w:r>
    </w:p>
    <w:p>
      <w:pPr>
        <w:spacing w:after="0" w:line="46"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Goodwill and other intangible assets having indefinite lives are not subject to amortization. They are tested for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July 1</w:t>
      </w:r>
      <w:r>
        <w:rPr>
          <w:rFonts w:ascii="Arial" w:cs="Arial" w:eastAsia="Arial" w:hAnsi="Arial"/>
          <w:sz w:val="15"/>
          <w:szCs w:val="15"/>
          <w:color w:val="auto"/>
        </w:rPr>
        <w:t>st</w:t>
      </w:r>
      <w:r>
        <w:rPr>
          <w:rFonts w:ascii="Arial" w:cs="Arial" w:eastAsia="Arial" w:hAnsi="Arial"/>
          <w:sz w:val="18"/>
          <w:szCs w:val="18"/>
          <w:color w:val="auto"/>
        </w:rPr>
        <w:t>, or more frequently if events or changes in circumstances indicate that they might be impaired. We recognized no impairment of our intangible assets in fiscal 2006, 2007, or 2008. We amortize intangible assets with definite lives over their estimated useful lives using the straight-line method.</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We record property and equipment at cost. We depreciate these assets on a straight-line basis using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useful lives of 30 years for buildings and 2 to 8 years for furniture, equipment, and software development costs. We depreciate leasehold improvements over the shorter of their estimated useful life — typically 10 years — or the reasonably assured lease term at the inception of the lease. Property and equipment is shown net of accumulated depreciation of $84.7 million and $94.4 million at September 30, 2007 and 2008.</w:t>
      </w:r>
    </w:p>
    <w:p>
      <w:pPr>
        <w:spacing w:after="0" w:line="6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Valuation of Tangible Long-Lived Assets: </w:t>
      </w:r>
      <w:r>
        <w:rPr>
          <w:rFonts w:ascii="Arial" w:cs="Arial" w:eastAsia="Arial" w:hAnsi="Arial"/>
          <w:sz w:val="18"/>
          <w:szCs w:val="18"/>
          <w:color w:val="auto"/>
        </w:rPr>
        <w:t>We assess the impairment of tangible long-lived assets whenever events or changes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fiscal 2006, 2007 or 2008.</w:t>
      </w:r>
    </w:p>
    <w:p>
      <w:pPr>
        <w:spacing w:after="0" w:line="7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We determine the fair value of financial instruments by reference to various market data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valuation techniques, as appropriate. Unless otherwise disclosed, the fair values of financial instruments approximate their recorded values, due primarily to their short-term nature. We consider investments with maturities of 90 days or less when purchased to be cash equivalents.</w:t>
      </w:r>
    </w:p>
    <w:p>
      <w:pPr>
        <w:spacing w:after="0" w:line="61"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Foreign Currency Translation: </w:t>
      </w:r>
      <w:r>
        <w:rPr>
          <w:rFonts w:ascii="Arial" w:cs="Arial" w:eastAsia="Arial" w:hAnsi="Arial"/>
          <w:sz w:val="18"/>
          <w:szCs w:val="18"/>
          <w:color w:val="auto"/>
        </w:rPr>
        <w:t>Our equity investment in A&amp;B is translated from the U.K. pound into U.S. dollars at the exchange rate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A&amp;B’s balance sheet date of June 30. The related interest in A&amp;B’s net income is translated at the average exchange rate for each six-month period reported by A&amp;B. The functional currency of our wholly-owned Empeño Fácil Mexican pawn operations is the Mexican peso. Empeño Fácil’s balance sheet accounts are translated into U.S. dollars at the prevailing exchange rate at the end of each quarter, and its earnings are translated into U.S. dollars at the average exchange rate each quarter. We present resulting translation adjustments from A&amp;B and Empeño Fácil as a separate component of stockholders’ equity. Foreign currency transaction gains and losses have not been significant, and are reported as “Other” expense in our statements of operations.</w:t>
      </w:r>
    </w:p>
    <w:p>
      <w:pPr>
        <w:spacing w:after="0" w:line="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 xml:space="preserve">Cost of Goods Sold: </w:t>
      </w:r>
      <w:r>
        <w:rPr>
          <w:rFonts w:ascii="Arial" w:cs="Arial" w:eastAsia="Arial" w:hAnsi="Arial"/>
          <w:sz w:val="18"/>
          <w:szCs w:val="18"/>
          <w:color w:val="auto"/>
        </w:rPr>
        <w:t>We include in cost of goods sold the historical cost of inventory sold, inventory shrinkage and any change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inventory shrinkage and valuation. We also include the cost of operating our central jewelry processing unit, as it relates directly to sales of precious metals to refiners.</w:t>
      </w:r>
    </w:p>
    <w:p>
      <w:pPr>
        <w:spacing w:after="0" w:line="6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Operations Expense: </w:t>
      </w:r>
      <w:r>
        <w:rPr>
          <w:rFonts w:ascii="Arial" w:cs="Arial" w:eastAsia="Arial" w:hAnsi="Arial"/>
          <w:sz w:val="18"/>
          <w:szCs w:val="18"/>
          <w:color w:val="auto"/>
        </w:rPr>
        <w:t>Included in operations expense are costs related to operating our stores. These costs include labor, other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such as utilities, supplies and banking fees, and indirect expenses such as store rent, building repairs and maintenance, advertising and store property taxes and insurance.</w:t>
      </w:r>
    </w:p>
    <w:p>
      <w:pPr>
        <w:spacing w:after="0" w:line="61"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b w:val="1"/>
          <w:bCs w:val="1"/>
          <w:i w:val="1"/>
          <w:iCs w:val="1"/>
          <w:color w:val="auto"/>
        </w:rPr>
        <w:t xml:space="preserve">Administrative Expense: </w:t>
      </w:r>
      <w:r>
        <w:rPr>
          <w:rFonts w:ascii="Arial" w:cs="Arial" w:eastAsia="Arial" w:hAnsi="Arial"/>
          <w:sz w:val="18"/>
          <w:szCs w:val="18"/>
          <w:color w:val="auto"/>
        </w:rPr>
        <w:t>Included in administrative expense are costs related to our executive and administrative offices. This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administrative and regional salaries, wages and incentive compensation, professional fees, license fees and costs related to the operation of our administrative offices such as rent, property taxes, insurance, and information technology. Also included in administrative expense are costs of our bad debt collection center.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expense advertising costs as incurred. Advertising expense was approximately $1,041,000, $1,968,000 and $2,166,000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2006, 2007 and 2008.</w:t>
      </w:r>
    </w:p>
    <w:p>
      <w:pPr>
        <w:spacing w:after="0" w:line="4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part of the process of preparing the consolidated financial statements, we estimate income taxes in each jurisdiction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operate. This involves estimating the actual current tax liability and assessing temporary differences in recognition of income for tax and accounting purposes. These differences result in deferred tax assets and liabilities that we include in our balance sheet. We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We assess the need for a deferred tax asset valuation allowance quarterly. Our valuation allowance was $0.2 million at September 30, 2008, compared to $0.4 million at September 30, 2007. As a result of a taxable gain on the sale of property, we reduced the valuation allowance in the fourth quarter of fiscal 2008 due to the utilization of a capital loss carry-forward that was previously reserved.</w:t>
      </w:r>
    </w:p>
    <w:p>
      <w:pPr>
        <w:spacing w:after="0" w:line="9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Effective October 1, 2007, we adopted Financial Interpretation No. 48, “Accounting for Uncertainty in Income Taxes” (“FIN 48”). See Note J,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and related disclosures.</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account for share-based compensation in accordance with the fair value recognition provisions of SFAS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123(R), “Share-based Payment.” We estimate the grant-date fair value of options using the Black-Scholes-Merton option-pricing model and amortize that fair value to compensation expense on a straight-line basis over the options’ vesting periods.</w:t>
      </w:r>
    </w:p>
    <w:p>
      <w:pPr>
        <w:spacing w:after="0" w:line="6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We account for our operations in accordance with SFAS No. 131, “Disclosures about Segments of an Enterprise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Prior to fiscal 2008, we had two reportable segments. Effective October 1, 2007, we reorganized our operations and internal reporting to manage it as three separate segments. See Note R “Operating Segment Information” for further discussion and separate data for each segment.</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accounting principles require us to make estimates and assumptions that affect the amounts reported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financial statements and accompanying notes. Actual results could differ materially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balances have been reclassified to conform to the current year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In September 2006, the Financial Accounting Standards Board (“FASB”) issued SFAS</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No. 157, “Fair Value Measurements.” Among other requirements, SFAS No. 157 defines fair value, establishes a framework for measuring fair value and expands disclosure about the use of fair value to measure assets and liabilities. We must adopt SFAS No. 157 in our fiscal year ending September 30, 2009. We expect adoption of SFAS No. 157 to have no impact on our financial position, results of operations or cash flows.</w:t>
      </w:r>
    </w:p>
    <w:p>
      <w:pPr>
        <w:spacing w:after="0" w:line="9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In February 2007, FASB issued SFAS No. 159, “The Fair Value Option for Financial Assets and Financial Liabilities.” SFAS No. 159 permits entities to choose, at specified election dates, to measure eligible items at fair value (the “fair value option”) and requires an entity to report in earnings at each subsequent reporting date those unrealized gains and losses on items for which the fair value option has been elected. Upfront costs and fees related to items for which the fair value option is elected shall be recognized in earnings as incurred and not deferred. SFAS No. 159 will be effective beginning in our fiscal year ending September 30, 2009. We expect adoption of SFAS No. 159 to have no impact on our financial position, results of operations or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December 2007, FASB issued SFAS No. 141, “Business Combinations — Revised” (“SFAS No. 141(R)”). SFAS No. 141(R) establishes principles and requirements for how an acquirer in a business combination: (1) recognizes and measures in its financial statements the identifiable assets acquired, the liabilities assumed, and any non-controlling interest in an acquiree, (2) recognizes and measures the goodwill acquired in the business combination or a gain from a bargain purchase price, and (3) determines what information to disclose to enable users of the consolidated financial statements to evaluate the nature and financial effects of the business combination. Among other changes, SFAS No. 141(R) will require us to immediately expense transaction costs that have historically been included in the purchase price allocation under existing guidance. SFAS No. 141(R) will apply prospectively to any acquisitions we complete on or after October 1, 2009.</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2008, FASB issued SFAS No. 161, “Disclosures about Derivative Instruments and Hedging Activities—an amendment of FASB Statement No. 133.” SFAS No. 161 requires enhanced disclosures concerning (1) the manner in which an entity uses derivatives (and the reasons it uses them), (2) the manner in which derivatives and related hedged items are accounted for under SFAS No. 133 and interpretations thereof, and (3) the effects that derivatives and related hedged items have on an entity’s financial position, financial performance, and cash flows. We must adopt SFAS No. 161 by January 1, 2009. We do not expect SFAS No. 161 to have a material effect on our financial position, results of operations, or cash flows, as we do not currently use any derivative financial instruments.</w:t>
      </w:r>
    </w:p>
    <w:p>
      <w:pPr>
        <w:spacing w:after="0" w:line="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In April 2008, FASB issued FSP No.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which amends the list of factors an entity should consider in developing renewal or extension assumptions used in determining the useful life of recognized intangible assets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new guidance applies to (1) intangible assets that are acquired individually or with a group of other assets and (2) intangible assets acquired in both business combinations and asset acquisitions. Under FSP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We must adopt FSP FAS 142-3 in our fiscal year ending September 30, 2010. We do not expect adoption of FSP FAS 142-3 to have a material effect on our financial position, results of operations, or cash flows.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Acquisitions</w:t>
      </w:r>
    </w:p>
    <w:p>
      <w:pPr>
        <w:spacing w:after="0" w:line="12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On October 22, 2007, we completed the acquisition of twenty Mexico pawnshops from MMFS Intl., S.A. de C.V, a subsidiary of Mister Money Holdings, Inc. for $15.5 million cash and direct transaction costs. The initial valuation of $15.3 million increased to $15.5 million in the current year-to-date period due to additional professional fees related to the acquisition. The increase was recorded as an increase to goodwill. In the quarter ended March 31, 2008, we also refined our estimated fair value of the non-compete agreement, which increased the non-compete agreement by $0.4 million, and decreased goodwill by an offsetting amount.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purchase price is allocated as follows, including the adjustments discussed above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Pawn loans</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service charges receivable, net</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Inventory, net</w:t>
            </w: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tax asset</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3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Non-compete agreement</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assets, net</w:t>
            </w:r>
          </w:p>
        </w:tc>
        <w:tc>
          <w:tcPr>
            <w:tcW w:w="3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9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Customer deposits</w:t>
            </w: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results of the acquired stores have been consolidated with our results since their acquisition. Pro forma results of operations have not been presented because the acquisition was not material in relation to our consolidated financial position or results of operations. The goodwill noted above was recorded in the Empeño Fácil Mexico pawn segment and is expected to be fully deductible for tax purposes over the fifteen years following the acquisition.</w:t>
      </w:r>
    </w:p>
    <w:p>
      <w:pPr>
        <w:spacing w:after="0" w:line="9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fiscal 2007, we acquired fifteen pawnshops and one signature loan store for total consideration of $23.2 million. Of the total purchase price, $1.7 million was allocated to inventory, $4.1 million was allocated to pawn loans, $0.1 million was allocated to payday loans, $1.9 million was allocated to other identified assets and liabilities, and the remaining $15.4 million was allocated to goodwill.</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results of the acquired stores have been consolidated with our results since their acquisition. Pro forma results of operations have not been presented because the acquisition was not material in relation to our consolidated financial position or results of operations.</w:t>
      </w:r>
    </w:p>
    <w:p>
      <w:pPr>
        <w:spacing w:after="0" w:line="89"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On November 13, 2008, subsequent to the end of fiscal 2008, we acquired the operating assets of eleven pawnshops located in Las Vegas, North Las Vegas and Henderson, Nevada that operate under the Pawn Plus, Pawn Place and ASAP Pawn brands for approximately</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$34.3 million. $17.3 million of the purchase price was paid through the issuance of 1,116,505 shares of our Class A Non-voting Common Stock, and the remaining $17.0 million was paid in cash. The results of the acquired stores will first be reflected in our consolidated results in the quarter ending December 31, 2008, from the date of acquisition forward.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currently anticipate recording the following preliminary purchase price allocation in the quarter ending December 31,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Pawn loans</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Payday loans, net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Auto title loans</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Pawn service charges receivable, net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Signature loan fees receivable, net</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Inventory, net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Deferred tax asset</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3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3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34,484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Customer deposits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expect the goodwill related to this acquisition will be fully tax deductible over the next fifteen years.</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September 16, 2008, we agreed to acquire through a merger all of the capital stock of Value Financial Services, Inc. (“VFS”). We expect to complete the merger on December 31, 2008. In the merger, we expect to acquire VFS’s 67 pawn stores, most of which are in Florida. This pending acquisition is described more fully in Note S, “Subsequent Events.” VFS’s results of operations will not be reflected in our consolidated financial results until the acquisition is completed.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Earnings Per Share</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are as follows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rPr>
              <w:t>Years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color w:val="auto"/>
              </w:rPr>
              <w:t>2006</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29,259</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w w:val="98"/>
              </w:rPr>
              <w:t>37,874</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52,429</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790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39,432</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41,034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41,396</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stock options, warrants, and restricted stock</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2,832</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1,931</w:t>
            </w:r>
          </w:p>
        </w:tc>
      </w:tr>
      <w:tr>
        <w:trPr>
          <w:trHeight w:val="20"/>
        </w:trPr>
        <w:tc>
          <w:tcPr>
            <w:tcW w:w="7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Weighted average common stock and common stock equivalents (C)</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42,264</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43,230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43,327</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 (A/B)</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0.92</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1.27</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900" w:type="dxa"/>
            <w:vAlign w:val="bottom"/>
          </w:tcPr>
          <w:p>
            <w:pPr>
              <w:spacing w:after="0" w:line="196" w:lineRule="exact"/>
              <w:rPr>
                <w:sz w:val="20"/>
                <w:szCs w:val="20"/>
                <w:color w:val="auto"/>
              </w:rPr>
            </w:pPr>
            <w:r>
              <w:rPr>
                <w:rFonts w:ascii="Arial" w:cs="Arial" w:eastAsia="Arial" w:hAnsi="Arial"/>
                <w:sz w:val="18"/>
                <w:szCs w:val="18"/>
                <w:color w:val="auto"/>
              </w:rPr>
              <w:t>Diluted earnings per share (A/C)</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0.69</w:t>
            </w:r>
          </w:p>
        </w:tc>
        <w:tc>
          <w:tcPr>
            <w:tcW w:w="4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line="196" w:lineRule="exact"/>
              <w:rPr>
                <w:sz w:val="20"/>
                <w:szCs w:val="20"/>
                <w:color w:val="auto"/>
              </w:rPr>
            </w:pPr>
            <w:r>
              <w:rPr>
                <w:rFonts w:ascii="Arial" w:cs="Arial" w:eastAsia="Arial" w:hAnsi="Arial"/>
                <w:sz w:val="18"/>
                <w:szCs w:val="18"/>
                <w:color w:val="auto"/>
              </w:rPr>
              <w:t>0.88</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1.21</w:t>
            </w:r>
          </w:p>
        </w:tc>
      </w:tr>
      <w:tr>
        <w:trPr>
          <w:trHeight w:val="20"/>
        </w:trPr>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excluded anti-dilutive options, warrants and restricted stock grants from the computation of diluted earnings per share because the assumed proceeds upon exercise, as defined by SFAS No. 123(R), were greater than the cost to re-acquire the same number of shares at the average market price, and therefore the effect would be anti-dilutive. During fiscal 2006, 2007 and 2008 there were 1,233,557 and 1,666 weighted average options outstanding that were anti-dilutive. There were no anti-dilutive restrictive stocks during fiscal 2006, 2007 and 2008.</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number of outstanding Class A Non-voting Common Stock outstanding increased subsequent to the end of fiscal 2008 upon the closing of an acquisition, the exercise of a significant number of stock options, and the lapse of restrictions on two material restricted stock awards. We also anticipate issuing additional shares as consideration for an acquisition we expect to close on December 31, 2008. See Note S, “</w:t>
      </w:r>
      <w:r>
        <w:rPr>
          <w:rFonts w:ascii="Arial" w:cs="Arial" w:eastAsia="Arial" w:hAnsi="Arial"/>
          <w:sz w:val="18"/>
          <w:szCs w:val="18"/>
          <w:i w:val="1"/>
          <w:iCs w:val="1"/>
          <w:color w:val="auto"/>
        </w:rPr>
        <w:t>Subsequent Events</w:t>
      </w:r>
      <w:r>
        <w:rPr>
          <w:rFonts w:ascii="Arial" w:cs="Arial" w:eastAsia="Arial" w:hAnsi="Arial"/>
          <w:sz w:val="18"/>
          <w:szCs w:val="18"/>
          <w:color w:val="auto"/>
        </w:rPr>
        <w:t>,” for a more complete description of these events and the number of shares issued and expected to be 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Investment</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own 16,298,875 common shares of Albemarle &amp; Bond Holdings, plc (“A&amp;B”), or approximately 29.95% of A&amp;B’s total outstanding shares at September 30, 2008. The shares were acquired in 1998 and 2007 at a total cost of $26.2 million. A&amp;B is primarily engaged in pawnbroking, retail jewelry sales, check cashing and lending in the United Kingdom. The investment is accounted for using the equity method. Since A&amp;B’s fiscal year ends three months prior to ours, we report the income from this investment on a three-month lag. The income reported for our fiscal year end of September 30 represents our percentage interest in the results of A&amp;B’s operations from July 1 to June 30. In fiscal 2006, 2007 and 2008, we received dividends from A&amp;B of $969,000, $1,274,000 and $1,760,000. The undistributed after-tax earnings included in our consolidated retained earnings were $11.4 million at September 30, 2008. A&amp;B’s shares are listed on the Alternative Investment Market of the London Stock Exchange and at October 31, 2008, the market value of this investment was approximately $49.9 million, based on the closing market price and currency exchange rate on that date.</w:t>
      </w:r>
    </w:p>
    <w:p>
      <w:pPr>
        <w:spacing w:after="0" w:line="9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In 1998, we acquired 13,276,666 shares of A&amp;B’s common stock for approximately $12.8 million. On July 12, 2007, we acquired 3,022,209 additional shares of A&amp;B’s common stock for approximately $13.4 million as part of a private placement of stock by A&amp;B. At June 30, 2008, A&amp;B’s most recently reported balance sheet date, this represented approximately 29.95% of A&amp;B’s total outstanding shares. Because we include A&amp;B’s earnings in our financial statements on a three-month lag as described above, our incremental share of A&amp;B’s results of operations were first reflected in our results in the quarter ending December 31, 2007.</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Conversion of A&amp;B’s financial statements into US Generally Accepted Accounting Principles (“GAAP”) resulted in no material differences from those reported by A&amp;B following International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Standards.</w:t>
      </w:r>
    </w:p>
    <w:p>
      <w:pPr>
        <w:spacing w:after="0" w:line="10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Below is summarized financial information for A&amp;B’s most recently reported results (using the exchange rate as of June 30 of each year for balance sheet items and average exchange rates for income statement items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ind w:left="420"/>
              <w:spacing w:after="0"/>
              <w:rPr>
                <w:sz w:val="20"/>
                <w:szCs w:val="20"/>
                <w:color w:val="auto"/>
              </w:rPr>
            </w:pPr>
            <w:r>
              <w:rPr>
                <w:rFonts w:ascii="Arial" w:cs="Arial" w:eastAsia="Arial" w:hAnsi="Arial"/>
                <w:sz w:val="14"/>
                <w:szCs w:val="14"/>
                <w:color w:val="auto"/>
              </w:rPr>
              <w:t>As of June 30,</w:t>
            </w:r>
          </w:p>
        </w:tc>
      </w:tr>
      <w:tr>
        <w:trPr>
          <w:trHeight w:val="156"/>
        </w:trPr>
        <w:tc>
          <w:tcPr>
            <w:tcW w:w="6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color w:val="auto"/>
                <w:w w:val="96"/>
              </w:rPr>
              <w:t>2007</w:t>
            </w: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r>
      <w:tr>
        <w:trPr>
          <w:trHeight w:val="156"/>
        </w:trPr>
        <w:tc>
          <w:tcPr>
            <w:tcW w:w="6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6"/>
          </w:tcPr>
          <w:p>
            <w:pPr>
              <w:ind w:left="420"/>
              <w:spacing w:after="0" w:line="155" w:lineRule="exact"/>
              <w:rPr>
                <w:sz w:val="20"/>
                <w:szCs w:val="20"/>
                <w:color w:val="auto"/>
              </w:rPr>
            </w:pPr>
            <w:r>
              <w:rPr>
                <w:rFonts w:ascii="Arial" w:cs="Arial" w:eastAsia="Arial" w:hAnsi="Arial"/>
                <w:sz w:val="14"/>
                <w:szCs w:val="14"/>
                <w:i w:val="1"/>
                <w:iCs w:val="1"/>
                <w:color w:val="auto"/>
              </w:rPr>
              <w:t>(In thousands)</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left="814"/>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4"/>
              </w:rPr>
              <w:t>83,058</w:t>
            </w:r>
          </w:p>
        </w:tc>
        <w:tc>
          <w:tcPr>
            <w:tcW w:w="11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$120,295</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w w:val="94"/>
              </w:rPr>
              <w:t>24,682</w:t>
            </w:r>
          </w:p>
        </w:tc>
        <w:tc>
          <w:tcPr>
            <w:tcW w:w="11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61,388</w:t>
            </w:r>
          </w:p>
        </w:tc>
      </w:tr>
      <w:tr>
        <w:trPr>
          <w:trHeight w:val="27"/>
        </w:trPr>
        <w:tc>
          <w:tcPr>
            <w:tcW w:w="6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7"/>
                <w:szCs w:val="17"/>
                <w:color w:val="auto"/>
              </w:rPr>
            </w:pPr>
          </w:p>
        </w:tc>
        <w:tc>
          <w:tcPr>
            <w:tcW w:w="2160" w:type="dxa"/>
            <w:vAlign w:val="bottom"/>
            <w:gridSpan w:val="6"/>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107,740</w:t>
            </w:r>
          </w:p>
        </w:tc>
        <w:tc>
          <w:tcPr>
            <w:tcW w:w="11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181,683</w:t>
            </w:r>
          </w:p>
        </w:tc>
      </w:tr>
      <w:tr>
        <w:trPr>
          <w:trHeight w:val="20"/>
        </w:trPr>
        <w:tc>
          <w:tcPr>
            <w:tcW w:w="6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24"/>
                <w:szCs w:val="24"/>
                <w:color w:val="auto"/>
              </w:rPr>
            </w:pPr>
          </w:p>
        </w:tc>
        <w:tc>
          <w:tcPr>
            <w:tcW w:w="1240" w:type="dxa"/>
            <w:vAlign w:val="bottom"/>
            <w:gridSpan w:val="3"/>
          </w:tcPr>
          <w:p>
            <w:pPr>
              <w:jc w:val="center"/>
              <w:ind w:left="814"/>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6,715</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$ 13,710</w:t>
            </w: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4"/>
              </w:rPr>
              <w:t>48,262</w:t>
            </w:r>
          </w:p>
        </w:tc>
        <w:tc>
          <w:tcPr>
            <w:tcW w:w="11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79,555</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Equity shareholders’ funds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w w:val="94"/>
              </w:rPr>
              <w:t>52,763</w:t>
            </w:r>
          </w:p>
        </w:tc>
        <w:tc>
          <w:tcPr>
            <w:tcW w:w="11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88,418</w:t>
            </w:r>
          </w:p>
        </w:tc>
      </w:tr>
      <w:tr>
        <w:trPr>
          <w:trHeight w:val="27"/>
        </w:trPr>
        <w:tc>
          <w:tcPr>
            <w:tcW w:w="6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 and equity shareholders’ funds</w:t>
            </w:r>
          </w:p>
        </w:tc>
        <w:tc>
          <w:tcPr>
            <w:tcW w:w="1180" w:type="dxa"/>
            <w:vAlign w:val="bottom"/>
            <w:shd w:val="clear" w:color="auto" w:fill="CCEEFF"/>
          </w:tcPr>
          <w:p>
            <w:pPr>
              <w:spacing w:after="0"/>
              <w:rPr>
                <w:sz w:val="17"/>
                <w:szCs w:val="17"/>
                <w:color w:val="auto"/>
              </w:rPr>
            </w:pPr>
          </w:p>
        </w:tc>
        <w:tc>
          <w:tcPr>
            <w:tcW w:w="2160" w:type="dxa"/>
            <w:vAlign w:val="bottom"/>
            <w:gridSpan w:val="6"/>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107,740</w:t>
            </w:r>
          </w:p>
        </w:tc>
        <w:tc>
          <w:tcPr>
            <w:tcW w:w="11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181,683</w:t>
            </w:r>
          </w:p>
        </w:tc>
      </w:tr>
      <w:tr>
        <w:trPr>
          <w:trHeight w:val="20"/>
        </w:trPr>
        <w:tc>
          <w:tcPr>
            <w:tcW w:w="6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9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Years ended June 30,</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6"/>
        </w:trPr>
        <w:tc>
          <w:tcPr>
            <w:tcW w:w="6900" w:type="dxa"/>
            <w:vAlign w:val="bottom"/>
          </w:tcPr>
          <w:p>
            <w:pPr>
              <w:spacing w:after="0"/>
              <w:rPr>
                <w:sz w:val="13"/>
                <w:szCs w:val="13"/>
                <w:color w:val="auto"/>
              </w:rPr>
            </w:pPr>
          </w:p>
        </w:tc>
        <w:tc>
          <w:tcPr>
            <w:tcW w:w="1180" w:type="dxa"/>
            <w:vAlign w:val="bottom"/>
          </w:tcPr>
          <w:p>
            <w:pPr>
              <w:jc w:val="right"/>
              <w:ind w:right="354"/>
              <w:spacing w:after="0" w:line="155" w:lineRule="exact"/>
              <w:rPr>
                <w:sz w:val="20"/>
                <w:szCs w:val="20"/>
                <w:color w:val="auto"/>
              </w:rPr>
            </w:pPr>
            <w:r>
              <w:rPr>
                <w:rFonts w:ascii="Arial" w:cs="Arial" w:eastAsia="Arial" w:hAnsi="Arial"/>
                <w:sz w:val="14"/>
                <w:szCs w:val="14"/>
                <w:color w:val="auto"/>
              </w:rPr>
              <w:t>2006</w:t>
            </w:r>
          </w:p>
        </w:tc>
        <w:tc>
          <w:tcPr>
            <w:tcW w:w="1240" w:type="dxa"/>
            <w:vAlign w:val="bottom"/>
            <w:gridSpan w:val="3"/>
          </w:tcPr>
          <w:p>
            <w:pPr>
              <w:jc w:val="center"/>
              <w:ind w:left="834"/>
              <w:spacing w:after="0" w:line="155" w:lineRule="exact"/>
              <w:rPr>
                <w:sz w:val="20"/>
                <w:szCs w:val="20"/>
                <w:color w:val="auto"/>
              </w:rPr>
            </w:pPr>
            <w:r>
              <w:rPr>
                <w:rFonts w:ascii="Arial" w:cs="Arial" w:eastAsia="Arial" w:hAnsi="Arial"/>
                <w:sz w:val="14"/>
                <w:szCs w:val="14"/>
                <w:color w:val="auto"/>
              </w:rPr>
              <w:t>2007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r>
      <w:tr>
        <w:trPr>
          <w:trHeight w:val="156"/>
        </w:trPr>
        <w:tc>
          <w:tcPr>
            <w:tcW w:w="69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500" w:type="dxa"/>
            <w:vAlign w:val="bottom"/>
            <w:gridSpan w:val="2"/>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Turnover (gross revenues)</w:t>
            </w:r>
          </w:p>
        </w:tc>
        <w:tc>
          <w:tcPr>
            <w:tcW w:w="11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$52,461</w:t>
            </w:r>
          </w:p>
        </w:tc>
        <w:tc>
          <w:tcPr>
            <w:tcW w:w="1660" w:type="dxa"/>
            <w:vAlign w:val="bottom"/>
            <w:gridSpan w:val="4"/>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$63,618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$93,914</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18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38,574</w:t>
            </w:r>
          </w:p>
        </w:tc>
        <w:tc>
          <w:tcPr>
            <w:tcW w:w="1660" w:type="dxa"/>
            <w:vAlign w:val="bottom"/>
            <w:gridSpan w:val="4"/>
          </w:tcPr>
          <w:p>
            <w:pPr>
              <w:jc w:val="right"/>
              <w:ind w:right="217"/>
              <w:spacing w:after="0" w:line="202" w:lineRule="exact"/>
              <w:rPr>
                <w:sz w:val="20"/>
                <w:szCs w:val="20"/>
                <w:color w:val="auto"/>
              </w:rPr>
            </w:pPr>
            <w:r>
              <w:rPr>
                <w:rFonts w:ascii="Arial" w:cs="Arial" w:eastAsia="Arial" w:hAnsi="Arial"/>
                <w:sz w:val="18"/>
                <w:szCs w:val="18"/>
                <w:color w:val="auto"/>
              </w:rPr>
              <w:t>47,615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72,996</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Profit after tax (net income)</w:t>
            </w:r>
          </w:p>
        </w:tc>
        <w:tc>
          <w:tcPr>
            <w:tcW w:w="118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8,484</w:t>
            </w:r>
          </w:p>
        </w:tc>
        <w:tc>
          <w:tcPr>
            <w:tcW w:w="1660" w:type="dxa"/>
            <w:vAlign w:val="bottom"/>
            <w:gridSpan w:val="4"/>
            <w:shd w:val="clear" w:color="auto" w:fill="CCEEFF"/>
          </w:tcPr>
          <w:p>
            <w:pPr>
              <w:jc w:val="right"/>
              <w:ind w:right="217"/>
              <w:spacing w:after="0" w:line="202" w:lineRule="exact"/>
              <w:rPr>
                <w:sz w:val="20"/>
                <w:szCs w:val="20"/>
                <w:color w:val="auto"/>
              </w:rPr>
            </w:pPr>
            <w:r>
              <w:rPr>
                <w:rFonts w:ascii="Arial" w:cs="Arial" w:eastAsia="Arial" w:hAnsi="Arial"/>
                <w:sz w:val="18"/>
                <w:szCs w:val="18"/>
                <w:color w:val="auto"/>
              </w:rPr>
              <w:t>10,203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14,503</w:t>
            </w:r>
          </w:p>
        </w:tc>
        <w:tc>
          <w:tcPr>
            <w:tcW w:w="100" w:type="dxa"/>
            <w:vAlign w:val="bottom"/>
            <w:shd w:val="clear" w:color="auto" w:fill="CCEEFF"/>
          </w:tcPr>
          <w:p>
            <w:pPr>
              <w:spacing w:after="0"/>
              <w:rPr>
                <w:sz w:val="17"/>
                <w:szCs w:val="17"/>
                <w:color w:val="auto"/>
              </w:rPr>
            </w:pPr>
          </w:p>
        </w:tc>
      </w:tr>
    </w:tbl>
    <w:p>
      <w:pPr>
        <w:spacing w:after="0" w:line="10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At September 30, 2008, the recorded balance of our investment in A&amp;B, accounted for on the equity method, was $38.4 million. Because A&amp;B publicly reports its financial results only semi-annually as of June 30 and December 31, the latest A&amp;B figures available are as of June 30, 2008, at which point our equity in net assets of A&amp;B was $24.3 million. The difference between the recorded balance and our equity in A&amp;B’s net assets represents the $10.0 million of unamortized goodwill, plus the cumulative difference resulting from A&amp;B’s earnings, dividend payments and translation gain since the dates of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Property and Equipment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right"/>
              <w:spacing w:after="0" w:line="155" w:lineRule="exact"/>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5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49,545</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equipment</w:t>
            </w:r>
          </w:p>
        </w:tc>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44,833</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22,569</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118,520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134,518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0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(84,714)</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33,806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40" w:type="dxa"/>
            <w:vAlign w:val="bottom"/>
            <w:vMerge w:val="restart"/>
          </w:tcPr>
          <w:p>
            <w:pPr>
              <w:jc w:val="right"/>
              <w:ind w:right="319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40" w:type="dxa"/>
            <w:vAlign w:val="bottom"/>
            <w:tcBorders>
              <w:bottom w:val="single" w:sz="8" w:color="808080"/>
            </w:tcBorders>
          </w:tcPr>
          <w:p>
            <w:pPr>
              <w:spacing w:after="0"/>
              <w:rPr>
                <w:sz w:val="18"/>
                <w:szCs w:val="18"/>
                <w:color w:val="auto"/>
              </w:rPr>
            </w:pPr>
          </w:p>
        </w:tc>
        <w:tc>
          <w:tcPr>
            <w:tcW w:w="50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Goodwill and Other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 at the specified dates: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42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color w:val="auto"/>
              </w:rPr>
              <w:t>2007</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440"/>
              <w:spacing w:after="0"/>
              <w:rPr>
                <w:sz w:val="20"/>
                <w:szCs w:val="20"/>
                <w:color w:val="auto"/>
              </w:rPr>
            </w:pPr>
            <w:r>
              <w:rPr>
                <w:rFonts w:ascii="Arial" w:cs="Arial" w:eastAsia="Arial" w:hAnsi="Arial"/>
                <w:sz w:val="12"/>
                <w:szCs w:val="12"/>
                <w:i w:val="1"/>
                <w:iCs w:val="1"/>
                <w:color w:val="auto"/>
                <w:w w:val="71"/>
              </w:rPr>
              <w:t>(In</w:t>
            </w:r>
          </w:p>
        </w:tc>
        <w:tc>
          <w:tcPr>
            <w:tcW w:w="680" w:type="dxa"/>
            <w:vAlign w:val="bottom"/>
            <w:gridSpan w:val="2"/>
          </w:tcPr>
          <w:p>
            <w:pPr>
              <w:ind w:left="80"/>
              <w:spacing w:after="0" w:line="155" w:lineRule="exact"/>
              <w:rPr>
                <w:sz w:val="20"/>
                <w:szCs w:val="20"/>
                <w:color w:val="auto"/>
              </w:rPr>
            </w:pPr>
            <w:r>
              <w:rPr>
                <w:rFonts w:ascii="Arial" w:cs="Arial" w:eastAsia="Arial" w:hAnsi="Arial"/>
                <w:sz w:val="14"/>
                <w:szCs w:val="14"/>
                <w:i w:val="1"/>
                <w:iCs w:val="1"/>
                <w:color w:val="auto"/>
                <w:w w:val="83"/>
              </w:rPr>
              <w:t>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Pawn licenses</w:t>
            </w:r>
          </w:p>
        </w:tc>
        <w:tc>
          <w:tcPr>
            <w:tcW w:w="4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1,549</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w w:val="98"/>
              </w:rPr>
              <w:t>16,211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24,376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w w:val="98"/>
              </w:rPr>
              <w:t>17,760</w:t>
            </w: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25,925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Of the total amount of goodwill recorded, $16.2 million relates to our EZPAWN U.S. Operations segment and $8.2 million relates to our Empeño Fácil Mexico pawn segment.</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 at the specified dates: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color w:val="auto"/>
              </w:rPr>
              <w:t>September 30, 2007</w:t>
            </w:r>
          </w:p>
        </w:tc>
        <w:tc>
          <w:tcPr>
            <w:tcW w:w="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color w:val="auto"/>
              </w:rPr>
              <w:t>September 30, 2008</w:t>
            </w:r>
          </w:p>
        </w:tc>
      </w:tr>
      <w:tr>
        <w:trPr>
          <w:trHeight w:val="160"/>
        </w:trPr>
        <w:tc>
          <w:tcPr>
            <w:tcW w:w="6280" w:type="dxa"/>
            <w:vAlign w:val="bottom"/>
          </w:tcPr>
          <w:p>
            <w:pPr>
              <w:spacing w:after="0"/>
              <w:rPr>
                <w:sz w:val="13"/>
                <w:szCs w:val="13"/>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color w:val="auto"/>
              </w:rPr>
              <w:t>Carrying</w:t>
            </w:r>
          </w:p>
        </w:tc>
        <w:tc>
          <w:tcPr>
            <w:tcW w:w="150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320" w:type="dxa"/>
            <w:vAlign w:val="bottom"/>
            <w:gridSpan w:val="4"/>
          </w:tcPr>
          <w:p>
            <w:pPr>
              <w:jc w:val="right"/>
              <w:ind w:right="720"/>
              <w:spacing w:after="0"/>
              <w:rPr>
                <w:sz w:val="20"/>
                <w:szCs w:val="20"/>
                <w:color w:val="auto"/>
              </w:rPr>
            </w:pPr>
            <w:r>
              <w:rPr>
                <w:rFonts w:ascii="Arial" w:cs="Arial" w:eastAsia="Arial" w:hAnsi="Arial"/>
                <w:sz w:val="14"/>
                <w:szCs w:val="14"/>
                <w:color w:val="auto"/>
              </w:rPr>
              <w:t>Carrying</w:t>
            </w:r>
          </w:p>
        </w:tc>
        <w:tc>
          <w:tcPr>
            <w:tcW w:w="940" w:type="dxa"/>
            <w:vAlign w:val="bottom"/>
            <w:gridSpan w:val="3"/>
          </w:tcPr>
          <w:p>
            <w:pPr>
              <w:spacing w:after="0"/>
              <w:rPr>
                <w:sz w:val="20"/>
                <w:szCs w:val="20"/>
                <w:color w:val="auto"/>
              </w:rPr>
            </w:pPr>
            <w:r>
              <w:rPr>
                <w:rFonts w:ascii="Arial" w:cs="Arial" w:eastAsia="Arial" w:hAnsi="Arial"/>
                <w:sz w:val="14"/>
                <w:szCs w:val="14"/>
                <w:color w:val="auto"/>
              </w:rPr>
              <w:t>Accumulated</w:t>
            </w:r>
          </w:p>
        </w:tc>
      </w:tr>
      <w:tr>
        <w:trPr>
          <w:trHeight w:val="157"/>
        </w:trPr>
        <w:tc>
          <w:tcPr>
            <w:tcW w:w="6280" w:type="dxa"/>
            <w:vAlign w:val="bottom"/>
          </w:tcPr>
          <w:p>
            <w:pPr>
              <w:spacing w:after="0"/>
              <w:rPr>
                <w:sz w:val="13"/>
                <w:szCs w:val="13"/>
                <w:color w:val="auto"/>
              </w:rPr>
            </w:pPr>
          </w:p>
        </w:tc>
        <w:tc>
          <w:tcPr>
            <w:tcW w:w="1340" w:type="dxa"/>
            <w:vAlign w:val="bottom"/>
            <w:gridSpan w:val="3"/>
          </w:tcPr>
          <w:p>
            <w:pPr>
              <w:ind w:left="100"/>
              <w:spacing w:after="0" w:line="157" w:lineRule="exact"/>
              <w:rPr>
                <w:sz w:val="20"/>
                <w:szCs w:val="20"/>
                <w:color w:val="auto"/>
              </w:rPr>
            </w:pPr>
            <w:r>
              <w:rPr>
                <w:rFonts w:ascii="Arial" w:cs="Arial" w:eastAsia="Arial" w:hAnsi="Arial"/>
                <w:sz w:val="14"/>
                <w:szCs w:val="14"/>
                <w:color w:val="auto"/>
              </w:rPr>
              <w:t>Amount</w:t>
            </w: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Amortization</w:t>
            </w:r>
          </w:p>
        </w:tc>
        <w:tc>
          <w:tcPr>
            <w:tcW w:w="1320" w:type="dxa"/>
            <w:vAlign w:val="bottom"/>
            <w:gridSpan w:val="4"/>
          </w:tcPr>
          <w:p>
            <w:pPr>
              <w:jc w:val="right"/>
              <w:ind w:right="740"/>
              <w:spacing w:after="0" w:line="157" w:lineRule="exact"/>
              <w:rPr>
                <w:sz w:val="20"/>
                <w:szCs w:val="20"/>
                <w:color w:val="auto"/>
              </w:rPr>
            </w:pPr>
            <w:r>
              <w:rPr>
                <w:rFonts w:ascii="Arial" w:cs="Arial" w:eastAsia="Arial" w:hAnsi="Arial"/>
                <w:sz w:val="14"/>
                <w:szCs w:val="14"/>
                <w:color w:val="auto"/>
              </w:rPr>
              <w:t>Amount</w:t>
            </w:r>
          </w:p>
        </w:tc>
        <w:tc>
          <w:tcPr>
            <w:tcW w:w="9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Amortization</w:t>
            </w:r>
          </w:p>
        </w:tc>
      </w:tr>
      <w:tr>
        <w:trPr>
          <w:trHeight w:val="156"/>
        </w:trPr>
        <w:tc>
          <w:tcPr>
            <w:tcW w:w="6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ind w:left="260"/>
              <w:spacing w:after="0" w:line="155" w:lineRule="exact"/>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License application fees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9"/>
              </w:rPr>
              <w:t>(288)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(318)</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Real estate finders’ fees</w:t>
            </w:r>
          </w:p>
        </w:tc>
        <w:tc>
          <w:tcPr>
            <w:tcW w:w="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w w:val="99"/>
              </w:rPr>
              <w:t>(327)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556</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(345)</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9"/>
              </w:rPr>
              <w:t>(324)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2,899</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(829)</w:t>
            </w:r>
          </w:p>
        </w:tc>
      </w:tr>
      <w:tr>
        <w:trPr>
          <w:trHeight w:val="20"/>
        </w:trPr>
        <w:tc>
          <w:tcPr>
            <w:tcW w:w="6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1,799</w:t>
            </w:r>
          </w:p>
        </w:tc>
        <w:tc>
          <w:tcPr>
            <w:tcW w:w="6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3,800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(1,492)</w:t>
            </w:r>
          </w:p>
        </w:tc>
      </w:tr>
      <w:tr>
        <w:trPr>
          <w:trHeight w:val="20"/>
        </w:trPr>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Total amortization expense from definite-lived intangible assets was approximately $67,000, $115,000 and $560,000 for fiscal 2006, 2007 and 2008. The following table presents our estimate of amortization expense for definite-lived intangible assets for each of the five succeeding fiscal years as of September 30, 2008 </w:t>
      </w: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4"/>
                <w:szCs w:val="14"/>
                <w:color w:val="auto"/>
              </w:rPr>
              <w:t>Amortization</w:t>
            </w:r>
          </w:p>
        </w:tc>
      </w:tr>
      <w:tr>
        <w:trPr>
          <w:trHeight w:val="157"/>
        </w:trPr>
        <w:tc>
          <w:tcPr>
            <w:tcW w:w="13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Fiscal Year</w:t>
            </w:r>
          </w:p>
        </w:tc>
        <w:tc>
          <w:tcPr>
            <w:tcW w:w="8880" w:type="dxa"/>
            <w:vAlign w:val="bottom"/>
          </w:tcPr>
          <w:p>
            <w:pPr>
              <w:spacing w:after="0"/>
              <w:rPr>
                <w:sz w:val="13"/>
                <w:szCs w:val="13"/>
                <w:color w:val="auto"/>
              </w:rPr>
            </w:pPr>
          </w:p>
        </w:tc>
        <w:tc>
          <w:tcPr>
            <w:tcW w:w="1180" w:type="dxa"/>
            <w:vAlign w:val="bottom"/>
            <w:tcBorders>
              <w:bottom w:val="single" w:sz="8" w:color="auto"/>
            </w:tcBorders>
            <w:gridSpan w:val="2"/>
          </w:tcPr>
          <w:p>
            <w:pPr>
              <w:ind w:left="320"/>
              <w:spacing w:after="0" w:line="157" w:lineRule="exact"/>
              <w:rPr>
                <w:sz w:val="20"/>
                <w:szCs w:val="20"/>
                <w:color w:val="auto"/>
              </w:rPr>
            </w:pPr>
            <w:r>
              <w:rPr>
                <w:rFonts w:ascii="Arial" w:cs="Arial" w:eastAsia="Arial" w:hAnsi="Arial"/>
                <w:sz w:val="14"/>
                <w:szCs w:val="14"/>
                <w:color w:val="auto"/>
              </w:rPr>
              <w:t>Expense</w:t>
            </w:r>
          </w:p>
        </w:tc>
      </w:tr>
      <w:tr>
        <w:trPr>
          <w:trHeight w:val="196"/>
        </w:trPr>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2009</w:t>
            </w:r>
          </w:p>
        </w:tc>
        <w:tc>
          <w:tcPr>
            <w:tcW w:w="9320" w:type="dxa"/>
            <w:vAlign w:val="bottom"/>
            <w:gridSpan w:val="2"/>
            <w:shd w:val="clear" w:color="auto" w:fill="CCEEFF"/>
          </w:tcPr>
          <w:p>
            <w:pPr>
              <w:ind w:left="920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99"/>
              </w:rPr>
              <w:t>559</w:t>
            </w:r>
          </w:p>
        </w:tc>
      </w:tr>
      <w:tr>
        <w:trPr>
          <w:trHeight w:val="203"/>
        </w:trPr>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2010</w:t>
            </w:r>
          </w:p>
        </w:tc>
        <w:tc>
          <w:tcPr>
            <w:tcW w:w="9320" w:type="dxa"/>
            <w:vAlign w:val="bottom"/>
            <w:gridSpan w:val="2"/>
          </w:tcPr>
          <w:p>
            <w:pPr>
              <w:ind w:left="92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9"/>
              </w:rPr>
              <w:t>545</w:t>
            </w:r>
          </w:p>
        </w:tc>
      </w:tr>
      <w:tr>
        <w:trPr>
          <w:trHeight w:val="203"/>
        </w:trPr>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2011</w:t>
            </w:r>
          </w:p>
        </w:tc>
        <w:tc>
          <w:tcPr>
            <w:tcW w:w="9320" w:type="dxa"/>
            <w:vAlign w:val="bottom"/>
            <w:gridSpan w:val="2"/>
            <w:shd w:val="clear" w:color="auto" w:fill="CCEEFF"/>
          </w:tcPr>
          <w:p>
            <w:pPr>
              <w:ind w:left="92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9"/>
              </w:rPr>
              <w:t>538</w:t>
            </w:r>
          </w:p>
        </w:tc>
      </w:tr>
      <w:tr>
        <w:trPr>
          <w:trHeight w:val="203"/>
        </w:trPr>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2012</w:t>
            </w:r>
          </w:p>
        </w:tc>
        <w:tc>
          <w:tcPr>
            <w:tcW w:w="9320" w:type="dxa"/>
            <w:vAlign w:val="bottom"/>
            <w:gridSpan w:val="2"/>
          </w:tcPr>
          <w:p>
            <w:pPr>
              <w:ind w:left="92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9"/>
              </w:rPr>
              <w:t>506</w:t>
            </w:r>
          </w:p>
        </w:tc>
      </w:tr>
      <w:tr>
        <w:trPr>
          <w:trHeight w:val="203"/>
        </w:trPr>
        <w:tc>
          <w:tcPr>
            <w:tcW w:w="13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2013</w:t>
            </w:r>
          </w:p>
        </w:tc>
        <w:tc>
          <w:tcPr>
            <w:tcW w:w="9320" w:type="dxa"/>
            <w:vAlign w:val="bottom"/>
            <w:gridSpan w:val="2"/>
            <w:shd w:val="clear" w:color="auto" w:fill="CCEEFF"/>
          </w:tcPr>
          <w:p>
            <w:pPr>
              <w:ind w:left="920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33</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Accounts Payable and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other accrued expenses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420"/>
              <w:spacing w:after="0"/>
              <w:rPr>
                <w:sz w:val="20"/>
                <w:szCs w:val="20"/>
                <w:color w:val="auto"/>
              </w:rPr>
            </w:pPr>
            <w:r>
              <w:rPr>
                <w:rFonts w:ascii="Arial" w:cs="Arial" w:eastAsia="Arial" w:hAnsi="Arial"/>
                <w:sz w:val="14"/>
                <w:szCs w:val="14"/>
                <w:color w:val="auto"/>
              </w:rPr>
              <w:t>September 30,</w:t>
            </w:r>
          </w:p>
        </w:tc>
      </w:tr>
      <w:tr>
        <w:trPr>
          <w:trHeight w:val="156"/>
        </w:trPr>
        <w:tc>
          <w:tcPr>
            <w:tcW w:w="9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color w:val="auto"/>
              </w:rPr>
              <w:t>2007</w:t>
            </w:r>
          </w:p>
        </w:tc>
        <w:tc>
          <w:tcPr>
            <w:tcW w:w="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r>
      <w:tr>
        <w:trPr>
          <w:trHeight w:val="156"/>
        </w:trPr>
        <w:tc>
          <w:tcPr>
            <w:tcW w:w="9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(In</w:t>
            </w:r>
          </w:p>
        </w:tc>
        <w:tc>
          <w:tcPr>
            <w:tcW w:w="680" w:type="dxa"/>
            <w:vAlign w:val="bottom"/>
            <w:gridSpan w:val="2"/>
          </w:tcPr>
          <w:p>
            <w:pPr>
              <w:ind w:left="80"/>
              <w:spacing w:after="0" w:line="155" w:lineRule="exact"/>
              <w:rPr>
                <w:sz w:val="20"/>
                <w:szCs w:val="20"/>
                <w:color w:val="auto"/>
              </w:rPr>
            </w:pPr>
            <w:r>
              <w:rPr>
                <w:rFonts w:ascii="Arial" w:cs="Arial" w:eastAsia="Arial" w:hAnsi="Arial"/>
                <w:sz w:val="14"/>
                <w:szCs w:val="14"/>
                <w:i w:val="1"/>
                <w:iCs w:val="1"/>
                <w:color w:val="auto"/>
                <w:w w:val="83"/>
              </w:rPr>
              <w:t>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6,163</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5,680</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Accrued payroll and related expenses</w:t>
            </w:r>
          </w:p>
        </w:tc>
        <w:tc>
          <w:tcPr>
            <w:tcW w:w="1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9,075</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9,652</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Accrued rent and property taxes</w:t>
            </w:r>
          </w:p>
        </w:tc>
        <w:tc>
          <w:tcPr>
            <w:tcW w:w="1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5,277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6,433</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 for expected losses on CSO letters of credit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1,189</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2,259</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Collected funds payable to unaffiliated lenders under CSO program</w:t>
            </w:r>
          </w:p>
        </w:tc>
        <w:tc>
          <w:tcPr>
            <w:tcW w:w="12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1,154</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935</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25,592</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29,425</w:t>
            </w: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Long-Term Debt</w:t>
      </w:r>
    </w:p>
    <w:p>
      <w:pPr>
        <w:spacing w:after="0" w:line="1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While we had no debt at September 30, 2007 or 2008, we have a $40 million revolving credit facility secured by our assets, which matures October 1, 2009. For any borrowed funds, we may choose a Eurodollar rate plus 100 to 200 basis points (depending on the leverage ratio) or the agent bank’s base rate. On the unused amount of the revolving facility, we pay a commitment fee of 25 to 30 basis points depending on the leverage ratio calculated at the end of each quarter. Under the terms of the agreement, we could borrow the full $ 40 million at September 30, 2008. Terms of the agreement require, among other things, that we meet certain financial covenants. We were in compliance with all covenants at September 30, 2008. Payment of dividends and additional debt are allowed but restricted. We are exposed to credit risk related to our credit agreement to the extent that our lenders, Wells Fargo Bank and Guaranty Bank, may be unable to provide necessary funding to us under our credit agreement if either or both of the lenders experience liquidity problems. If either lender is unable to provide funding in accordance with the lender’s commitment, our available credit would be reduced by the amount of that lender’s commitment, but we would still have access to the other lender’s credit commitment.</w:t>
      </w:r>
    </w:p>
    <w:p>
      <w:pPr>
        <w:spacing w:after="0" w:line="98"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We have executed a Fifth Amended and Restated Credit Agreement with the two banks in our current Fourth Amended and Restated Credit Agreement and three additional banks. The agreement and the related loan documents were placed in escrow pending the closing of the merger agreement with VFS. Effectiveness of the new credit agreement is contingent upon the closing of the merger agreement with VFS by December 31, 2008. If the merger is closed on or before December 31, 2008, the new credit agreement will provide for, among other things,</w:t>
      </w:r>
    </w:p>
    <w:p>
      <w:pPr>
        <w:spacing w:after="0" w:line="3" w:lineRule="exact"/>
        <w:rPr>
          <w:sz w:val="20"/>
          <w:szCs w:val="20"/>
          <w:color w:val="auto"/>
        </w:rPr>
      </w:pPr>
    </w:p>
    <w:p>
      <w:pPr>
        <w:ind w:right="60" w:firstLine="8"/>
        <w:spacing w:after="0" w:line="236" w:lineRule="auto"/>
        <w:tabs>
          <w:tab w:leader="none" w:pos="2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$80 million revolving credit facility that EZCORP may request to be increased to a total of $110 million and (ii) a $40 million term loan. If the agreement becomes effective, it will extend the maturity date of the revolving credit facility to three years from the closing of the merger agreement with VFS. The maturity date of the term loan will be four years from the closing of the merger agreement with VFS. We are exposed to credit risk related to this credit agreement to the extent that our lenders, Wells Fargo Bank, Union Bank of California, U.S. Bank, Guaranty Bank and Allied Irish Bank may be unable to provide necessary funding to us under the credit agreement if any or all of the lenders experience liquidity problems, however we believe the risk is limited due to the larger number of banks participating in that credit agreement than our existing one and the other lenders’ remaining commitments if one or more lenders are unable to honor their commitments. The lenders participating in the Fifth Amended and Restated Credit Agreement are Wells Fargo Bank, Union Bank of California, U.S. Bank, Guaranty Bank, and Allied Irish Bank. Liquidity problems at any of these banks could limit or eliminate such bank’s ability to lend to us and, in turn, would reduce our available credit by the lender’s commitment. The remaining lenders’ commitments would remain available to 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Common Stock, Warrants, Options, and Share-based Compensation</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All Class A Common Stock is publicly held. Holders of Class B Common Stock may, individually or as a class, convert some or all of their shares into Class A Common Stock.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September 26, 2008, we amended our certificate of incorporation to eliminate our entire series of preferred stock and all reference thereto, none of which was issued or outstanding, and increased our authorized shares of Class A Common Stock from 50 million shares to 54 million shares to accommodate the shares to be registered in the planned acquisitions of VFS and eleven pawn stores in Nevada. On November 13, 2008, subsequent to the end of fiscal 2008, we issued 1,116,505 shares of our Class A Common Stock as part of the acquisition consideration for the eleven Nevada pawn stores, and have filed a registration statement on Form S-3 to register those shares with the SEC. We expect to complete the pending VFS acquisition by December 31, 2008, resulting in the issuance of between 3,987,822 and 4,984,778 shares of our Class A Common Stock, depending on the number of VFS shareholders electing to receive cash in lieu of our Class A Common Stock as merger consideration, as described in Note S, “</w:t>
      </w:r>
      <w:r>
        <w:rPr>
          <w:rFonts w:ascii="Arial" w:cs="Arial" w:eastAsia="Arial" w:hAnsi="Arial"/>
          <w:sz w:val="18"/>
          <w:szCs w:val="18"/>
          <w:i w:val="1"/>
          <w:iCs w:val="1"/>
          <w:color w:val="auto"/>
        </w:rPr>
        <w:t>Subsequent Events</w:t>
      </w:r>
      <w:r>
        <w:rPr>
          <w:rFonts w:ascii="Arial" w:cs="Arial" w:eastAsia="Arial" w:hAnsi="Arial"/>
          <w:sz w:val="18"/>
          <w:szCs w:val="18"/>
          <w:color w:val="auto"/>
        </w:rPr>
        <w:t>.” We have filed a registration statement on Form S-4, as amended, to register the shares to be issued in the VFS acquisition.</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October 2008, employee stock options for 1,350,000 shares, granted in 1998, vested and were exercised by our Chief Financial Officer and the Chairman of our Board of Directors, increasing the number of Class A Common Stock outstanding subsequent to the end of fiscal 2008. Also in October 2008, restrictions lapsed on 324,000 shares granted in 2006 to our Chief Executive Officer and the Chairman of our Board of Directors as restricted stock awards, resulting in an increase in the number of Class A Common Stock outstanding subsequent to the end of fiscal 2008.</w:t>
      </w:r>
    </w:p>
    <w:p>
      <w:pPr>
        <w:spacing w:after="0" w:line="9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account for our share-based employee compensation plans under the fair value recognition and measurement provisions of SFAS No. 123(R), “Share-based Payment.” Compensation cost recognized includes compensation cost for all unvested share-based payments, based on the grant date fair value estimated under the provisions of SFAS No. 123(R). We amortize the fair value of grants to compensation expense on a ratable basis over the vesting period for both cliff vesting and graded vesting grants. We estimate the grant-date fair value of options using the Black-Scholes-Merton option-pricing model (“Black-Scholes”) and amortize it to expense over the options’ vesting periods.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costs related to our share-based compensation arrangements: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rPr>
              <w:t>Years Ended September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3"/>
                <w:szCs w:val="13"/>
                <w:color w:val="auto"/>
              </w:rPr>
            </w:pPr>
          </w:p>
        </w:tc>
        <w:tc>
          <w:tcPr>
            <w:tcW w:w="600" w:type="dxa"/>
            <w:vAlign w:val="bottom"/>
            <w:vMerge w:val="restart"/>
          </w:tcPr>
          <w:p>
            <w:pPr>
              <w:ind w:left="460"/>
              <w:spacing w:after="0"/>
              <w:rPr>
                <w:sz w:val="20"/>
                <w:szCs w:val="20"/>
                <w:color w:val="auto"/>
              </w:rPr>
            </w:pPr>
            <w:r>
              <w:rPr>
                <w:rFonts w:ascii="Arial" w:cs="Arial" w:eastAsia="Arial" w:hAnsi="Arial"/>
                <w:sz w:val="14"/>
                <w:szCs w:val="14"/>
                <w:i w:val="1"/>
                <w:iCs w:val="1"/>
                <w:color w:val="auto"/>
                <w:w w:val="73"/>
              </w:rPr>
              <w:t>(In</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80" w:type="dxa"/>
            <w:vAlign w:val="bottom"/>
            <w:gridSpan w:val="2"/>
          </w:tcPr>
          <w:p>
            <w:pPr>
              <w:ind w:left="80"/>
              <w:spacing w:after="0" w:line="155" w:lineRule="exact"/>
              <w:rPr>
                <w:sz w:val="20"/>
                <w:szCs w:val="20"/>
                <w:color w:val="auto"/>
              </w:rPr>
            </w:pPr>
            <w:r>
              <w:rPr>
                <w:rFonts w:ascii="Arial" w:cs="Arial" w:eastAsia="Arial" w:hAnsi="Arial"/>
                <w:sz w:val="14"/>
                <w:szCs w:val="14"/>
                <w:i w:val="1"/>
                <w:iCs w:val="1"/>
                <w:color w:val="auto"/>
                <w:w w:val="83"/>
              </w:rPr>
              <w:t>thousands)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compensation costs</w:t>
            </w: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Stock options</w:t>
            </w:r>
          </w:p>
        </w:tc>
        <w:tc>
          <w:tcPr>
            <w:tcW w:w="2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1,321</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1,164</w:t>
            </w:r>
          </w:p>
        </w:tc>
        <w:tc>
          <w:tcPr>
            <w:tcW w:w="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w:t>
            </w: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2,463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gross compensation costs</w:t>
            </w: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3,627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benefits</w:t>
            </w: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Stock options</w:t>
            </w:r>
          </w:p>
        </w:tc>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(277)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w:t>
            </w:r>
          </w:p>
        </w:tc>
        <w:tc>
          <w:tcPr>
            <w:tcW w:w="2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(836)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income tax benefits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compensation expense</w:t>
            </w:r>
          </w:p>
        </w:tc>
        <w:tc>
          <w:tcPr>
            <w:tcW w:w="2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1,217</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2,514</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options and restricted stock relate to our Class A Non-voting Common Stock.</w:t>
      </w:r>
    </w:p>
    <w:p>
      <w:pPr>
        <w:spacing w:after="0" w:line="10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Our independent directors have been granted non-qualified stock options and restricted stock awards that vest in one to two years from grant and expire in ten years. Non-qualified, incentive stock options and restricted stock awards have been granted to our officers and employees under our 1998, 2003 and 2006 Incentive Plans. Most options have a contractual life of ten years and provide for graded vesting over five years, but some provide for cliff vesting. Certain options granted to officers also provide for accelerated vesting upon a change in control or upon the achievement of certain performance targets. Outstanding options have been granted with strike prices ranging from $0.67 per share to $15.05 per share. These were granted at or above the market price at the time of grant, and had no intrinsic value on the grant date.</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On September 21, 2006, our Board of Directors approved the adoption of the EZCORP, Inc. 2006 Incentive Plan (the “2006 Plan”). The 2006 Plan permits grants of up to 2,250,000 options, restricted stock awards (“RSAs”) and stock appreciation rights (“SARs”) of our Class A Common Stock. In approving this plan, the Board of Directors resolved that no further options, RSAs or SARs would be granted under any previous plan. Awards that expire or are canceled without delivery of shares under the 2006 Incentive Plan generally become available for issuance in new grants. We generally issue new shares to satisfy stock option exercises, but used 20,000 treasury shares to satisfy one option exercise in fiscal 2008. At September 30, 2008, 413,584 shares were available for grant under the 2006 Plan.</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Effective October 2, 2006, the Compensation Committee of the Board of Directors approved an award of 675,000 shares of restricted stock to the Chairman of the Board, and 945,000 shares of restricted stock to our Chief Executive Officer. The cumulative market value of the two grants on the award date was $21 million, and 20% of the shares will vest every two years for a ten-year period if certain company performance requirements are achieved. If the bi-annual performance requirements are not met, the unvested shares will be added to subsequent vesting dates. In the event that the performance requirements for vesting are not achieved for any applicable vesting date by the end of our fiscal year ending September 30, 2016, all unvested shares will be forfeited and cancelled. During fiscal 2008, $ 2.2 million of this cost was amortized to expense, partially offset by a related tax benefit of $0.8 million. During fiscal 2007, $2.0 million of this cost was amortized to expense, partially offset by a related tax benefit of $0.7 million. No expense was recognized for this award in fiscal 2006. As described in Note S,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the first 20% of these shares vested in October 2008 according to the terms of the grant and the achievement of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9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Effective October 2, 2006, the Compensation Committee of the Board of Directors approved an award of 137,250 shares of restricted stock to key individuals. The shares will vest October 2, 2010, and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market value of the restricted stock on the award date was $ 1.8 million. During fiscal 2008, $0.4 million of this cost was amortized to expense, partially offset by a related tax benefit of $0.1 million. During fiscal 2007, $0.3 million of this cost was amortized to expense, partially offset by a related tax benefit of $0.1 million. No expense was recognized for this award in fiscal 2006.</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January 15, 2004, the Compensation Committee of the Board of Directors approved an award of 180,000 shares of restricted stock to our Chief Executive Officer. The shares will vest on January 1, 2009, provided he remains continuously employed through the vesting date. The shares were subject to earlier vesting based on the occurrence of certain objectives. The market value of the restricted stock on the award date was $0.6 million, which was being amortized over a three-year period based on our initial expectation that earlier vesting objectives would be met. One-third of the shares vested January 15, 2005 based on the attainment of the goals for accelerated vesting. Effective October 1, 2005, we determined we no longer believed the requirements would be met for accelerated vesting of the remaining unvested shares. Accordingly, the remaining unamortized compensation expense of $0.1 million is being amortized ratably over the vesting period ending January 1, 2009. During fiscal 2006, 2007 and 2008 $75,000, $75,000 and $75,000, was amortized to expense for this grant.</w:t>
      </w:r>
    </w:p>
    <w:p>
      <w:pPr>
        <w:spacing w:after="0" w:line="1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measure the fair value of RSAs based upon the market price of the underlying common stock as of the grant date. A summary of the RSA activity for the most recently reported period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color w:val="auto"/>
                <w:w w:val="99"/>
              </w:rPr>
              <w:t>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4"/>
          </w:tcPr>
          <w:p>
            <w:pPr>
              <w:jc w:val="center"/>
              <w:ind w:left="116"/>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580"/>
              <w:spacing w:after="0" w:line="157" w:lineRule="exact"/>
              <w:rPr>
                <w:sz w:val="20"/>
                <w:szCs w:val="20"/>
                <w:color w:val="auto"/>
              </w:rPr>
            </w:pPr>
            <w:r>
              <w:rPr>
                <w:rFonts w:ascii="Arial" w:cs="Arial" w:eastAsia="Arial" w:hAnsi="Arial"/>
                <w:sz w:val="14"/>
                <w:szCs w:val="14"/>
                <w:color w:val="auto"/>
              </w:rPr>
              <w:t>Shares</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1,895,250</w:t>
            </w:r>
          </w:p>
        </w:tc>
        <w:tc>
          <w:tcPr>
            <w:tcW w:w="4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32,000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Released</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(17,500)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end of year</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1,909,750</w:t>
            </w:r>
          </w:p>
        </w:tc>
        <w:tc>
          <w:tcPr>
            <w:tcW w:w="4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At September 30, 2008, there was $18.3 million of unrecognized compensation cost related to RSAs. We expect to recognize this cost over a weighted average period of 7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option activity for the most recently reported period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Weighted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color w:val="auto"/>
              </w:rPr>
              <w:t>Weighted</w:t>
            </w:r>
          </w:p>
        </w:tc>
        <w:tc>
          <w:tcPr>
            <w:tcW w:w="1460" w:type="dxa"/>
            <w:vAlign w:val="bottom"/>
          </w:tcPr>
          <w:p>
            <w:pPr>
              <w:jc w:val="center"/>
              <w:spacing w:after="0"/>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color w:val="auto"/>
              </w:rPr>
              <w:t>Average</w:t>
            </w:r>
          </w:p>
        </w:tc>
        <w:tc>
          <w:tcPr>
            <w:tcW w:w="1460" w:type="dxa"/>
            <w:vAlign w:val="bottom"/>
          </w:tcPr>
          <w:p>
            <w:pPr>
              <w:jc w:val="center"/>
              <w:spacing w:after="0"/>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4"/>
                <w:szCs w:val="14"/>
                <w:color w:val="auto"/>
              </w:rPr>
            </w:pPr>
          </w:p>
        </w:tc>
        <w:tc>
          <w:tcPr>
            <w:tcW w:w="900" w:type="dxa"/>
            <w:vAlign w:val="bottom"/>
          </w:tcPr>
          <w:p>
            <w:pPr>
              <w:jc w:val="right"/>
              <w:ind w:right="134"/>
              <w:spacing w:after="0"/>
              <w:rPr>
                <w:sz w:val="20"/>
                <w:szCs w:val="20"/>
                <w:color w:val="auto"/>
              </w:rPr>
            </w:pPr>
            <w:r>
              <w:rPr>
                <w:rFonts w:ascii="Arial" w:cs="Arial" w:eastAsia="Arial" w:hAnsi="Arial"/>
                <w:sz w:val="14"/>
                <w:szCs w:val="14"/>
                <w:color w:val="auto"/>
              </w:rPr>
              <w:t>Aggregate</w:t>
            </w:r>
          </w:p>
        </w:tc>
      </w:tr>
      <w:tr>
        <w:trPr>
          <w:trHeight w:val="148"/>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320"/>
              <w:spacing w:after="0" w:line="148" w:lineRule="exact"/>
              <w:rPr>
                <w:sz w:val="20"/>
                <w:szCs w:val="20"/>
                <w:color w:val="auto"/>
              </w:rPr>
            </w:pPr>
            <w:r>
              <w:rPr>
                <w:rFonts w:ascii="Arial" w:cs="Arial" w:eastAsia="Arial" w:hAnsi="Arial"/>
                <w:sz w:val="14"/>
                <w:szCs w:val="14"/>
                <w:color w:val="auto"/>
              </w:rPr>
              <w:t>Exercise</w:t>
            </w:r>
          </w:p>
        </w:tc>
        <w:tc>
          <w:tcPr>
            <w:tcW w:w="1460" w:type="dxa"/>
            <w:vAlign w:val="bottom"/>
          </w:tcPr>
          <w:p>
            <w:pPr>
              <w:jc w:val="center"/>
              <w:spacing w:after="0" w:line="148" w:lineRule="exact"/>
              <w:rPr>
                <w:sz w:val="20"/>
                <w:szCs w:val="20"/>
                <w:color w:val="auto"/>
              </w:rPr>
            </w:pPr>
            <w:r>
              <w:rPr>
                <w:rFonts w:ascii="Arial" w:cs="Arial" w:eastAsia="Arial" w:hAnsi="Arial"/>
                <w:sz w:val="14"/>
                <w:szCs w:val="14"/>
                <w:color w:val="auto"/>
              </w:rPr>
              <w:t>Contractual</w:t>
            </w:r>
          </w:p>
        </w:tc>
        <w:tc>
          <w:tcPr>
            <w:tcW w:w="1320" w:type="dxa"/>
            <w:vAlign w:val="bottom"/>
            <w:gridSpan w:val="2"/>
          </w:tcPr>
          <w:p>
            <w:pPr>
              <w:ind w:left="320"/>
              <w:spacing w:after="0" w:line="148" w:lineRule="exact"/>
              <w:rPr>
                <w:sz w:val="20"/>
                <w:szCs w:val="20"/>
                <w:color w:val="auto"/>
              </w:rPr>
            </w:pPr>
            <w:r>
              <w:rPr>
                <w:rFonts w:ascii="Arial" w:cs="Arial" w:eastAsia="Arial" w:hAnsi="Arial"/>
                <w:sz w:val="14"/>
                <w:szCs w:val="14"/>
                <w:color w:val="auto"/>
              </w:rPr>
              <w:t>Intrinsic Value</w:t>
            </w: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color w:val="auto"/>
              </w:rPr>
              <w:t>Shares</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rPr>
              <w:t>Price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xml:space="preserve">Term </w:t>
            </w:r>
            <w:r>
              <w:rPr>
                <w:rFonts w:ascii="Arial" w:cs="Arial" w:eastAsia="Arial" w:hAnsi="Arial"/>
                <w:sz w:val="14"/>
                <w:szCs w:val="14"/>
                <w:i w:val="1"/>
                <w:iCs w:val="1"/>
                <w:color w:val="auto"/>
              </w:rPr>
              <w:t>(years)</w:t>
            </w:r>
          </w:p>
        </w:tc>
        <w:tc>
          <w:tcPr>
            <w:tcW w:w="13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i w:val="1"/>
                <w:iCs w:val="1"/>
                <w:color w:val="auto"/>
              </w:rPr>
              <w:t>(thousands)</w:t>
            </w: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September 30, 2007</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2,551,666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3.18</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(8,400)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2.58</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200"/>
              <w:spacing w:after="0" w:line="202" w:lineRule="exact"/>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(235,900)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1.90</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
        </w:trPr>
        <w:tc>
          <w:tcPr>
            <w:tcW w:w="608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Outstanding at September 30, 2008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2,307,366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3.31</w:t>
            </w:r>
          </w:p>
        </w:tc>
        <w:tc>
          <w:tcPr>
            <w:tcW w:w="1460" w:type="dxa"/>
            <w:vAlign w:val="bottom"/>
          </w:tcPr>
          <w:p>
            <w:pPr>
              <w:jc w:val="right"/>
              <w:ind w:right="241"/>
              <w:spacing w:after="0"/>
              <w:rPr>
                <w:sz w:val="20"/>
                <w:szCs w:val="20"/>
                <w:color w:val="auto"/>
              </w:rPr>
            </w:pPr>
            <w:r>
              <w:rPr>
                <w:rFonts w:ascii="Arial" w:cs="Arial" w:eastAsia="Arial" w:hAnsi="Arial"/>
                <w:sz w:val="18"/>
                <w:szCs w:val="18"/>
                <w:color w:val="auto"/>
              </w:rPr>
              <w:t>2.2</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35,746</w:t>
            </w: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 and expected to vest</w:t>
            </w:r>
          </w:p>
        </w:tc>
        <w:tc>
          <w:tcPr>
            <w:tcW w:w="12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2,297,401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3.31</w:t>
            </w:r>
          </w:p>
        </w:tc>
        <w:tc>
          <w:tcPr>
            <w:tcW w:w="1460" w:type="dxa"/>
            <w:vAlign w:val="bottom"/>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35,592</w:t>
            </w:r>
          </w:p>
        </w:tc>
      </w:tr>
      <w:tr>
        <w:trPr>
          <w:trHeight w:val="217"/>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Vested at September 30, 2008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333,966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3.36</w:t>
            </w:r>
          </w:p>
        </w:tc>
        <w:tc>
          <w:tcPr>
            <w:tcW w:w="1460" w:type="dxa"/>
            <w:vAlign w:val="bottom"/>
          </w:tcPr>
          <w:p>
            <w:pPr>
              <w:jc w:val="right"/>
              <w:ind w:right="241"/>
              <w:spacing w:after="0"/>
              <w:rPr>
                <w:sz w:val="20"/>
                <w:szCs w:val="20"/>
                <w:color w:val="auto"/>
              </w:rPr>
            </w:pPr>
            <w:r>
              <w:rPr>
                <w:rFonts w:ascii="Arial" w:cs="Arial" w:eastAsia="Arial" w:hAnsi="Arial"/>
                <w:sz w:val="18"/>
                <w:szCs w:val="18"/>
                <w:color w:val="auto"/>
              </w:rPr>
              <w:t>4.9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5,157</w:t>
            </w:r>
          </w:p>
        </w:tc>
      </w:tr>
    </w:tbl>
    <w:p>
      <w:pPr>
        <w:spacing w:after="0" w:line="93"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The Black-Scholes-Merton option valuation model was developed for use in estimating the fair value of traded options, which have no vesting restrictions and are fully transferable. In addition, this option valuation model requires the input of highly subjective assumptions including the expected stock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volatility. In applying Black-Scholes, we used the following weighted average assumptions for fiscal 2006 and 2007. No options were granted in fiscal 2008.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Year Ended September 30,</w:t>
            </w:r>
          </w:p>
        </w:tc>
      </w:tr>
      <w:tr>
        <w:trPr>
          <w:trHeight w:val="156"/>
        </w:trPr>
        <w:tc>
          <w:tcPr>
            <w:tcW w:w="8580" w:type="dxa"/>
            <w:vAlign w:val="bottom"/>
          </w:tcPr>
          <w:p>
            <w:pPr>
              <w:spacing w:after="0"/>
              <w:rPr>
                <w:sz w:val="13"/>
                <w:szCs w:val="13"/>
                <w:color w:val="auto"/>
              </w:rPr>
            </w:pPr>
          </w:p>
        </w:tc>
        <w:tc>
          <w:tcPr>
            <w:tcW w:w="11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color w:val="auto"/>
              </w:rPr>
              <w:t>2006</w:t>
            </w:r>
          </w:p>
        </w:tc>
        <w:tc>
          <w:tcPr>
            <w:tcW w:w="560" w:type="dxa"/>
            <w:vAlign w:val="bottom"/>
          </w:tcPr>
          <w:p>
            <w:pPr>
              <w:spacing w:after="0"/>
              <w:rPr>
                <w:sz w:val="13"/>
                <w:szCs w:val="13"/>
                <w:color w:val="auto"/>
              </w:rPr>
            </w:pPr>
          </w:p>
        </w:tc>
        <w:tc>
          <w:tcPr>
            <w:tcW w:w="11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2007</w:t>
            </w: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rPr>
              <w:t>4.71%</w:t>
            </w:r>
          </w:p>
        </w:tc>
        <w:tc>
          <w:tcPr>
            <w:tcW w:w="1700" w:type="dxa"/>
            <w:vAlign w:val="bottom"/>
            <w:gridSpan w:val="2"/>
            <w:shd w:val="clear" w:color="auto" w:fill="CCEEFF"/>
          </w:tcPr>
          <w:p>
            <w:pPr>
              <w:jc w:val="right"/>
              <w:ind w:right="108"/>
              <w:spacing w:after="0" w:line="196" w:lineRule="exact"/>
              <w:rPr>
                <w:sz w:val="20"/>
                <w:szCs w:val="20"/>
                <w:color w:val="auto"/>
              </w:rPr>
            </w:pPr>
            <w:r>
              <w:rPr>
                <w:rFonts w:ascii="Arial" w:cs="Arial" w:eastAsia="Arial" w:hAnsi="Arial"/>
                <w:sz w:val="18"/>
                <w:szCs w:val="18"/>
                <w:color w:val="auto"/>
              </w:rPr>
              <w:t>4.97%</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0%</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 factor of the expected market price of our common stock</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61.96%</w:t>
            </w:r>
          </w:p>
        </w:tc>
        <w:tc>
          <w:tcPr>
            <w:tcW w:w="170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53.82%</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Expected life of the options (years)</w:t>
            </w:r>
          </w:p>
        </w:tc>
        <w:tc>
          <w:tcPr>
            <w:tcW w:w="1140" w:type="dxa"/>
            <w:vAlign w:val="bottom"/>
          </w:tcPr>
          <w:p>
            <w:pPr>
              <w:jc w:val="right"/>
              <w:ind w:right="255"/>
              <w:spacing w:after="0" w:line="202" w:lineRule="exact"/>
              <w:rPr>
                <w:sz w:val="20"/>
                <w:szCs w:val="20"/>
                <w:color w:val="auto"/>
              </w:rPr>
            </w:pPr>
            <w:r>
              <w:rPr>
                <w:rFonts w:ascii="Arial" w:cs="Arial" w:eastAsia="Arial" w:hAnsi="Arial"/>
                <w:sz w:val="18"/>
                <w:szCs w:val="18"/>
                <w:color w:val="auto"/>
              </w:rPr>
              <w:t>2</w:t>
            </w:r>
          </w:p>
        </w:tc>
        <w:tc>
          <w:tcPr>
            <w:tcW w:w="170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2</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 of options granted</w:t>
            </w:r>
          </w:p>
        </w:tc>
        <w:tc>
          <w:tcPr>
            <w:tcW w:w="1140" w:type="dxa"/>
            <w:vAlign w:val="bottom"/>
            <w:shd w:val="clear" w:color="auto" w:fill="CCEEFF"/>
          </w:tcPr>
          <w:p>
            <w:pPr>
              <w:jc w:val="right"/>
              <w:ind w:right="255"/>
              <w:spacing w:after="0" w:line="202" w:lineRule="exact"/>
              <w:rPr>
                <w:sz w:val="20"/>
                <w:szCs w:val="20"/>
                <w:color w:val="auto"/>
              </w:rPr>
            </w:pPr>
            <w:r>
              <w:rPr>
                <w:rFonts w:ascii="Arial" w:cs="Arial" w:eastAsia="Arial" w:hAnsi="Arial"/>
                <w:sz w:val="18"/>
                <w:szCs w:val="18"/>
                <w:color w:val="auto"/>
              </w:rPr>
              <w:t>$ 4.66</w:t>
            </w:r>
          </w:p>
        </w:tc>
        <w:tc>
          <w:tcPr>
            <w:tcW w:w="17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$ 4.98</w:t>
            </w:r>
          </w:p>
        </w:tc>
      </w:tr>
    </w:tbl>
    <w:p>
      <w:pPr>
        <w:spacing w:after="0" w:line="10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considered the contractual life of the options and the past behavior of employees in estimating the expected life of options granted. The estimated expected life cannot exceed the contractual term, and cannot be less than the vesting term. The volatility factor was estimated using our stock’s actual volatility over the most recently completed time period equal to the estimated life of each option grant. Although no adjustment was made in the periods presented above, we consider excluding from our volatility factor discrete events which have had a significant effect on our stock’s historical volatility but have a remote chance of recurring.</w:t>
      </w:r>
    </w:p>
    <w:p>
      <w:pPr>
        <w:spacing w:after="0" w:line="95"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As of September 30, 2008, the unamortized fair value of share-based awards to be amortized over their remaining vesting periods was approximately $18.4 million. The weighted average period over which these costs will be amortized is 7.5 years.</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Stock option and warrant exercises resulted in the issuance of 1,842,669 shares of Class A Common Stock in fiscal 2006 for total proceeds of $4.4 million. Stock option and warrant exercises resulted in the issuance of 819,087 shares of Class A Common Stock in fiscal 2007 for total proceeds of $ 1.5 million. Stock option and warrant exercises resulted in the issuance of 236,413 shares of Class A Common Stock in fiscal 2008 for total proceeds of $0.5 million. The total intrinsic value of stock options exercised was $14.2 million in fiscal 2006, $11.3 million in fiscal 2007 and $3.1 million in fiscal 2008.</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At September 30, 2008, warrants to purchase 50,139 shares of Class A Common Stock and 12,222 shares of Class B Common Stock at $2.06 per share were outstanding. The warrants are not mandatorily redeemable, and are exercisable at the option of the holder through July 25,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is attributable only to continuing operations, and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Years Ended September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380" w:type="dxa"/>
            <w:vAlign w:val="bottom"/>
            <w:gridSpan w:val="2"/>
          </w:tcPr>
          <w:p>
            <w:pPr>
              <w:jc w:val="right"/>
              <w:ind w:right="110"/>
              <w:spacing w:after="0" w:line="155"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3"/>
                <w:szCs w:val="13"/>
                <w:color w:val="auto"/>
              </w:rPr>
            </w:pPr>
          </w:p>
        </w:tc>
        <w:tc>
          <w:tcPr>
            <w:tcW w:w="1280" w:type="dxa"/>
            <w:vAlign w:val="bottom"/>
            <w:gridSpan w:val="2"/>
          </w:tcPr>
          <w:p>
            <w:pPr>
              <w:jc w:val="right"/>
              <w:ind w:right="94"/>
              <w:spacing w:after="0" w:line="155"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460"/>
              <w:spacing w:after="0" w:line="155" w:lineRule="exact"/>
              <w:rPr>
                <w:sz w:val="20"/>
                <w:szCs w:val="20"/>
                <w:color w:val="auto"/>
              </w:rPr>
            </w:pPr>
            <w:r>
              <w:rPr>
                <w:rFonts w:ascii="Arial" w:cs="Arial" w:eastAsia="Arial" w:hAnsi="Arial"/>
                <w:sz w:val="14"/>
                <w:szCs w:val="14"/>
                <w:i w:val="1"/>
                <w:iCs w:val="1"/>
                <w:color w:val="auto"/>
                <w:w w:val="73"/>
              </w:rPr>
              <w:t>(In</w:t>
            </w:r>
          </w:p>
        </w:tc>
        <w:tc>
          <w:tcPr>
            <w:tcW w:w="68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i w:val="1"/>
                <w:iCs w:val="1"/>
                <w:color w:val="auto"/>
                <w:w w:val="83"/>
              </w:rPr>
              <w:t>thousands)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54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$ 13,040</w:t>
            </w:r>
          </w:p>
        </w:tc>
        <w:tc>
          <w:tcPr>
            <w:tcW w:w="19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$ 24,002</w:t>
            </w:r>
          </w:p>
        </w:tc>
        <w:tc>
          <w:tcPr>
            <w:tcW w:w="8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$ 30,777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w:t>
            </w:r>
          </w:p>
        </w:tc>
        <w:tc>
          <w:tcPr>
            <w:tcW w:w="46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(519)</w:t>
            </w:r>
          </w:p>
        </w:tc>
        <w:tc>
          <w:tcPr>
            <w:tcW w:w="19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881</w:t>
            </w:r>
          </w:p>
        </w:tc>
        <w:tc>
          <w:tcPr>
            <w:tcW w:w="8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24,883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31,882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4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54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3,647</w:t>
            </w:r>
          </w:p>
        </w:tc>
        <w:tc>
          <w:tcPr>
            <w:tcW w:w="19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(2,830)</w:t>
            </w:r>
          </w:p>
        </w:tc>
        <w:tc>
          <w:tcPr>
            <w:tcW w:w="8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State</w:t>
            </w:r>
          </w:p>
        </w:tc>
        <w:tc>
          <w:tcPr>
            <w:tcW w:w="46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(2,830)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$ 16,245</w:t>
            </w:r>
          </w:p>
        </w:tc>
        <w:tc>
          <w:tcPr>
            <w:tcW w:w="19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$ 22,053</w:t>
            </w:r>
          </w:p>
        </w:tc>
        <w:tc>
          <w:tcPr>
            <w:tcW w:w="8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80" w:type="dxa"/>
            <w:vAlign w:val="bottom"/>
            <w:vMerge w:val="restart"/>
          </w:tcPr>
          <w:p>
            <w:pPr>
              <w:jc w:val="right"/>
              <w:ind w:right="1994"/>
              <w:spacing w:after="0"/>
              <w:rPr>
                <w:sz w:val="20"/>
                <w:szCs w:val="20"/>
                <w:color w:val="auto"/>
              </w:rPr>
            </w:pPr>
            <w:r>
              <w:rPr>
                <w:rFonts w:ascii="Arial" w:cs="Arial" w:eastAsia="Arial" w:hAnsi="Arial"/>
                <w:sz w:val="18"/>
                <w:szCs w:val="18"/>
                <w:color w:val="auto"/>
              </w:rPr>
              <w:t>72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tcBorders>
              <w:bottom w:val="single" w:sz="8" w:color="808080"/>
            </w:tcBorders>
          </w:tcPr>
          <w:p>
            <w:pPr>
              <w:spacing w:after="0"/>
              <w:rPr>
                <w:sz w:val="18"/>
                <w:szCs w:val="18"/>
                <w:color w:val="auto"/>
              </w:rPr>
            </w:pPr>
          </w:p>
        </w:tc>
        <w:tc>
          <w:tcPr>
            <w:tcW w:w="46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 reconciliation of income taxes calculated at the statutory rate and the provision for income taxes attributable to continuing operations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Years Ended September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900" w:type="dxa"/>
            <w:vAlign w:val="bottom"/>
          </w:tcPr>
          <w:p>
            <w:pPr>
              <w:spacing w:after="0"/>
              <w:rPr>
                <w:sz w:val="13"/>
                <w:szCs w:val="13"/>
                <w:color w:val="auto"/>
              </w:rPr>
            </w:pPr>
          </w:p>
        </w:tc>
        <w:tc>
          <w:tcPr>
            <w:tcW w:w="700" w:type="dxa"/>
            <w:vAlign w:val="bottom"/>
          </w:tcPr>
          <w:p>
            <w:pPr>
              <w:jc w:val="right"/>
              <w:ind w:right="112"/>
              <w:spacing w:after="0" w:line="155" w:lineRule="exact"/>
              <w:rPr>
                <w:sz w:val="20"/>
                <w:szCs w:val="20"/>
                <w:color w:val="auto"/>
              </w:rPr>
            </w:pPr>
            <w:r>
              <w:rPr>
                <w:rFonts w:ascii="Arial" w:cs="Arial" w:eastAsia="Arial" w:hAnsi="Arial"/>
                <w:sz w:val="14"/>
                <w:szCs w:val="14"/>
                <w:color w:val="auto"/>
              </w:rPr>
              <w:t>2006</w:t>
            </w:r>
          </w:p>
        </w:tc>
        <w:tc>
          <w:tcPr>
            <w:tcW w:w="80" w:type="dxa"/>
            <w:vAlign w:val="bottom"/>
          </w:tcPr>
          <w:p>
            <w:pPr>
              <w:spacing w:after="0"/>
              <w:rPr>
                <w:sz w:val="13"/>
                <w:szCs w:val="13"/>
                <w:color w:val="auto"/>
              </w:rPr>
            </w:pPr>
          </w:p>
        </w:tc>
        <w:tc>
          <w:tcPr>
            <w:tcW w:w="1280" w:type="dxa"/>
            <w:vAlign w:val="bottom"/>
            <w:gridSpan w:val="2"/>
          </w:tcPr>
          <w:p>
            <w:pPr>
              <w:jc w:val="right"/>
              <w:ind w:right="93"/>
              <w:spacing w:after="0" w:line="155" w:lineRule="exact"/>
              <w:rPr>
                <w:sz w:val="20"/>
                <w:szCs w:val="20"/>
                <w:color w:val="auto"/>
              </w:rPr>
            </w:pPr>
            <w:r>
              <w:rPr>
                <w:rFonts w:ascii="Arial" w:cs="Arial" w:eastAsia="Arial" w:hAnsi="Arial"/>
                <w:sz w:val="14"/>
                <w:szCs w:val="14"/>
                <w:color w:val="auto"/>
              </w:rPr>
              <w:t>2007</w:t>
            </w:r>
          </w:p>
        </w:tc>
        <w:tc>
          <w:tcPr>
            <w:tcW w:w="620" w:type="dxa"/>
            <w:vAlign w:val="bottom"/>
          </w:tcPr>
          <w:p>
            <w:pPr>
              <w:spacing w:after="0"/>
              <w:rPr>
                <w:sz w:val="13"/>
                <w:szCs w:val="13"/>
                <w:color w:val="auto"/>
              </w:rPr>
            </w:pPr>
          </w:p>
        </w:tc>
        <w:tc>
          <w:tcPr>
            <w:tcW w:w="740" w:type="dxa"/>
            <w:vAlign w:val="bottom"/>
            <w:gridSpan w:val="2"/>
          </w:tcPr>
          <w:p>
            <w:pPr>
              <w:jc w:val="right"/>
              <w:ind w:right="90"/>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r>
      <w:tr>
        <w:trPr>
          <w:trHeight w:val="156"/>
        </w:trPr>
        <w:tc>
          <w:tcPr>
            <w:tcW w:w="79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460"/>
              <w:spacing w:after="0" w:line="155" w:lineRule="exact"/>
              <w:rPr>
                <w:sz w:val="20"/>
                <w:szCs w:val="20"/>
                <w:color w:val="auto"/>
              </w:rPr>
            </w:pPr>
            <w:r>
              <w:rPr>
                <w:rFonts w:ascii="Arial" w:cs="Arial" w:eastAsia="Arial" w:hAnsi="Arial"/>
                <w:sz w:val="14"/>
                <w:szCs w:val="14"/>
                <w:i w:val="1"/>
                <w:iCs w:val="1"/>
                <w:color w:val="auto"/>
                <w:w w:val="73"/>
              </w:rPr>
              <w:t>(In</w:t>
            </w:r>
          </w:p>
        </w:tc>
        <w:tc>
          <w:tcPr>
            <w:tcW w:w="68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i w:val="1"/>
                <w:iCs w:val="1"/>
                <w:color w:val="auto"/>
                <w:w w:val="83"/>
              </w:rPr>
              <w:t>thousands)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at the federal statutory rate</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$ 15,926</w:t>
            </w:r>
          </w:p>
        </w:tc>
        <w:tc>
          <w:tcPr>
            <w:tcW w:w="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$ 20,975</w:t>
            </w:r>
          </w:p>
        </w:tc>
        <w:tc>
          <w:tcPr>
            <w:tcW w:w="8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$ 27,707</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Non-deductible expense related to incentive stock options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80" w:type="dxa"/>
            <w:vAlign w:val="bottom"/>
          </w:tcPr>
          <w:p>
            <w:pPr>
              <w:spacing w:after="0"/>
              <w:rPr>
                <w:sz w:val="17"/>
                <w:szCs w:val="17"/>
                <w:color w:val="auto"/>
              </w:rPr>
            </w:pPr>
          </w:p>
        </w:tc>
        <w:tc>
          <w:tcPr>
            <w:tcW w:w="19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42</w:t>
            </w:r>
          </w:p>
        </w:tc>
        <w:tc>
          <w:tcPr>
            <w:tcW w:w="8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 net of federal benefit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881</w:t>
            </w:r>
          </w:p>
        </w:tc>
        <w:tc>
          <w:tcPr>
            <w:tcW w:w="8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1,105</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Removal of state tax exposure, net of federal benefit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w:t>
            </w:r>
          </w:p>
        </w:tc>
        <w:tc>
          <w:tcPr>
            <w:tcW w:w="60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Foreign tax credit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(3,409)</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155</w:t>
            </w:r>
          </w:p>
        </w:tc>
        <w:tc>
          <w:tcPr>
            <w:tcW w:w="8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w:t>
            </w:r>
          </w:p>
        </w:tc>
      </w:tr>
      <w:tr>
        <w:trPr>
          <w:trHeight w:val="20"/>
        </w:trPr>
        <w:tc>
          <w:tcPr>
            <w:tcW w:w="7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$ 16,245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$ 22,053</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$ 25,642</w:t>
            </w:r>
          </w:p>
        </w:tc>
      </w:tr>
      <w:tr>
        <w:trPr>
          <w:trHeight w:val="20"/>
        </w:trPr>
        <w:tc>
          <w:tcPr>
            <w:tcW w:w="7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fiscal 2008 effective tax rate decreased to 32.8% from 36.8% in fiscal 2007. In the current year, we recognized the benefit of a previously under-utilized foreign tax credit related to our investment in Albemarle and Bond Holdings Plc (reported above as “Foreign tax credit”) by electing to use the gross method rather than the net method in claiming this credit on our U.S. federal taxes. This resulted in a $3.4 million reduction in income tax expense compared to what would have been recognized under the net method. Of the $3.4 million total, $1.0 million relates to a reduction of taxes related to A&amp;B’s current year earnings and $2.4 million results from our ability to claim the larger credit by making the same election on amended prior year tax returns and by applying the same approach to A&amp;B’s undistributed earnings from prior years. In the current year, we also generated a capital gain resulting in the reversal of $0.2 million from the valuation allowance previously placed on a capital loss carry-forward. In the fourth quarter, we also recorded a $0.4 million additional tax charge related to an uncertain tax position in accordance with Financial Interpretation No. 48, included above in “Income taxes at the federal statutory rate.” The net effect of the above items caused the decrease in the effective tax rate from fiscal 2007 to fiscal 2008. In the first three quarters of fiscal 2008, we also estimated we would not qualify as a retail company under the Texas Margins Tax based on the composition of our revenues, which would have doubled the applicable Texas tax rate compared to fiscal 2007, and accrued our taxes through the first three quarters of the year at the expected higher rate. In the fourth quarter, we determined we will qualify as a retail company in Texas and lowered the applicable state tax rate in our accrued taxes. This resulted in no change in tax rates between years but only in the estimated tax rates between quarters in fiscal 2008. Taking into account all the above factors and our expectations for the next year, we estimate our effective tax rate in the year ending September 30, 2009 will be approximately 35.2%.</w:t>
      </w:r>
    </w:p>
    <w:p>
      <w:pPr>
        <w:spacing w:after="0" w:line="1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Prior to fiscal 2007, most of our earnings were subject to the Texas franchise tax. Due to its limited partnership structure in Texas, 99% of those earnings were exempt from the Texas franchise tax. Beginning in fiscal 2007, the Texas franchise tax was replaced with a margin tax that functions similarly to an income tax, but with no preferable treatment for limited partnerships. The Texas margin tax first applied to us in fiscal 2007, causing the increase in state income tax in the table above.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liabilities and assets as of September 30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i w:val="1"/>
                <w:iCs w:val="1"/>
                <w:color w:val="auto"/>
                <w:w w:val="83"/>
              </w:rPr>
              <w:t>thousands)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i w:val="1"/>
                <w:iCs w:val="1"/>
                <w:color w:val="auto"/>
              </w:rPr>
              <w:t>(In</w:t>
            </w:r>
          </w:p>
        </w:tc>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Tax over book amortization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3,521</w:t>
            </w:r>
          </w:p>
        </w:tc>
        <w:tc>
          <w:tcPr>
            <w:tcW w:w="34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income and dividends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2,432</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6,635</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405"/>
        </w:trPr>
        <w:tc>
          <w:tcPr>
            <w:tcW w:w="92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Book over tax depreciation</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9,291</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Tax over book inventory</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5,540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2,519</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Pawn service charges receivable</w:t>
            </w:r>
          </w:p>
        </w:tc>
        <w:tc>
          <w:tcPr>
            <w:tcW w:w="12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1,726</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1,288</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Tax carry-forwards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20,756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24,507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14,121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13,729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 capital loss carry-forward that will expire in fiscal 2009 unless an offsetting capital gain is generated before its expiration. Until 2006, we believed we would generate sufficient capital gains to utilize the capital loss carry-forward. In fiscal 2006, we determined we were unlikely to generate the necessary capital gain prior to the expiration of the capital loss carry-forward, and placed a full valuation allowance of $392,000 on the tax benefit. In fiscal 2008, we generated a taxable capital gain on the sale of a property that will allow us to utilize $159,000 of the capital loss carry-forward, and reduced the valuation allowance by this amount. We believe utilization of the remaining capital loss carry-forward is not likely, and have retained the remainder of the valuation allowance against this carry-forward. The valuation allowance will be adjusted further or removed in future periods if we believe it is more likely than not we will generate other capital gains to offset the capital loss prior to its expiration.</w:t>
      </w:r>
    </w:p>
    <w:p>
      <w:pPr>
        <w:spacing w:after="0" w:line="10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Substantially all of our operating income was generated from domestic operations during 2007 and 2008, and we have elected to have our Mexican operations treated as a domestic subsidiary for U.S. income tax purposes. At September 30, 2007 and 2008, we provided deferred income taxes on all undistributed earnings from A&amp;B. Such earnings have been reinvested in foreign operations except for dividends at September 30, 2007 and 2008 of approximately $1,274,000 and $1,760,000. Any taxes paid to foreign governments on those earnings may be used in whole or in part as credits against the U.S. tax on any dividends distributed from such earnings.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have no net operating loss carry-forward or alternative minimum tax credit carry-forward at September 30, 2008.</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Effective October 1, 2007, we adopted Financial Interpretation No. 48, “Accounting for Uncertainty in Income Taxes” (“FIN 48”). To be recognized in the financial statements, FIN 48 requires that a tax position is more-likely-than-not to be sustained upon examination, based on the technical merits of the position. In making the determination of sustainability, we must presume the appropriate taxing authority with full knowledge of all relevant information will examine tax positions. FIN 48 also prescribes how the benefit should be measured, including the consideration of any penalties and interest. It requires that the new standard be applied to the balances of tax assets and liabilities as of the beginning of the period of adoption and that a corresponding adjustment be made to the opening balance of equity. As a result of the adoption of FIN 48, we recognized a $106,000 liability, including $8,600 of penalties and interest, for unrecognized state income tax benefits net of federal taxes, and recorded this as a cumulative adjustment to our beginning retained earnings at October 1, 2007. In fiscal 2008, we recorded an additional $380,000 FIN 48 liability for potential penalty and interest on the timing of claiming a federal tax deduction that may not be sustained upon examination. We anticipate filing a change in tax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method that will absolve us of the risk of penalties and interest related to this deduction, but accrued the potential liability at September 30, 2008 as the change in method had not been filed by that date.</w:t>
      </w:r>
    </w:p>
    <w:p>
      <w:pPr>
        <w:spacing w:after="0" w:line="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will record future changes in FIN 48 tax liabilities and related interest and penalties as federal income tax expense on our statement of operations and in federal income taxes payable on our balance sheet.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Below is a reconciliation of the beginning and ending unrecognized tax benefits for the current year-to-date period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September 30, 2007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10640" w:type="dxa"/>
            <w:vAlign w:val="bottom"/>
          </w:tcPr>
          <w:p>
            <w:pPr>
              <w:ind w:left="220"/>
              <w:spacing w:after="0" w:line="202" w:lineRule="exact"/>
              <w:rPr>
                <w:sz w:val="20"/>
                <w:szCs w:val="20"/>
                <w:color w:val="auto"/>
              </w:rPr>
            </w:pPr>
            <w:r>
              <w:rPr>
                <w:rFonts w:ascii="Arial" w:cs="Arial" w:eastAsia="Arial" w:hAnsi="Arial"/>
                <w:sz w:val="18"/>
                <w:szCs w:val="18"/>
                <w:color w:val="auto"/>
              </w:rPr>
              <w:t>Addition upon initial adoption of FIN 48 October 1, 2007</w:t>
            </w:r>
          </w:p>
        </w:tc>
        <w:tc>
          <w:tcPr>
            <w:tcW w:w="2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7"/>
                <w:szCs w:val="17"/>
                <w:color w:val="auto"/>
              </w:rPr>
            </w:pPr>
          </w:p>
        </w:tc>
      </w:tr>
      <w:tr>
        <w:trPr>
          <w:trHeight w:val="203"/>
        </w:trPr>
        <w:tc>
          <w:tcPr>
            <w:tcW w:w="10640" w:type="dxa"/>
            <w:vAlign w:val="bottom"/>
          </w:tcPr>
          <w:p>
            <w:pPr>
              <w:ind w:left="220"/>
              <w:spacing w:after="0" w:line="202" w:lineRule="exact"/>
              <w:rPr>
                <w:sz w:val="20"/>
                <w:szCs w:val="20"/>
                <w:color w:val="auto"/>
              </w:rPr>
            </w:pPr>
            <w:r>
              <w:rPr>
                <w:rFonts w:ascii="Arial" w:cs="Arial" w:eastAsia="Arial" w:hAnsi="Arial"/>
                <w:sz w:val="18"/>
                <w:szCs w:val="18"/>
                <w:color w:val="auto"/>
              </w:rPr>
              <w:t>Reductions based on settlements with taxing authorities</w:t>
            </w:r>
          </w:p>
        </w:tc>
        <w:tc>
          <w:tcPr>
            <w:tcW w:w="24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0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Reductions due to lapse in statute of limitations</w:t>
            </w:r>
          </w:p>
        </w:tc>
        <w:tc>
          <w:tcPr>
            <w:tcW w:w="2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0"/>
        </w:trPr>
        <w:tc>
          <w:tcPr>
            <w:tcW w:w="10640" w:type="dxa"/>
            <w:vAlign w:val="bottom"/>
          </w:tcPr>
          <w:p>
            <w:pPr>
              <w:spacing w:after="0"/>
              <w:rPr>
                <w:sz w:val="20"/>
                <w:szCs w:val="20"/>
                <w:color w:val="auto"/>
              </w:rPr>
            </w:pPr>
            <w:r>
              <w:rPr>
                <w:rFonts w:ascii="Arial" w:cs="Arial" w:eastAsia="Arial" w:hAnsi="Arial"/>
                <w:sz w:val="18"/>
                <w:szCs w:val="18"/>
                <w:color w:val="auto"/>
              </w:rPr>
              <w:t>Unrecognized tax benefits at September 30, 2008</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subject to U.S. and Mexican income taxes as well as to income taxes levied by various other state and local jurisdictions. With few exceptions, we are no longer subject to examinations by tax authorities for years before the tax year ended September 30, 2004. The statutes of limitations related to our recorded liability expire between June 15, 2009 and June 15,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Related Party Transactions</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fiscal 2006 and 2007, we had a financial advisory services agreement with Madison Park, L.L.C. (“Madison Park”), an affiliate of the controlling stockholder. The agreement required Madison Park to provide ongoing advice and consultation with respect to mergers, acquisitions, divestitures, strategic planning, corporate development, investor relations, treasury and other advisory services. The monthly fee, inclusive of most expenses, was $100,000. In fiscal 2006 and 2007, total payments to Madison Park amounted to $1,200,000 annually.</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Madison Park agreement for fiscal 2006 and 2007 had a three-year term that expired September 30, 2007. Prior to entering the agreement with Madison Park, our Audit Committee obtained a fairness opinion from a qualified, independent financial advisory firm. The fairness opinion supported the fees for the services to be rendered based on the terms of the agreement and our strategic plan.</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Effective October 1, 2007, we entered a new financial advisory services agreement with Madison Park with a one-year term that expired September 30, 2008. Either party could terminate the agreement at any time on thirty days written notice, but neither party elected to do so. The agreement required Madison Park to provide advice on our business and long-term strategic plan including, but not limited to,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was $150,000, and total payments to Madison Park in fiscal 2008 amounted to $1,800,000.</w:t>
      </w:r>
    </w:p>
    <w:p>
      <w:pPr>
        <w:spacing w:after="0" w:line="9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Effective October 1, 2008, we entered a new financial advisory services agreement with Madison Park with a one-year term that expires September 30, 2009. The terms of the agreement are substantially the same as those in the fiscal 2008 agreement described above, except for the monthly fee of $200,000.</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Prior to approving the Madison Park agreements that became effective October 1, 2007 and 2008, the Board of Directors appointed a special committee comprised of its independent members to review our relationship with Madison Park. This included a review of the advisory services provided by Madison Park during fiscal 2008, a determination whether to continue utilizing Madison Park’s services, and a determination whether to enter into a new advisory services agreement with Madison Park. As part of the review, the independent directors retained a qualified, independent financial advisory firm to evaluate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agreement and render a fairness opinion, from a financial point of view, of the fee to be paid to Madison Park relative to the reasonable market rates for the services contemplated in the agreement. Based on the independent directors’ findings and conclusions, they elected to negotiate and approve the terms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Leases</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lease various facilities and certain equipment under operating leases. Future minimum rentals due under non-cancelable leases are as follows for each of the years ending September 30: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r>
      <w:tr>
        <w:trPr>
          <w:trHeight w:val="210"/>
        </w:trPr>
        <w:tc>
          <w:tcPr>
            <w:tcW w:w="5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40" w:type="dxa"/>
            <w:vAlign w:val="bottom"/>
            <w:shd w:val="clear" w:color="auto" w:fill="CCEEFF"/>
          </w:tcPr>
          <w:p>
            <w:pPr>
              <w:jc w:val="right"/>
              <w:ind w:right="3730"/>
              <w:spacing w:after="0" w:line="202" w:lineRule="exact"/>
              <w:rPr>
                <w:sz w:val="20"/>
                <w:szCs w:val="20"/>
                <w:color w:val="auto"/>
              </w:rPr>
            </w:pPr>
            <w:r>
              <w:rPr>
                <w:rFonts w:ascii="Arial" w:cs="Arial" w:eastAsia="Arial" w:hAnsi="Arial"/>
                <w:sz w:val="18"/>
                <w:szCs w:val="18"/>
                <w:color w:val="auto"/>
              </w:rPr>
              <w:t>2009</w:t>
            </w:r>
          </w:p>
        </w:tc>
        <w:tc>
          <w:tcPr>
            <w:tcW w:w="62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24,250</w:t>
            </w:r>
          </w:p>
        </w:tc>
      </w:tr>
      <w:tr>
        <w:trPr>
          <w:trHeight w:val="203"/>
        </w:trPr>
        <w:tc>
          <w:tcPr>
            <w:tcW w:w="5140" w:type="dxa"/>
            <w:vAlign w:val="bottom"/>
          </w:tcPr>
          <w:p>
            <w:pPr>
              <w:jc w:val="right"/>
              <w:ind w:right="3730"/>
              <w:spacing w:after="0" w:line="202" w:lineRule="exact"/>
              <w:rPr>
                <w:sz w:val="20"/>
                <w:szCs w:val="20"/>
                <w:color w:val="auto"/>
              </w:rPr>
            </w:pPr>
            <w:r>
              <w:rPr>
                <w:rFonts w:ascii="Arial" w:cs="Arial" w:eastAsia="Arial" w:hAnsi="Arial"/>
                <w:sz w:val="18"/>
                <w:szCs w:val="18"/>
                <w:color w:val="auto"/>
              </w:rPr>
              <w:t>2010</w:t>
            </w:r>
          </w:p>
        </w:tc>
        <w:tc>
          <w:tcPr>
            <w:tcW w:w="62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20,933</w:t>
            </w:r>
          </w:p>
        </w:tc>
      </w:tr>
      <w:tr>
        <w:trPr>
          <w:trHeight w:val="203"/>
        </w:trPr>
        <w:tc>
          <w:tcPr>
            <w:tcW w:w="5140" w:type="dxa"/>
            <w:vAlign w:val="bottom"/>
            <w:shd w:val="clear" w:color="auto" w:fill="CCEEFF"/>
          </w:tcPr>
          <w:p>
            <w:pPr>
              <w:jc w:val="right"/>
              <w:ind w:right="3730"/>
              <w:spacing w:after="0" w:line="202" w:lineRule="exact"/>
              <w:rPr>
                <w:sz w:val="20"/>
                <w:szCs w:val="20"/>
                <w:color w:val="auto"/>
              </w:rPr>
            </w:pPr>
            <w:r>
              <w:rPr>
                <w:rFonts w:ascii="Arial" w:cs="Arial" w:eastAsia="Arial" w:hAnsi="Arial"/>
                <w:sz w:val="18"/>
                <w:szCs w:val="18"/>
                <w:color w:val="auto"/>
              </w:rPr>
              <w:t>2011</w:t>
            </w:r>
          </w:p>
        </w:tc>
        <w:tc>
          <w:tcPr>
            <w:tcW w:w="62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17,683</w:t>
            </w:r>
          </w:p>
        </w:tc>
      </w:tr>
      <w:tr>
        <w:trPr>
          <w:trHeight w:val="203"/>
        </w:trPr>
        <w:tc>
          <w:tcPr>
            <w:tcW w:w="5140" w:type="dxa"/>
            <w:vAlign w:val="bottom"/>
          </w:tcPr>
          <w:p>
            <w:pPr>
              <w:jc w:val="right"/>
              <w:ind w:right="3730"/>
              <w:spacing w:after="0" w:line="202" w:lineRule="exact"/>
              <w:rPr>
                <w:sz w:val="20"/>
                <w:szCs w:val="20"/>
                <w:color w:val="auto"/>
              </w:rPr>
            </w:pPr>
            <w:r>
              <w:rPr>
                <w:rFonts w:ascii="Arial" w:cs="Arial" w:eastAsia="Arial" w:hAnsi="Arial"/>
                <w:sz w:val="18"/>
                <w:szCs w:val="18"/>
                <w:color w:val="auto"/>
              </w:rPr>
              <w:t>2012</w:t>
            </w:r>
          </w:p>
        </w:tc>
        <w:tc>
          <w:tcPr>
            <w:tcW w:w="62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12,952</w:t>
            </w:r>
          </w:p>
        </w:tc>
      </w:tr>
      <w:tr>
        <w:trPr>
          <w:trHeight w:val="203"/>
        </w:trPr>
        <w:tc>
          <w:tcPr>
            <w:tcW w:w="5140" w:type="dxa"/>
            <w:vAlign w:val="bottom"/>
            <w:shd w:val="clear" w:color="auto" w:fill="CCEEFF"/>
          </w:tcPr>
          <w:p>
            <w:pPr>
              <w:jc w:val="right"/>
              <w:ind w:right="3730"/>
              <w:spacing w:after="0" w:line="202" w:lineRule="exact"/>
              <w:rPr>
                <w:sz w:val="20"/>
                <w:szCs w:val="20"/>
                <w:color w:val="auto"/>
              </w:rPr>
            </w:pPr>
            <w:r>
              <w:rPr>
                <w:rFonts w:ascii="Arial" w:cs="Arial" w:eastAsia="Arial" w:hAnsi="Arial"/>
                <w:sz w:val="18"/>
                <w:szCs w:val="18"/>
                <w:color w:val="auto"/>
              </w:rPr>
              <w:t>2013</w:t>
            </w:r>
          </w:p>
        </w:tc>
        <w:tc>
          <w:tcPr>
            <w:tcW w:w="62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8,030</w:t>
            </w:r>
          </w:p>
        </w:tc>
      </w:tr>
      <w:tr>
        <w:trPr>
          <w:trHeight w:val="210"/>
        </w:trPr>
        <w:tc>
          <w:tcPr>
            <w:tcW w:w="5140" w:type="dxa"/>
            <w:vAlign w:val="bottom"/>
          </w:tcPr>
          <w:p>
            <w:pPr>
              <w:jc w:val="right"/>
              <w:ind w:right="3610"/>
              <w:spacing w:after="0" w:line="202" w:lineRule="exact"/>
              <w:rPr>
                <w:sz w:val="20"/>
                <w:szCs w:val="20"/>
                <w:color w:val="auto"/>
              </w:rPr>
            </w:pPr>
            <w:r>
              <w:rPr>
                <w:rFonts w:ascii="Arial" w:cs="Arial" w:eastAsia="Arial" w:hAnsi="Arial"/>
                <w:sz w:val="18"/>
                <w:szCs w:val="18"/>
                <w:color w:val="auto"/>
              </w:rPr>
              <w:t>Thereafter</w:t>
            </w:r>
          </w:p>
        </w:tc>
        <w:tc>
          <w:tcPr>
            <w:tcW w:w="5400" w:type="dxa"/>
            <w:vAlign w:val="bottom"/>
            <w:gridSpan w:val="2"/>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19,506</w:t>
            </w:r>
          </w:p>
        </w:tc>
        <w:tc>
          <w:tcPr>
            <w:tcW w:w="100" w:type="dxa"/>
            <w:vAlign w:val="bottom"/>
          </w:tcPr>
          <w:p>
            <w:pPr>
              <w:spacing w:after="0"/>
              <w:rPr>
                <w:sz w:val="18"/>
                <w:szCs w:val="18"/>
                <w:color w:val="auto"/>
              </w:rPr>
            </w:pPr>
          </w:p>
        </w:tc>
      </w:tr>
      <w:tr>
        <w:trPr>
          <w:trHeight w:val="203"/>
        </w:trPr>
        <w:tc>
          <w:tcPr>
            <w:tcW w:w="5140" w:type="dxa"/>
            <w:vAlign w:val="bottom"/>
            <w:shd w:val="clear" w:color="auto" w:fill="CCEEFF"/>
          </w:tcPr>
          <w:p>
            <w:pPr>
              <w:spacing w:after="0"/>
              <w:rPr>
                <w:sz w:val="17"/>
                <w:szCs w:val="17"/>
                <w:color w:val="auto"/>
              </w:rPr>
            </w:pPr>
          </w:p>
        </w:tc>
        <w:tc>
          <w:tcPr>
            <w:tcW w:w="62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103,354</w:t>
            </w:r>
          </w:p>
        </w:tc>
      </w:tr>
      <w:tr>
        <w:trPr>
          <w:trHeight w:val="20"/>
        </w:trPr>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sublease some of the above facilities. Future minimum rentals expected under these subleases amount to $25,000 in the fiscal year ending September 30, 2009 and none thereafter.</w:t>
      </w:r>
    </w:p>
    <w:p>
      <w:pPr>
        <w:spacing w:after="0" w:line="8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After an initial lease term of generally three to ten years, our lease agreements typically allow renewals in three to five-year increments. Our lease agreements generally include rent escalations throughout the initial lease term. Rent escalations are included in the above numbers. For financial reporting purposes, the aggregate rentals over the lease term, including lease renewal options that are reasonably assured, are expensed on a straight-line basis.</w:t>
      </w:r>
    </w:p>
    <w:p>
      <w:pPr>
        <w:spacing w:after="0" w:line="94"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Net rent expense for the years ending September 30, 2006, 2007 and 2008 was $17.4 million, $21.6 million and $26.7 million. Net rent expense includes the collection of sublease rent revenue of approximately $60,000, $52,000 and $52,000 for years ending September 30, 2006, 2007 and 2008.</w:t>
      </w:r>
    </w:p>
    <w:p>
      <w:pPr>
        <w:spacing w:after="0" w:line="95"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Prior to fiscal 2005, we completed several sale-leaseback transactions of previously owned facilities. Losses on sales were recognized immediately, and gains were deferred and are being amortized as a reduction of lease expense over the terms of the related leases. The remaining unamortized long-term portion of these deferred gains, amounting to $3.7 million at September 30, 2008, is included in “Deferred gains and other long-term liabilities” in our consolidated balance sheet. The short-term portion, included in “Accounts payable and other accrued expenses” was $0.4 million at September 30, 2008. Future rentals on these sale-leasebacks are included in the above schedule of future minimum rentals. Terms of these leases are consistent with the terms on our other lease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Employment Agreements</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President and Chief Executive Officer, Joseph L. Rotunda’s annual compensation includes short-term incentive compensation ranging from 50% to 150% of his base salary dependent upon the attainment of Board approved operating goals.</w:t>
      </w:r>
    </w:p>
    <w:p>
      <w:pPr>
        <w:spacing w:after="0" w:line="8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Mr. Rotunda’s written compensation agreement specifies that in the event of his termination from the company, other than for cause, a severance payment will be made to him. Upon the occurrence of any such event, this severance payment will be paid within 30 days of the event. Mr. Rotunda’s severance payment will be one year of base salary, one year of short term incentive compensation determined as of the termination date, one year of car allowance, and a prorated portion of the incentive compensation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award for the period he was actively employed during the fiscal year of termination. In addition, we will make all health care COBRA payments for the same period, grossed up for taxes.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Rotunda’s compensation agreement also provides that in the event of a change in control of the company, defined as a sale by Phillip Ean Cohen of a majority of the Class B Voting Common Stock, Mr. Rotunda will receive a bonus of 200% of his annual compensation within 30 days of such event. For purposes of this payment, annual compensation is defined as one year of base salary, one year of short term incentive compensation determined as of the termination date and one year of car allowance. In addition, all vesting requirements for any benefit or instrument shall be fully satisfied. If his employment is terminated within six months of a change in control, other than for cause, he will also receive the termination without cause payments described above.</w:t>
      </w:r>
    </w:p>
    <w:p>
      <w:pPr>
        <w:spacing w:after="0" w:line="9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fiscal 2007 restricted stock awards to the Chairman of the Board and the President and Chief Executive Officer contain provisions for accelerated vesting of some of the shares if certain conditions occur that affect their positions and/or responsibilities.</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2007 restricted stock awards to the Chairman of the Board and the President and Chief Executive Officer provide for immediate vesting of all unvested shares to the effected individual in the event of either:</w:t>
      </w:r>
    </w:p>
    <w:p>
      <w:pPr>
        <w:spacing w:after="0" w:line="89"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the individual to be re-elected to his current position or</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his termination without cause.</w:t>
      </w:r>
    </w:p>
    <w:p>
      <w:pPr>
        <w:spacing w:after="0" w:line="10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addition, each would have a partial acceleration of shares in the event of his death or disability. EZCORP is the beneficiary of “Key Man” life and disability insurance policies for the Chairman of the Board and the President and Chief Executive Officer designed to approximately offset the additional expense that would be recognized if vesting were accelerated upon death or disability.</w:t>
      </w:r>
    </w:p>
    <w:p>
      <w:pPr>
        <w:spacing w:after="0" w:line="9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Mr. Rotunda’s compensation agreement provides for the vesting of all benefits and equity plans, including the 2007 restricted stock award, upon a change in control.</w:t>
      </w:r>
    </w:p>
    <w:p>
      <w:pPr>
        <w:spacing w:after="0" w:line="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the event of any of the following events happening to the Chairman of the Board or the President and Chief Executive Officer, the effected individual would forfeit the rights to all unvested shares in these awards:</w:t>
      </w:r>
    </w:p>
    <w:p>
      <w:pPr>
        <w:spacing w:after="0" w:line="89"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for cause as defined in the EZCORP, Inc. 2006 Incentive Plan Document.</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Voluntary termination of employment without a Board approved successor.</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Violation of the Proprietary Information or Non-Competition sections of the Award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Retirement Plans</w:t>
      </w:r>
    </w:p>
    <w:p>
      <w:pPr>
        <w:spacing w:after="0" w:line="126"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sponsor a 401(k) Plan under which eligible employees may contribute up to a maximum percentage allowable not to exceed the limits of Code Sections 401(k), 402(g), 404 and 415. In our sole discretion, we may match employee contributions in the form of our Class A Common Stock. Contribution expense related to the plan for 2006, 2007 and 2008 was approximately $54,000, $27,000 and $135,000.</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federal tax code limits the amount of pre-tax savings that highly paid executives can contribute to the 401(k) plan. To offset some of the negative impact of these regulations on retirement savings, we provide selected executives with a non-qualified Supplemental Executive Retirement Plan. Funds in the Supplemental Executive Retirement Plan vest over three years from the grant date, with one-third vesting each year. All of a participant’s Supplemental Executive Retirement Plan funds from all grants vest 100% in the event of his or her death, disability or the termination of the plan due to a change in control of the company. In addition, the Supplemental Executive Retirement Plan funds are 100% vested when a participant attains his or her normal retirement age (60 years old and five years of active service) while actively employed by us. Contributions to the plan for fiscal 2006, 2007 and 2008 were approximately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$256,000, $353,000 and $407,000. These amounts are amortized to expense based on the vesting schedule. The amount of this amortized to expense in fiscal 2006, 2007 and 2008 was approximately $116,000, $276,000 and $419,000.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Contingencies</w:t>
      </w:r>
    </w:p>
    <w:p>
      <w:pPr>
        <w:spacing w:after="0" w:line="126"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May 2007, the State of Texas filed suit against EZCORP, Inc. and our Texas affiliates in state district court alleging violations of the Texas Identity Theft statute, Deceptive Trade Practices Act, and a provision of the Business and Commerce Code by allegedly failing to safeguard and properly dispose of customers’ sensitive personal information. We are not aware of any customer that was harmed by our alleged actions, and have reviewed and enhanced our information security polices to address the State’s concerns. In June 2008, we reached a $0.6 million settlement of the lawsuit with the Attorney General’s Office, and agreed to a permanent injunction regarding the safeguarding and disposal of the customer information. The settlement was recorded as a charge to Administrative Expense in the third quarter of the current year.</w:t>
      </w:r>
    </w:p>
    <w:p>
      <w:pPr>
        <w:spacing w:after="0" w:line="9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The Florida Office of Financial Regulation previously filed an administrative action against us alleging that our Florida credit service organization business model used in eleven stores adjoining EZPAWN locations violated state usury law. After a contested administrative hearing, the Office of Financial Regulation issued a cease and desist order against our credit services operations in Florida on June 12, 2008. On June 13, 2008 we filed a Notice of Appeal with the First District Court of Appeal of Florida. To comply with the Office of Financial Regulation’s order pending the final outcome on appeal, we closed our eleven EZMONEY credit service organization stores in Florida. As a result of the closure of these stores, we recorded in the current quarter a loss on disposal of property and equipment of $0.2 million and a $0.5 million charge to EZMONEY Operating Income. The Operating income charge was comprised of a $0.2 million reduction of fees,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$0.3 million bad debt charge for increases in loan defaults resulting from the closure, and a $38,000 charge for employee severance payments.</w:t>
      </w:r>
    </w:p>
    <w:p>
      <w:pPr>
        <w:spacing w:after="0"/>
        <w:rPr>
          <w:sz w:val="20"/>
          <w:szCs w:val="20"/>
          <w:color w:val="auto"/>
        </w:rPr>
      </w:pPr>
      <w:r>
        <w:rPr>
          <w:rFonts w:ascii="Arial" w:cs="Arial" w:eastAsia="Arial" w:hAnsi="Arial"/>
          <w:sz w:val="18"/>
          <w:szCs w:val="18"/>
          <w:color w:val="auto"/>
        </w:rPr>
        <w:t>We expect no further charges as a result of these store closures.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Quarterly Information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color w:val="auto"/>
              </w:rPr>
              <w:t>First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73"/>
              <w:spacing w:after="0"/>
              <w:rPr>
                <w:sz w:val="20"/>
                <w:szCs w:val="20"/>
                <w:color w:val="auto"/>
              </w:rPr>
            </w:pPr>
            <w:r>
              <w:rPr>
                <w:rFonts w:ascii="Arial" w:cs="Arial" w:eastAsia="Arial" w:hAnsi="Arial"/>
                <w:sz w:val="14"/>
                <w:szCs w:val="14"/>
                <w:color w:val="auto"/>
              </w:rPr>
              <w:t>Second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auto"/>
              </w:rPr>
              <w:t>Third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color w:val="auto"/>
              </w:rPr>
              <w:t>Fourth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7" w:lineRule="exact"/>
              <w:rPr>
                <w:sz w:val="20"/>
                <w:szCs w:val="20"/>
                <w:color w:val="auto"/>
              </w:rPr>
            </w:pPr>
            <w:r>
              <w:rPr>
                <w:rFonts w:ascii="Arial" w:cs="Arial" w:eastAsia="Arial" w:hAnsi="Arial"/>
                <w:sz w:val="14"/>
                <w:szCs w:val="14"/>
                <w:color w:val="auto"/>
              </w:rPr>
              <w:t>Quarter</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7" w:lineRule="exact"/>
              <w:rPr>
                <w:sz w:val="20"/>
                <w:szCs w:val="20"/>
                <w:color w:val="auto"/>
              </w:rPr>
            </w:pPr>
            <w:r>
              <w:rPr>
                <w:rFonts w:ascii="Arial" w:cs="Arial" w:eastAsia="Arial" w:hAnsi="Arial"/>
                <w:sz w:val="14"/>
                <w:szCs w:val="14"/>
                <w:color w:val="auto"/>
              </w:rPr>
              <w:t>Quarter</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7" w:lineRule="exact"/>
              <w:rPr>
                <w:sz w:val="20"/>
                <w:szCs w:val="20"/>
                <w:color w:val="auto"/>
              </w:rPr>
            </w:pPr>
            <w:r>
              <w:rPr>
                <w:rFonts w:ascii="Arial" w:cs="Arial" w:eastAsia="Arial" w:hAnsi="Arial"/>
                <w:sz w:val="14"/>
                <w:szCs w:val="14"/>
                <w:color w:val="auto"/>
              </w:rPr>
              <w:t>Quarter</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7" w:lineRule="exact"/>
              <w:rPr>
                <w:sz w:val="20"/>
                <w:szCs w:val="20"/>
                <w:color w:val="auto"/>
              </w:rPr>
            </w:pPr>
            <w:r>
              <w:rPr>
                <w:rFonts w:ascii="Arial" w:cs="Arial" w:eastAsia="Arial" w:hAnsi="Arial"/>
                <w:sz w:val="14"/>
                <w:szCs w:val="14"/>
                <w:color w:val="auto"/>
              </w:rPr>
              <w:t>Quarter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gridSpan w:val="5"/>
          </w:tcPr>
          <w:p>
            <w:pPr>
              <w:jc w:val="right"/>
              <w:ind w:right="13"/>
              <w:spacing w:after="0" w:line="155" w:lineRule="exact"/>
              <w:rPr>
                <w:sz w:val="20"/>
                <w:szCs w:val="20"/>
                <w:color w:val="auto"/>
              </w:rPr>
            </w:pPr>
            <w:r>
              <w:rPr>
                <w:rFonts w:ascii="Arial" w:cs="Arial" w:eastAsia="Arial" w:hAnsi="Arial"/>
                <w:sz w:val="14"/>
                <w:szCs w:val="14"/>
                <w:i w:val="1"/>
                <w:iCs w:val="1"/>
                <w:color w:val="auto"/>
              </w:rPr>
              <w:t>(In thousands, except per share amounts)</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September 30, 2007</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2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91,687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89,643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86,993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103,892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61,864</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59,269</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61,572</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71,503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9,761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10,196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6,762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0.24</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0.25</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0.16</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0.23</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0.23</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0.16</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419"/>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2008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w w:val="95"/>
              </w:rPr>
              <w:t>112,306</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w w:val="95"/>
              </w:rPr>
              <w:t>113,625</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w w:val="95"/>
              </w:rPr>
              <w:t>108,070</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123,402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78,765</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76,894</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76,610</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85,732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12,555</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13,016</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10,827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16,031</w:t>
            </w:r>
          </w:p>
        </w:tc>
        <w:tc>
          <w:tcPr>
            <w:tcW w:w="0" w:type="dxa"/>
            <w:vAlign w:val="bottom"/>
          </w:tcPr>
          <w:p>
            <w:pPr>
              <w:spacing w:after="0"/>
              <w:rPr>
                <w:sz w:val="1"/>
                <w:szCs w:val="1"/>
                <w:color w:val="auto"/>
              </w:rPr>
            </w:pPr>
          </w:p>
        </w:tc>
      </w:tr>
      <w:tr>
        <w:trPr>
          <w:trHeight w:val="405"/>
        </w:trPr>
        <w:tc>
          <w:tcPr>
            <w:tcW w:w="522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0.30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0.31</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0.26</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0.29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0.30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0.25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33"/>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first three quarters of fiscal 2007, we increased our estimate of the effective tax rate to 37.0%, primarily due to a legislative change increasing our expected taxes in Texas beginning in 2007. In the fourth quarter of fiscal 2007, we decreased our estimate of the effective tax rate for the fiscal year to 36.8%. The decrease was primarily due to an increase in the expected deduction for disqualifying dispositions of incentive stock options that previously were expected to be non-deductible. The decrease in the effective income tax rate increased net income in the quarter ended September 30, 2007 by $120,000.</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Included in the fourth quarter of fiscal 2008 is the impact of Hurricane Ike, which made landfall near Houston, Texas on September 13, 2008. In September 2008, the Company lost 1,042 store days due to the hurricane and the resulting power outages. We estimate this reduced our fourth quarter fiscal 2008 pre-tax income by approximately $2.5 million. In the EZPAWN U.S. Operations segment, we estimate the hurricane reduced sales gross profit $0.2 million, reduced pawn service charges $0.6 million, and increased operating expenses $0.2 million. In the EZMONEY Operations segment, we estimate the hurricane reduced signature loan fee revenues $0.9 million and increased signature loan bad debt $0.5 million. The remaining impact was a loss on the disposal of assets destroyed by the storm, net of insurance recoveries expected.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fiscal 2008, we decreased our estimate of the effective tax rate for the fiscal year ending September 30, 2008 from</w:t>
      </w:r>
    </w:p>
    <w:p>
      <w:pPr>
        <w:ind w:right="40"/>
        <w:spacing w:after="0" w:line="236" w:lineRule="auto"/>
        <w:rPr>
          <w:sz w:val="20"/>
          <w:szCs w:val="20"/>
          <w:color w:val="auto"/>
        </w:rPr>
      </w:pPr>
      <w:r>
        <w:rPr>
          <w:rFonts w:ascii="Arial" w:cs="Arial" w:eastAsia="Arial" w:hAnsi="Arial"/>
          <w:sz w:val="18"/>
          <w:szCs w:val="18"/>
          <w:color w:val="auto"/>
        </w:rPr>
        <w:t xml:space="preserve">37.7% to 32.8%. In the quarter, we recognized the $3.4 million benefit of a previously under-utilized foreign tax credit related to our investment in Albemarle and Bond Holdings Plc, as described in Note J, </w:t>
      </w:r>
      <w:r>
        <w:rPr>
          <w:rFonts w:ascii="Arial" w:cs="Arial" w:eastAsia="Arial" w:hAnsi="Arial"/>
          <w:sz w:val="18"/>
          <w:szCs w:val="18"/>
          <w:i w:val="1"/>
          <w:iCs w:val="1"/>
          <w:color w:val="auto"/>
        </w:rPr>
        <w:t>Income Taxes</w:t>
      </w:r>
      <w:r>
        <w:rPr>
          <w:rFonts w:ascii="Arial" w:cs="Arial" w:eastAsia="Arial" w:hAnsi="Arial"/>
          <w:sz w:val="18"/>
          <w:szCs w:val="18"/>
          <w:color w:val="auto"/>
        </w:rPr>
        <w:t>. In the fourth quarter of fiscal 2008, we also generated a capital gain resulting in the reversal of $0.2 million from the valuation allowance previously placed on a capital loss carry-forward. In the fourth quarter of fiscal 2008, we also recorded a $0.4 million additional tax charge related to an uncertain tax position in accordance with Financial Interpretation No. 48. In the first three quarters of fiscal 2008, we also estimated we would not qualify as a retail company under the Texas Margins Tax based on the composition of our revenues, which would have doubled the applicable Texas tax rate compared to fiscal 2007, and accrued our taxes through the first three quarters of the year at the expected higher rate. In the fourth quarter, we determined we will qualify as a retail company in Texas and lowered the applicable state tax rate in our accrued taxes. The net effect of the above items caused the decrease in the effective tax rate in the fourth quarter of fiscal 2008. The decrease in the effective income tax rate increased net income in the quarter ended September 30, 2008 by approximately $3,794,000.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Comprehensive Income</w:t>
      </w:r>
    </w:p>
    <w:p>
      <w:pPr>
        <w:spacing w:after="0" w:line="12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Comprehensive income includes net income and other revenues, expenses, gains and losses that are excluded from net income but are included as a component of total stockholders’ equity. Comprehensive income for fiscal 2006, 2007 and 2008 was $29.7 million, $39.3 million and $52.4 million. The difference between comprehensive income and net income results primarily from the effect of foreign currency translation adjustments determined in accordance with SFAS No. 52, “Foreign Currency Translation.” The accumulated balance of foreign currency activity excluded from net income of $4.0 million is presented, net of tax of $1.4 million, in the consolidated balance sheets as “Accumulated other comprehensive income.”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Operating Segment Information</w:t>
      </w:r>
    </w:p>
    <w:p>
      <w:pPr>
        <w:spacing w:after="0" w:line="12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manage our business and internal reporting as three reportable segments with operating results reported separately for each segment. Prior to October 1, 2007, we had two reportable segments. Effective October 1, 2007, we broke our previously immaterial Mexico pawn operations, called Empeño Fácil, into a reportable segment separate from other pawn operations, and have restated prior year amounts on a comparable basis. The three reportable segments are:</w:t>
      </w:r>
    </w:p>
    <w:p>
      <w:pPr>
        <w:spacing w:after="0" w:line="94" w:lineRule="exact"/>
        <w:rPr>
          <w:sz w:val="20"/>
          <w:szCs w:val="20"/>
          <w:color w:val="auto"/>
        </w:rPr>
      </w:pPr>
    </w:p>
    <w:p>
      <w:pPr>
        <w:ind w:left="660" w:right="33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EZPAWN U.S. Operations: This segment offers pawn loans and related sales in our 294 U.S. EZPAWN stores and offers signature loans in six U.S. EZMONEY stores and 71 of our U.S. EZPAWN stores.</w:t>
      </w:r>
    </w:p>
    <w:p>
      <w:pPr>
        <w:spacing w:after="0" w:line="108"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Empeño Fácil: This segment offers pawn loans and related sales in 38 Empeño Fácil pawn stores in Mexico.</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EZMONEY Operations: This segment operates only in the United States and offers signature loans in 471 of our EZMONEY stores.</w:t>
      </w:r>
    </w:p>
    <w:p>
      <w:pPr>
        <w:spacing w:after="0" w:line="104"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Our Empeño Fácil segment operates only in Mexico and, as a result, has a risk concentration in that market. There are no inter-segment revenues, and the amounts below were determined in accordance with the same accounting principles used in our consolidated financial statements. The following tables present operating segment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rPr>
              <w:t>EZPAWN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rPr>
              <w:t>U.S.</w:t>
            </w:r>
          </w:p>
        </w:tc>
        <w:tc>
          <w:tcPr>
            <w:tcW w:w="32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color w:val="auto"/>
              </w:rPr>
              <w:t>Empeño</w:t>
            </w:r>
          </w:p>
        </w:tc>
        <w:tc>
          <w:tcPr>
            <w:tcW w:w="32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color w:val="auto"/>
              </w:rPr>
              <w:t>EZMONEY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Operations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3"/>
              <w:spacing w:after="0" w:line="157" w:lineRule="exact"/>
              <w:rPr>
                <w:sz w:val="20"/>
                <w:szCs w:val="20"/>
                <w:color w:val="auto"/>
              </w:rPr>
            </w:pPr>
            <w:r>
              <w:rPr>
                <w:rFonts w:ascii="Arial" w:cs="Arial" w:eastAsia="Arial" w:hAnsi="Arial"/>
                <w:sz w:val="14"/>
                <w:szCs w:val="14"/>
                <w:color w:val="auto"/>
              </w:rPr>
              <w:t>Fácil</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Borders>
              <w:bottom w:val="single" w:sz="8" w:color="auto"/>
            </w:tcBorders>
            <w:gridSpan w:val="2"/>
          </w:tcPr>
          <w:p>
            <w:pPr>
              <w:ind w:left="40"/>
              <w:spacing w:after="0" w:line="157" w:lineRule="exact"/>
              <w:rPr>
                <w:sz w:val="20"/>
                <w:szCs w:val="20"/>
                <w:color w:val="auto"/>
              </w:rPr>
            </w:pPr>
            <w:r>
              <w:rPr>
                <w:rFonts w:ascii="Arial" w:cs="Arial" w:eastAsia="Arial" w:hAnsi="Arial"/>
                <w:sz w:val="14"/>
                <w:szCs w:val="14"/>
                <w:color w:val="auto"/>
              </w:rPr>
              <w:t>Operations</w:t>
            </w:r>
          </w:p>
        </w:tc>
        <w:tc>
          <w:tcPr>
            <w:tcW w:w="6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6"/>
          </w:tcPr>
          <w:p>
            <w:pPr>
              <w:ind w:left="520"/>
              <w:spacing w:after="0" w:line="155" w:lineRule="exact"/>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September 30, 2008:</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225,747</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6,813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$ 232,560</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Pawn service charges</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89,431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4,813</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Signature loan fees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2,782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125,696</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128,478</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2,116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revenues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320,076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11,631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125,696</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457,403</w:t>
            </w:r>
          </w:p>
        </w:tc>
        <w:tc>
          <w:tcPr>
            <w:tcW w:w="0" w:type="dxa"/>
            <w:vAlign w:val="bottom"/>
          </w:tcPr>
          <w:p>
            <w:pPr>
              <w:spacing w:after="0"/>
              <w:rPr>
                <w:sz w:val="1"/>
                <w:szCs w:val="1"/>
                <w:color w:val="auto"/>
              </w:rPr>
            </w:pPr>
          </w:p>
        </w:tc>
      </w:tr>
      <w:tr>
        <w:trPr>
          <w:trHeight w:val="405"/>
        </w:trPr>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135,142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4,260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139,402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revenues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184,934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7,371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125,696</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318,001</w:t>
            </w:r>
          </w:p>
        </w:tc>
        <w:tc>
          <w:tcPr>
            <w:tcW w:w="0" w:type="dxa"/>
            <w:vAlign w:val="bottom"/>
          </w:tcPr>
          <w:p>
            <w:pPr>
              <w:spacing w:after="0"/>
              <w:rPr>
                <w:sz w:val="1"/>
                <w:szCs w:val="1"/>
                <w:color w:val="auto"/>
              </w:rPr>
            </w:pPr>
          </w:p>
        </w:tc>
      </w:tr>
      <w:tr>
        <w:trPr>
          <w:trHeight w:val="405"/>
        </w:trPr>
        <w:tc>
          <w:tcPr>
            <w:tcW w:w="4200" w:type="dxa"/>
            <w:vAlign w:val="bottom"/>
          </w:tcPr>
          <w:p>
            <w:pPr>
              <w:spacing w:after="0"/>
              <w:rPr>
                <w:sz w:val="20"/>
                <w:szCs w:val="20"/>
                <w:color w:val="auto"/>
              </w:rPr>
            </w:pPr>
            <w:r>
              <w:rPr>
                <w:rFonts w:ascii="Arial" w:cs="Arial" w:eastAsia="Arial" w:hAnsi="Arial"/>
                <w:sz w:val="18"/>
                <w:szCs w:val="18"/>
                <w:color w:val="auto"/>
              </w:rPr>
              <w:t>Store operating expenses:</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Operations expense</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96,674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52,680</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153,420</w:t>
            </w:r>
          </w:p>
        </w:tc>
        <w:tc>
          <w:tcPr>
            <w:tcW w:w="0" w:type="dxa"/>
            <w:vAlign w:val="bottom"/>
          </w:tcPr>
          <w:p>
            <w:pPr>
              <w:spacing w:after="0"/>
              <w:rPr>
                <w:sz w:val="1"/>
                <w:szCs w:val="1"/>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Signature loan bad debt</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1,108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36,042</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37,150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store operating expenses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97,782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4,066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88,722</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190,570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ind w:left="220"/>
              <w:spacing w:after="0"/>
              <w:rPr>
                <w:sz w:val="20"/>
                <w:szCs w:val="20"/>
                <w:color w:val="auto"/>
              </w:rPr>
            </w:pPr>
            <w:r>
              <w:rPr>
                <w:rFonts w:ascii="Arial" w:cs="Arial" w:eastAsia="Arial" w:hAnsi="Arial"/>
                <w:sz w:val="18"/>
                <w:szCs w:val="18"/>
                <w:color w:val="auto"/>
              </w:rPr>
              <w:t>Store operating income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87,152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3,305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36,974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$ 127,431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80" w:type="dxa"/>
            <w:vAlign w:val="bottom"/>
            <w:vMerge w:val="restart"/>
          </w:tcPr>
          <w:p>
            <w:pPr>
              <w:jc w:val="right"/>
              <w:ind w:right="370"/>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808080"/>
            </w:tcBorders>
          </w:tcPr>
          <w:p>
            <w:pPr>
              <w:spacing w:after="0"/>
              <w:rPr>
                <w:sz w:val="18"/>
                <w:szCs w:val="18"/>
                <w:color w:val="auto"/>
              </w:rPr>
            </w:pPr>
          </w:p>
        </w:tc>
        <w:tc>
          <w:tcPr>
            <w:tcW w:w="20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EZPAWN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1"/>
              <w:spacing w:after="0"/>
              <w:rPr>
                <w:sz w:val="20"/>
                <w:szCs w:val="20"/>
                <w:color w:val="auto"/>
              </w:rPr>
            </w:pPr>
            <w:r>
              <w:rPr>
                <w:rFonts w:ascii="Arial" w:cs="Arial" w:eastAsia="Arial" w:hAnsi="Arial"/>
                <w:sz w:val="14"/>
                <w:szCs w:val="14"/>
                <w:color w:val="auto"/>
              </w:rPr>
              <w:t>U.S.</w:t>
            </w:r>
          </w:p>
        </w:tc>
        <w:tc>
          <w:tcPr>
            <w:tcW w:w="66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rPr>
              <w:t>Empeño</w:t>
            </w:r>
          </w:p>
        </w:tc>
        <w:tc>
          <w:tcPr>
            <w:tcW w:w="30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color w:val="auto"/>
              </w:rPr>
              <w:t>EZMONEY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7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Operations</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
              <w:spacing w:after="0" w:line="157" w:lineRule="exact"/>
              <w:rPr>
                <w:sz w:val="20"/>
                <w:szCs w:val="20"/>
                <w:color w:val="auto"/>
              </w:rPr>
            </w:pPr>
            <w:r>
              <w:rPr>
                <w:rFonts w:ascii="Arial" w:cs="Arial" w:eastAsia="Arial" w:hAnsi="Arial"/>
                <w:sz w:val="14"/>
                <w:szCs w:val="14"/>
                <w:color w:val="auto"/>
              </w:rPr>
              <w:t>Fácil</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gridSpan w:val="2"/>
          </w:tcPr>
          <w:p>
            <w:pPr>
              <w:ind w:left="40"/>
              <w:spacing w:after="0" w:line="157" w:lineRule="exact"/>
              <w:rPr>
                <w:sz w:val="20"/>
                <w:szCs w:val="20"/>
                <w:color w:val="auto"/>
              </w:rPr>
            </w:pPr>
            <w:r>
              <w:rPr>
                <w:rFonts w:ascii="Arial" w:cs="Arial" w:eastAsia="Arial" w:hAnsi="Arial"/>
                <w:sz w:val="14"/>
                <w:szCs w:val="14"/>
                <w:color w:val="auto"/>
              </w:rPr>
              <w:t>Operations</w:t>
            </w:r>
          </w:p>
        </w:tc>
        <w:tc>
          <w:tcPr>
            <w:tcW w:w="660" w:type="dxa"/>
            <w:vAlign w:val="bottom"/>
          </w:tcPr>
          <w:p>
            <w:pPr>
              <w:spacing w:after="0"/>
              <w:rPr>
                <w:sz w:val="13"/>
                <w:szCs w:val="13"/>
                <w:color w:val="auto"/>
              </w:rPr>
            </w:pPr>
          </w:p>
        </w:tc>
        <w:tc>
          <w:tcPr>
            <w:tcW w:w="8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6"/>
          </w:tcPr>
          <w:p>
            <w:pPr>
              <w:ind w:left="500"/>
              <w:spacing w:after="0" w:line="155"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September 30, 2007: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192,832</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155</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Pawn service charges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73,471</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Signature loan fees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101,033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270,945</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101,033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372,215</w:t>
            </w:r>
          </w:p>
        </w:tc>
        <w:tc>
          <w:tcPr>
            <w:tcW w:w="0" w:type="dxa"/>
            <w:vAlign w:val="bottom"/>
          </w:tcPr>
          <w:p>
            <w:pPr>
              <w:spacing w:after="0"/>
              <w:rPr>
                <w:sz w:val="1"/>
                <w:szCs w:val="1"/>
                <w:color w:val="auto"/>
              </w:rPr>
            </w:pPr>
          </w:p>
        </w:tc>
      </w:tr>
      <w:tr>
        <w:trPr>
          <w:trHeight w:val="405"/>
        </w:trPr>
        <w:tc>
          <w:tcPr>
            <w:tcW w:w="62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117,923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153,022</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8"/>
              </w:rPr>
              <w:t>101,033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254,208</w:t>
            </w:r>
          </w:p>
        </w:tc>
        <w:tc>
          <w:tcPr>
            <w:tcW w:w="0" w:type="dxa"/>
            <w:vAlign w:val="bottom"/>
          </w:tcPr>
          <w:p>
            <w:pPr>
              <w:spacing w:after="0"/>
              <w:rPr>
                <w:sz w:val="1"/>
                <w:szCs w:val="1"/>
                <w:color w:val="auto"/>
              </w:rPr>
            </w:pPr>
          </w:p>
        </w:tc>
      </w:tr>
      <w:tr>
        <w:trPr>
          <w:trHeight w:val="405"/>
        </w:trPr>
        <w:tc>
          <w:tcPr>
            <w:tcW w:w="6280" w:type="dxa"/>
            <w:vAlign w:val="bottom"/>
            <w:gridSpan w:val="2"/>
          </w:tcPr>
          <w:p>
            <w:pPr>
              <w:spacing w:after="0"/>
              <w:rPr>
                <w:sz w:val="20"/>
                <w:szCs w:val="20"/>
                <w:color w:val="auto"/>
              </w:rPr>
            </w:pPr>
            <w:r>
              <w:rPr>
                <w:rFonts w:ascii="Arial" w:cs="Arial" w:eastAsia="Arial" w:hAnsi="Arial"/>
                <w:sz w:val="18"/>
                <w:szCs w:val="18"/>
                <w:color w:val="auto"/>
              </w:rPr>
              <w:t>Store operating expenses: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Operations expense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87,151</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41,047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Signature loan bad debt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1,390</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27,118</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store 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88,541</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68,165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157,110</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64,481</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32,868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September 30, 2006: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177,424</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Pawn service charges</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65,325</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Signature loan fees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3,155</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68,685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71,840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1,263</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247,167</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68,685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315,852</w:t>
            </w:r>
          </w:p>
        </w:tc>
        <w:tc>
          <w:tcPr>
            <w:tcW w:w="0" w:type="dxa"/>
            <w:vAlign w:val="bottom"/>
          </w:tcPr>
          <w:p>
            <w:pPr>
              <w:spacing w:after="0"/>
              <w:rPr>
                <w:sz w:val="1"/>
                <w:szCs w:val="1"/>
                <w:color w:val="auto"/>
              </w:rPr>
            </w:pPr>
          </w:p>
        </w:tc>
      </w:tr>
      <w:tr>
        <w:trPr>
          <w:trHeight w:val="405"/>
        </w:trPr>
        <w:tc>
          <w:tcPr>
            <w:tcW w:w="62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106,873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106,873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140,294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68,685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208,979</w:t>
            </w:r>
          </w:p>
        </w:tc>
        <w:tc>
          <w:tcPr>
            <w:tcW w:w="0" w:type="dxa"/>
            <w:vAlign w:val="bottom"/>
          </w:tcPr>
          <w:p>
            <w:pPr>
              <w:spacing w:after="0"/>
              <w:rPr>
                <w:sz w:val="1"/>
                <w:szCs w:val="1"/>
                <w:color w:val="auto"/>
              </w:rPr>
            </w:pPr>
          </w:p>
        </w:tc>
      </w:tr>
      <w:tr>
        <w:trPr>
          <w:trHeight w:val="405"/>
        </w:trPr>
        <w:tc>
          <w:tcPr>
            <w:tcW w:w="6280" w:type="dxa"/>
            <w:vAlign w:val="bottom"/>
            <w:gridSpan w:val="2"/>
          </w:tcPr>
          <w:p>
            <w:pPr>
              <w:spacing w:after="0"/>
              <w:rPr>
                <w:sz w:val="20"/>
                <w:szCs w:val="20"/>
                <w:color w:val="auto"/>
              </w:rPr>
            </w:pPr>
            <w:r>
              <w:rPr>
                <w:rFonts w:ascii="Arial" w:cs="Arial" w:eastAsia="Arial" w:hAnsi="Arial"/>
                <w:sz w:val="18"/>
                <w:szCs w:val="18"/>
                <w:color w:val="auto"/>
              </w:rPr>
              <w:t>Store operating expenses: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Operations expense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84,830</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26,908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Signature loan bad debt</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16,611</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store 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86,116</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43,519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129,635</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54,178</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25,166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store operating income, as shown above, to our consolidated income before income taxes: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 Ended 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2006</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2007</w:t>
            </w: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store operating income</w:t>
            </w:r>
          </w:p>
        </w:tc>
        <w:tc>
          <w:tcPr>
            <w:tcW w:w="41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$ 79,344</w:t>
            </w:r>
          </w:p>
        </w:tc>
        <w:tc>
          <w:tcPr>
            <w:tcW w:w="170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$ 97,098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127,431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Administrative expenses</w:t>
            </w:r>
          </w:p>
        </w:tc>
        <w:tc>
          <w:tcPr>
            <w:tcW w:w="41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27,749</w:t>
            </w:r>
          </w:p>
        </w:tc>
        <w:tc>
          <w:tcPr>
            <w:tcW w:w="170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31,749</w:t>
            </w: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40,458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41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8,610</w:t>
            </w:r>
          </w:p>
        </w:tc>
        <w:tc>
          <w:tcPr>
            <w:tcW w:w="170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9,812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(Gain) / loss on sale / disposal of assets</w:t>
            </w:r>
          </w:p>
        </w:tc>
        <w:tc>
          <w:tcPr>
            <w:tcW w:w="41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70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1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(520)</w:t>
            </w:r>
          </w:p>
        </w:tc>
        <w:tc>
          <w:tcPr>
            <w:tcW w:w="17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418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441</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income of unconsolidated affiliate</w:t>
            </w:r>
          </w:p>
        </w:tc>
        <w:tc>
          <w:tcPr>
            <w:tcW w:w="41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(2,433)</w:t>
            </w:r>
          </w:p>
        </w:tc>
        <w:tc>
          <w:tcPr>
            <w:tcW w:w="170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(2,945)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3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Consolidated income before income taxes</w:t>
            </w:r>
          </w:p>
        </w:tc>
        <w:tc>
          <w:tcPr>
            <w:tcW w:w="3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$ 45,504</w:t>
            </w:r>
          </w:p>
        </w:tc>
        <w:tc>
          <w:tcPr>
            <w:tcW w:w="3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$ 59,927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180" w:type="dxa"/>
            <w:vAlign w:val="bottom"/>
            <w:vMerge w:val="restart"/>
          </w:tcPr>
          <w:p>
            <w:pPr>
              <w:jc w:val="right"/>
              <w:ind w:right="1930"/>
              <w:spacing w:after="0"/>
              <w:rPr>
                <w:sz w:val="20"/>
                <w:szCs w:val="20"/>
                <w:color w:val="auto"/>
              </w:rPr>
            </w:pPr>
            <w:r>
              <w:rPr>
                <w:rFonts w:ascii="Arial" w:cs="Arial" w:eastAsia="Arial" w:hAnsi="Arial"/>
                <w:sz w:val="18"/>
                <w:szCs w:val="18"/>
                <w:color w:val="auto"/>
              </w:rPr>
              <w:t>81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color w:val="auto"/>
              </w:rPr>
              <w:t>EZPAWN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800"/>
              <w:spacing w:after="0"/>
              <w:rPr>
                <w:sz w:val="20"/>
                <w:szCs w:val="20"/>
                <w:color w:val="auto"/>
              </w:rPr>
            </w:pPr>
            <w:r>
              <w:rPr>
                <w:rFonts w:ascii="Arial" w:cs="Arial" w:eastAsia="Arial" w:hAnsi="Arial"/>
                <w:sz w:val="14"/>
                <w:szCs w:val="14"/>
                <w:color w:val="auto"/>
              </w:rPr>
              <w:t>U.S.</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Empeño</w:t>
            </w:r>
          </w:p>
        </w:tc>
        <w:tc>
          <w:tcPr>
            <w:tcW w:w="1360" w:type="dxa"/>
            <w:vAlign w:val="bottom"/>
            <w:gridSpan w:val="3"/>
          </w:tcPr>
          <w:p>
            <w:pPr>
              <w:spacing w:after="0"/>
              <w:rPr>
                <w:sz w:val="20"/>
                <w:szCs w:val="20"/>
                <w:color w:val="auto"/>
              </w:rPr>
            </w:pPr>
            <w:r>
              <w:rPr>
                <w:rFonts w:ascii="Arial" w:cs="Arial" w:eastAsia="Arial" w:hAnsi="Arial"/>
                <w:sz w:val="14"/>
                <w:szCs w:val="14"/>
                <w:color w:val="auto"/>
              </w:rPr>
              <w:t>EZMONEY</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Operations</w:t>
            </w: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Fácil</w:t>
            </w:r>
          </w:p>
        </w:tc>
        <w:tc>
          <w:tcPr>
            <w:tcW w:w="680" w:type="dxa"/>
            <w:vAlign w:val="bottom"/>
          </w:tcPr>
          <w:p>
            <w:pPr>
              <w:spacing w:after="0"/>
              <w:rPr>
                <w:sz w:val="13"/>
                <w:szCs w:val="13"/>
                <w:color w:val="auto"/>
              </w:rPr>
            </w:pPr>
          </w:p>
        </w:tc>
        <w:tc>
          <w:tcPr>
            <w:tcW w:w="7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w w:val="99"/>
              </w:rPr>
              <w:t>Operations</w:t>
            </w:r>
          </w:p>
        </w:tc>
        <w:tc>
          <w:tcPr>
            <w:tcW w:w="660" w:type="dxa"/>
            <w:vAlign w:val="bottom"/>
          </w:tcPr>
          <w:p>
            <w:pPr>
              <w:spacing w:after="0"/>
              <w:rPr>
                <w:sz w:val="13"/>
                <w:szCs w:val="13"/>
                <w:color w:val="auto"/>
              </w:rPr>
            </w:pPr>
          </w:p>
        </w:tc>
        <w:tc>
          <w:tcPr>
            <w:tcW w:w="8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ind w:left="460"/>
              <w:spacing w:after="0" w:line="155" w:lineRule="exact"/>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 at September 30, 2008: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Pawn loans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71,393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4,543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75,936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Payday loans, net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6,652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40,357</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2,852</w:t>
            </w:r>
          </w:p>
        </w:tc>
        <w:tc>
          <w:tcPr>
            <w:tcW w:w="120" w:type="dxa"/>
            <w:vAlign w:val="bottom"/>
          </w:tcPr>
          <w:p>
            <w:pPr>
              <w:spacing w:after="0"/>
              <w:rPr>
                <w:sz w:val="17"/>
                <w:szCs w:val="17"/>
                <w:color w:val="auto"/>
              </w:rPr>
            </w:pP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separately identified recorded segment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112,222</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7,395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6,652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126,269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23,169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 at September 30, 2007: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Pawn loans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60,602</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6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Payday loans, net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4,357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37,749</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separately identified recorded segment assets</w:t>
            </w: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98,808</w:t>
            </w:r>
          </w:p>
        </w:tc>
        <w:tc>
          <w:tcPr>
            <w:tcW w:w="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4,357</w:t>
            </w:r>
          </w:p>
        </w:tc>
        <w:tc>
          <w:tcPr>
            <w:tcW w:w="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103,498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22,834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 at September 30, 2006: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Pawn loans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50,304</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Payday loans, net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200"/>
              <w:spacing w:after="0" w:line="202" w:lineRule="exact"/>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35,616</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separately identified recorded segment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86,385</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320" w:type="dxa"/>
            <w:vAlign w:val="bottom"/>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17,657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18,210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Brokered loans are not recorded as an asset on our balance sheet, as we do not own a participation in the loans made by unaffiliated lenders. We monitor the principal balance of these loans, as our credit service fees and bad debt are directly related to their volume due to the letters of credit we issue on these loans. The balance shown above is the gross principal balance of the loans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Subsequent Events</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November 13, 2008, we acquired the operating assets of eleven pawnshops located in Las Vegas, North Las Vegas and Henderson, Nevada that operate under the Pawn Plus, Pawn Place and ASAP Pawn brands for approximately $ 34.3 million. $17.3 million of the purchase price was paid through the issuance of 1,116,505 shares of our Class A Non-voting Common Stock, and the remaining $17.0 million was paid in cash.</w:t>
      </w:r>
    </w:p>
    <w:p>
      <w:pPr>
        <w:spacing w:after="0" w:line="9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September 16, 2008, we agreed to acquire through a merger all of the capital stock of Value Financial Services, Inc. (“VFS”). In the merger, we will acquire VFS’s 67 pawn stores, most of which are in Florida. The total purchase price may increase upon the payment of contingent consideration, as described below, depending on the price at which the sellers sell the EZCORP shares they will acquire as part of the merger consideration. As merger consideration, each VFS shareholder may choose to receive either (1) 0.75 shares of EZCORP Class A Non-voting Common Stock (the “EZCORP shares”), rounded up to the nearest whole EZCORP Share, or (2) $11.00 cash for each share of VFS common stock owned by such shareholder at the effective time of the merger. The cash consideration is limited to 20% or less of the VFS common stock. Assuming the exercise of all options, warrants or other conversion rights, we expect to acquire 6,646,370 shares of VFS Common Stock in the merger.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EZCORP agreed to provide VFS shareholders some price protections if they sell their EZCORP Shares received in the merger within 125 days after the closing of the merger. Pursuant to the guaranty, EZCORP will pay a selling shareholder the difference between $14.67 per share and the gross price per share the selling shareholder actually receives, if less than $14.67 per share, up to a maximum of $ 4.01 per share. As an inducement to enter the merger agreement, EZCORP has also agreed to provide VFS shareholders who decide to sell their EZCORP Shares within 125 days after the closing of the merger a premium for sales of their EZCORP Shares for more than $14.67 per share. For VFS shareholders who sell their EZCORP Shares for more than $14.67 per share and, after a five day waiting period to facilitate share distribution, within the (1) first 35 day period from the date of the closing of the merger, EZCORP will pay $1.33 per share, (2) second 30 day period from the date of the closing of the merger, $1.00 per share, (3) third 30 day period from the date of the closing of the merger, $0.67 per share, and</w:t>
      </w:r>
    </w:p>
    <w:p>
      <w:pPr>
        <w:spacing w:after="0" w:line="6" w:lineRule="exact"/>
        <w:rPr>
          <w:sz w:val="20"/>
          <w:szCs w:val="20"/>
          <w:color w:val="auto"/>
        </w:rPr>
      </w:pPr>
    </w:p>
    <w:p>
      <w:pPr>
        <w:ind w:right="740" w:firstLine="8"/>
        <w:spacing w:after="0" w:line="246"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fourth 30 day period from the date of the closing of the merger, $0.33 per share. We are currently unable to estimate the amount of contingent consideration that will be paid under the provisions described in this paragraph.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Excluding the contingent consideration that is not currently known, we estimate the total VFS acquisition price to be approximately</w:t>
      </w:r>
    </w:p>
    <w:p>
      <w:pPr>
        <w:spacing w:after="0" w:line="234" w:lineRule="auto"/>
        <w:rPr>
          <w:sz w:val="20"/>
          <w:szCs w:val="20"/>
          <w:color w:val="auto"/>
        </w:rPr>
      </w:pPr>
      <w:r>
        <w:rPr>
          <w:rFonts w:ascii="Arial" w:cs="Arial" w:eastAsia="Arial" w:hAnsi="Arial"/>
          <w:sz w:val="18"/>
          <w:szCs w:val="18"/>
          <w:color w:val="auto"/>
        </w:rPr>
        <w:t>$80.6 million, plus the assumption of VFS outstanding debt of approximately $35.3 million, for an aggregate value of approximately</w:t>
      </w:r>
    </w:p>
    <w:p>
      <w:pPr>
        <w:spacing w:after="0" w:line="235" w:lineRule="auto"/>
        <w:rPr>
          <w:sz w:val="20"/>
          <w:szCs w:val="20"/>
          <w:color w:val="auto"/>
        </w:rPr>
      </w:pPr>
      <w:r>
        <w:rPr>
          <w:rFonts w:ascii="Arial" w:cs="Arial" w:eastAsia="Arial" w:hAnsi="Arial"/>
          <w:sz w:val="18"/>
          <w:szCs w:val="18"/>
          <w:color w:val="auto"/>
        </w:rPr>
        <w:t>$115.9 million. The ultimate total purchase price will vary from this amount based on the value of EZCORP’s stock, the amount of VFS</w:t>
      </w:r>
    </w:p>
    <w:p>
      <w:pPr>
        <w:spacing w:after="0" w:line="235" w:lineRule="auto"/>
        <w:rPr>
          <w:sz w:val="20"/>
          <w:szCs w:val="20"/>
          <w:color w:val="auto"/>
        </w:rPr>
      </w:pPr>
      <w:r>
        <w:rPr>
          <w:rFonts w:ascii="Arial" w:cs="Arial" w:eastAsia="Arial" w:hAnsi="Arial"/>
          <w:sz w:val="18"/>
          <w:szCs w:val="18"/>
          <w:color w:val="auto"/>
        </w:rPr>
        <w:t>shareholders electing to receive cash in lieu of EZCORP shares, and any contingent consideration that will become payable, up to a maximum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possible contingent payment of $20.0 million. We anticipate closing the VFS acquisition on December 31, 2008.</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October 2008, employee stock options for 1,350,000 shares, granted in 1998, vested and were exercised by our Chief Financial Officer and the Chairman of our Board of Directors, increasing the number of Class A Common Stock outstanding subsequent to the end of fiscal 2008. Also in October 2008, restrictions lapsed on 324,000 shares granted in 2006 to our Chief Executive Officer and the Chairman of our Board of Directors as restricted stock awards, resulting in an increase in the number of Class A Common Stock outstanding subsequent to the end of fiscal 2008.</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functional currency of our Empeño Fácil segment is the Mexican peso. At October 31, 2008, the Mexican peso weakened 19% to 12.90 pesos to the U.S. dollar, compared to 10.87 pesos to the U.S. dollar at September 30, 2008. If the peso remains at this weaker level, it would decrease the value of the assets and earnings translated to U.S. dollars in fiscal 2009 compared to fiscal 2008. The functional currency of Albemarle &amp; Bond, in which we hold an equity interest as described in Note D, “</w:t>
      </w:r>
      <w:r>
        <w:rPr>
          <w:rFonts w:ascii="Arial" w:cs="Arial" w:eastAsia="Arial" w:hAnsi="Arial"/>
          <w:sz w:val="18"/>
          <w:szCs w:val="18"/>
          <w:i w:val="1"/>
          <w:iCs w:val="1"/>
          <w:color w:val="auto"/>
        </w:rPr>
        <w:t>Investment</w:t>
      </w:r>
      <w:r>
        <w:rPr>
          <w:rFonts w:ascii="Arial" w:cs="Arial" w:eastAsia="Arial" w:hAnsi="Arial"/>
          <w:sz w:val="18"/>
          <w:szCs w:val="18"/>
          <w:color w:val="auto"/>
        </w:rPr>
        <w:t>,” is the British pound. Similar to the peso, the British pound weakened 9% from $1.82 U.S. dollars per pound at September 30, 2008 to $1.65 U.S. dollars per pound at October 31, 2008. Assuming the pound stays weaker or weakens further in relation to the U.S. dollar, our equity in the earnings of A&amp;B and the value of our investment in A&amp;B will be reduced when translated into U.S. dollars in fiscal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C</w:t>
      </w:r>
      <w:r>
        <w:rPr>
          <w:rFonts w:ascii="Arial" w:cs="Arial" w:eastAsia="Arial" w:hAnsi="Arial"/>
          <w:sz w:val="12"/>
          <w:szCs w:val="12"/>
          <w:b w:val="1"/>
          <w:bCs w:val="1"/>
          <w:color w:val="auto"/>
        </w:rPr>
        <w:t>HANGES IN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ISAGREEMENTS WITH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CCOUNTANTS 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ISCLOSURE</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had no change in our independent certified public accountants, and no disagreements on accounting or financial disclosure matters with our independent certified public accountants to report under this Item 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9A. 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we have evaluated the effectiveness of the design and operation of our disclosure controls and procedures (as defined in Rules 13a-15(e) and 15d-15(e) under the Securities Exchange Act of 1934) as of September 30, 2008. Based upon that evaluation, our Chief Executive Officer and Chief Financial Officer concluded that, as of September 30, 2008, our disclosure controls and procedures are effective to ensure that information required to be disclosed in reports we file or submit under the Exchange Act is recorded, processed, summarized and reported within the time periods specified in SEC rules and forms. Disclosure controls and procedures include those controls and procedures that are designed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disclosures.</w:t>
      </w:r>
    </w:p>
    <w:p>
      <w:pPr>
        <w:spacing w:after="0" w:line="10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Notwithstanding the foregoing, a control system, no matter how well designed and operated, can provide only reasonable, not absolute, assurance that all control issues or instances of fraud, if any, have been detected. Our disclosure controls and procedures are designed to provide reasonable assurance of achieving their objectives, as described above, and our Chief Executive Officer and Chief Financial Officer concluded that our disclosure controls and procedures are effective at that reasonable assurance level as of September 30, 2008.</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There were no changes in our internal control over financial reporting during the year ended September 30, 2008 that have materially affected, or are reasonably likely to materially affect, our internal control over financial reporting, except as described below.</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made certain internal control changes in our pawn operations in Mexico as a result of acquiring 20 pawn stores in Mexico on October 22, 2007. We made these control changes to subject our Mexican operations to the same or similar controls as currently utilized in the remainder of our operations and accounting, including ensuring their compliance with U.S. GAAP. This transition was completed within one year of the October 22, 2007 acquisition date. In fiscal 2008, the acquired Mexico operations began utilizing our existing general ledger ERP system, the related interfaces to our point-of-sale computer system, and the ERP system’s foreign currency translation capabilities. Our Mexican operations comprised approximately three percent of our total revenues in fiscal 2008, and approximately seven percent of our total assets at September 30, 2008.</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adequate internal control over financial reporting and for the assessment of the effectiveness of our internal control over financial reporting. This internal control system has been designed to provide reasonable assurance to our management and board of directors regarding the preparation and fair presentation of our published consolidated financial statements.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Management has assessed the effectiveness of our internal control over financial reporting as of September 30, 2008. To make this assessment, management utilized the criteria for effective internal control over financial reporting described in “Internal Control — Integrated Framework” issued by the Committee of Sponsoring Organizations of the Treadway Commission. Based on this assessment, management believes that, as of September 30, 2008, our internal control over financial reporting is effective based on those criteria.</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internal controls over financial reporting as of September 30, 2008 has been audited by BDO Seidman, LLP, an independent registered public accounting firm, and their report follows immediately in this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1160" w:type="dxa"/>
            <w:vAlign w:val="bottom"/>
          </w:tcPr>
          <w:p>
            <w:pPr>
              <w:spacing w:after="0"/>
              <w:rPr>
                <w:sz w:val="17"/>
                <w:szCs w:val="17"/>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 Tonissen</w:t>
            </w:r>
          </w:p>
        </w:tc>
        <w:tc>
          <w:tcPr>
            <w:tcW w:w="2260" w:type="dxa"/>
            <w:vAlign w:val="bottom"/>
          </w:tcPr>
          <w:p>
            <w:pPr>
              <w:spacing w:after="0"/>
              <w:rPr>
                <w:sz w:val="17"/>
                <w:szCs w:val="17"/>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Joseph L. Rotunda</w:t>
            </w:r>
          </w:p>
        </w:tc>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Dan N. Tonissen</w:t>
            </w:r>
          </w:p>
        </w:tc>
        <w:tc>
          <w:tcPr>
            <w:tcW w:w="2260" w:type="dxa"/>
            <w:vAlign w:val="bottom"/>
          </w:tcPr>
          <w:p>
            <w:pPr>
              <w:spacing w:after="0"/>
              <w:rPr>
                <w:sz w:val="18"/>
                <w:szCs w:val="18"/>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w:t>
            </w:r>
          </w:p>
        </w:tc>
        <w:tc>
          <w:tcPr>
            <w:tcW w:w="116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Senior Vice President,</w:t>
            </w:r>
          </w:p>
        </w:tc>
        <w:tc>
          <w:tcPr>
            <w:tcW w:w="2260" w:type="dxa"/>
            <w:vAlign w:val="bottom"/>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&amp; Director</w:t>
            </w:r>
          </w:p>
        </w:tc>
        <w:tc>
          <w:tcPr>
            <w:tcW w:w="116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Chief Financial Officer &amp;</w:t>
            </w:r>
          </w:p>
        </w:tc>
        <w:tc>
          <w:tcPr>
            <w:tcW w:w="2260" w:type="dxa"/>
            <w:vAlign w:val="bottom"/>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December 12, 2008</w:t>
            </w:r>
          </w:p>
        </w:tc>
        <w:tc>
          <w:tcPr>
            <w:tcW w:w="116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2260" w:type="dxa"/>
            <w:vAlign w:val="bottom"/>
          </w:tcPr>
          <w:p>
            <w:pPr>
              <w:spacing w:after="0"/>
              <w:rPr>
                <w:sz w:val="17"/>
                <w:szCs w:val="17"/>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December 12, 2008</w:t>
            </w:r>
          </w:p>
        </w:tc>
        <w:tc>
          <w:tcPr>
            <w:tcW w:w="2260" w:type="dxa"/>
            <w:vAlign w:val="bottom"/>
          </w:tcPr>
          <w:p>
            <w:pPr>
              <w:spacing w:after="0"/>
              <w:rPr>
                <w:sz w:val="18"/>
                <w:szCs w:val="18"/>
                <w:color w:val="auto"/>
              </w:rPr>
            </w:pPr>
          </w:p>
        </w:tc>
      </w:tr>
      <w:tr>
        <w:trPr>
          <w:trHeight w:val="392"/>
        </w:trPr>
        <w:tc>
          <w:tcPr>
            <w:tcW w:w="4000" w:type="dxa"/>
            <w:vAlign w:val="bottom"/>
          </w:tcPr>
          <w:p>
            <w:pPr>
              <w:spacing w:after="0"/>
              <w:rPr>
                <w:sz w:val="24"/>
                <w:szCs w:val="24"/>
                <w:color w:val="auto"/>
              </w:rPr>
            </w:pPr>
          </w:p>
        </w:tc>
        <w:tc>
          <w:tcPr>
            <w:tcW w:w="5160" w:type="dxa"/>
            <w:vAlign w:val="bottom"/>
            <w:gridSpan w:val="2"/>
          </w:tcPr>
          <w:p>
            <w:pPr>
              <w:jc w:val="right"/>
              <w:ind w:right="3250"/>
              <w:spacing w:after="0"/>
              <w:rPr>
                <w:sz w:val="20"/>
                <w:szCs w:val="20"/>
                <w:color w:val="auto"/>
              </w:rPr>
            </w:pPr>
            <w:r>
              <w:rPr>
                <w:rFonts w:ascii="Arial" w:cs="Arial" w:eastAsia="Arial" w:hAnsi="Arial"/>
                <w:sz w:val="18"/>
                <w:szCs w:val="18"/>
                <w:color w:val="auto"/>
              </w:rPr>
              <w:t>85</w:t>
            </w:r>
          </w:p>
        </w:tc>
        <w:tc>
          <w:tcPr>
            <w:tcW w:w="2260" w:type="dxa"/>
            <w:vAlign w:val="bottom"/>
          </w:tcPr>
          <w:p>
            <w:pPr>
              <w:spacing w:after="0"/>
              <w:rPr>
                <w:sz w:val="24"/>
                <w:szCs w:val="24"/>
                <w:color w:val="auto"/>
              </w:rPr>
            </w:pPr>
          </w:p>
        </w:tc>
      </w:tr>
      <w:tr>
        <w:trPr>
          <w:trHeight w:val="213"/>
        </w:trPr>
        <w:tc>
          <w:tcPr>
            <w:tcW w:w="40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22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4" w:lineRule="auto"/>
        <w:rPr>
          <w:sz w:val="20"/>
          <w:szCs w:val="20"/>
          <w:color w:val="auto"/>
        </w:rPr>
      </w:pPr>
      <w:r>
        <w:rPr>
          <w:rFonts w:ascii="Arial" w:cs="Arial" w:eastAsia="Arial" w:hAnsi="Arial"/>
          <w:sz w:val="18"/>
          <w:szCs w:val="18"/>
          <w:color w:val="auto"/>
        </w:rPr>
        <w:t>EZCORP,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8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We have audited EZCORP, Inc.’s internal control over financial reporting as of September 30, 2008,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EZCORP,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 our opinion, EZCORP, Inc. maintained, in all material respects, effective internal control over financial reporting as of September 30, 2008, based on the COSO criteria</w:t>
      </w:r>
      <w:r>
        <w:rPr>
          <w:rFonts w:ascii="Arial" w:cs="Arial" w:eastAsia="Arial" w:hAnsi="Arial"/>
          <w:sz w:val="18"/>
          <w:szCs w:val="18"/>
          <w:i w:val="1"/>
          <w:iCs w:val="1"/>
          <w:color w:val="auto"/>
        </w:rPr>
        <w:t>.</w:t>
      </w:r>
    </w:p>
    <w:p>
      <w:pPr>
        <w:spacing w:after="0" w:line="8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EZCORP, Inc. and subsidiaries as of September 30, 2007 and 2008 and the related consolidated statements of operations, stockholders’ equity, and cash flows for each of the three years in the period ended September 30, 2008 and our report dated December 12, 2008 expressed an unqualified opinion thereon.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December 12, 2008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 D</w:t>
      </w:r>
      <w:r>
        <w:rPr>
          <w:rFonts w:ascii="Arial" w:cs="Arial" w:eastAsia="Arial" w:hAnsi="Arial"/>
          <w:sz w:val="12"/>
          <w:szCs w:val="12"/>
          <w:b w:val="1"/>
          <w:bCs w:val="1"/>
          <w:color w:val="auto"/>
        </w:rPr>
        <w:t>IRECTORS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FFICERS OF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as of October 31, 2008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color w:val="auto"/>
              </w:rPr>
              <w:t>Name</w:t>
            </w:r>
          </w:p>
        </w:tc>
        <w:tc>
          <w:tcPr>
            <w:tcW w:w="6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Age</w:t>
            </w:r>
          </w:p>
        </w:tc>
        <w:tc>
          <w:tcPr>
            <w:tcW w:w="6020" w:type="dxa"/>
            <w:vAlign w:val="bottom"/>
            <w:gridSpan w:val="2"/>
          </w:tcPr>
          <w:p>
            <w:pPr>
              <w:ind w:left="600"/>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Sterling B. Brinkley (1)</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57</w:t>
            </w:r>
          </w:p>
        </w:tc>
        <w:tc>
          <w:tcPr>
            <w:tcW w:w="6020" w:type="dxa"/>
            <w:vAlign w:val="bottom"/>
            <w:gridSpan w:val="2"/>
            <w:shd w:val="clear" w:color="auto" w:fill="CCEEFF"/>
          </w:tcPr>
          <w:p>
            <w:pPr>
              <w:ind w:left="600"/>
              <w:spacing w:after="0" w:line="196" w:lineRule="exact"/>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Joseph L. Rotunda (1) (3)</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61</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 N. Tonissen (1) (3)</w:t>
            </w:r>
          </w:p>
        </w:tc>
        <w:tc>
          <w:tcPr>
            <w:tcW w:w="1200" w:type="dxa"/>
            <w:vAlign w:val="bottom"/>
            <w:gridSpan w:val="2"/>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99"/>
              </w:rPr>
              <w:t>58</w:t>
            </w:r>
          </w:p>
        </w:tc>
        <w:tc>
          <w:tcPr>
            <w:tcW w:w="602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Senior Vice President, Chief Financial Officer, Assistant Secretary,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Gary C. Matzner (4)</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60</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C. Roberts (2) (4) (5)</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66</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Richard D. Sage (2) (4) (5)</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68</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M. Edwards (2)</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56</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William C. Love (5)</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59</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45</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President - EZMONEY Division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Robert A. Kasenter</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62</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Senior Vice President of Administration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Jackson</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53</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Vice President and Chief Information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John R. Kissick</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66</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Vice President of Strategic 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Connie L. Kondik</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44</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Vice President, Secretary, and General Counsel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Michael Volpe</w:t>
            </w:r>
          </w:p>
        </w:tc>
        <w:tc>
          <w:tcPr>
            <w:tcW w:w="1200" w:type="dxa"/>
            <w:vAlign w:val="bottom"/>
            <w:gridSpan w:val="2"/>
          </w:tcPr>
          <w:p>
            <w:pPr>
              <w:jc w:val="center"/>
              <w:ind w:left="510"/>
              <w:spacing w:after="0" w:line="202" w:lineRule="exact"/>
              <w:rPr>
                <w:sz w:val="20"/>
                <w:szCs w:val="20"/>
                <w:color w:val="auto"/>
              </w:rPr>
            </w:pPr>
            <w:r>
              <w:rPr>
                <w:rFonts w:ascii="Arial" w:cs="Arial" w:eastAsia="Arial" w:hAnsi="Arial"/>
                <w:sz w:val="18"/>
                <w:szCs w:val="18"/>
                <w:color w:val="auto"/>
                <w:w w:val="99"/>
              </w:rPr>
              <w:t>44</w:t>
            </w:r>
          </w:p>
        </w:tc>
        <w:tc>
          <w:tcPr>
            <w:tcW w:w="602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Vice President - EZPAWN U.S. Operations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Rose</w:t>
            </w:r>
          </w:p>
        </w:tc>
        <w:tc>
          <w:tcPr>
            <w:tcW w:w="1200" w:type="dxa"/>
            <w:vAlign w:val="bottom"/>
            <w:gridSpan w:val="2"/>
            <w:shd w:val="clear" w:color="auto" w:fill="CCEEFF"/>
          </w:tcPr>
          <w:p>
            <w:pPr>
              <w:jc w:val="center"/>
              <w:ind w:left="510"/>
              <w:spacing w:after="0" w:line="202" w:lineRule="exact"/>
              <w:rPr>
                <w:sz w:val="20"/>
                <w:szCs w:val="20"/>
                <w:color w:val="auto"/>
              </w:rPr>
            </w:pPr>
            <w:r>
              <w:rPr>
                <w:rFonts w:ascii="Arial" w:cs="Arial" w:eastAsia="Arial" w:hAnsi="Arial"/>
                <w:sz w:val="18"/>
                <w:szCs w:val="18"/>
                <w:color w:val="auto"/>
                <w:w w:val="99"/>
              </w:rPr>
              <w:t>53</w:t>
            </w:r>
          </w:p>
        </w:tc>
        <w:tc>
          <w:tcPr>
            <w:tcW w:w="60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Vice President of Property Management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Daniel M. Chism</w:t>
            </w:r>
          </w:p>
        </w:tc>
        <w:tc>
          <w:tcPr>
            <w:tcW w:w="12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40</w:t>
            </w:r>
          </w:p>
        </w:tc>
        <w:tc>
          <w:tcPr>
            <w:tcW w:w="6020" w:type="dxa"/>
            <w:vAlign w:val="bottom"/>
            <w:gridSpan w:val="2"/>
          </w:tcPr>
          <w:p>
            <w:pPr>
              <w:ind w:left="600"/>
              <w:spacing w:after="0"/>
              <w:rPr>
                <w:sz w:val="20"/>
                <w:szCs w:val="20"/>
                <w:color w:val="auto"/>
              </w:rPr>
            </w:pPr>
            <w:r>
              <w:rPr>
                <w:rFonts w:ascii="Arial" w:cs="Arial" w:eastAsia="Arial" w:hAnsi="Arial"/>
                <w:sz w:val="18"/>
                <w:szCs w:val="18"/>
                <w:color w:val="auto"/>
              </w:rPr>
              <w:t>Controller and Assistant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Executive Committee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Section 401(k) Plan Committee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November 3, 2008, the following changes occurred in the composition of the committees of our Board of Directors: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Mr. Roberts was elected Lead Director, and remains a member of our Audit Committee and the Compensation Committee</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Mr. Love was elected Chairman of the Audit Committee, replacing Mr. Roberts in this role</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Mr. Sage is no longer a member of the Audit Committee, but remains Chairman of the Compensation Committee</w:t>
      </w:r>
    </w:p>
    <w:p>
      <w:pPr>
        <w:spacing w:after="0" w:line="10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Mr. Brinkley has served as either Chairman of the Board or Chairman of the Executive Committee of the Board of Directors of EZCORP since 1989. Mr. Brinkley serves as a Director of Albemarle &amp; Bond Holdings plc, of which we own just under 30%. In addition, Mr. Brinkley was President and Chairman of the Board of MS Pawn Corporation, the general partner of MS Pawn Limited Partnership until 2004. Mr. Brinkley served as Chairman of the Board, Chairman of the Executive Committee, or Chief Executive Officer of Crescent Jewelers, Inc., an affiliate of EZCORP from 1988 to March 2005. Crescent Jewelers, a private company, filed for Chapter 11 bankruptcy protection in August 2004. From 1990 to December 2003, he served as Chairman of the Board or Chairman of the Executive Committee of Friedman’s, Inc., a publicly traded affiliate of EZCORP. Friedman’s, Inc. filed for Chapter 11 bankruptcy in January 2005. See “Security Ownership of Certain Beneficial Owners and Management.”</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Rotunda joined us as Director, President and Chief Operating Officer in February 2000 and assumed the role of Chief Executive Officer in August 2000. From 1998 to 2000, he was Chief Operating Officer of G&amp;K Services, Inc., a $500 million provider of uniform and textile products. From 1991 to 1998 he progressed through several officer positions to Executive Vice President and Chief Operating Officer of Rent-A-Center. Mr. Rotunda also currently serves as a Director of Easyhome, Ltd., Toronto, Canada.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Mr. Tonissen has served as EZCORP’s Senior Vice President and Chief Financial Officer since August 1994. Mr. Tonissen has also been a member of our Board of Directors since August 1994.</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Matzner has served as an independent EZCORP Director since July 2002. He has been a Shareholder with the law firm of Akerman Senterfitt since November 2007. He was Of-Counsel with the law firm of McDermott, Will &amp; Emery from August 2002 to October 2007, and was the Mayor of the Village of Pinecrest, Florida from November 2004 to November 5, 2008. From 1997 to July 2002, Mr. Matzner was President of Nobel Health Services, Inc., a provider of health care consulting services. From 1999 to May 2001, Mr. Matzner was also President of Oakridge Outpatient Center, Inc.</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Roberts has served as an independent EZCORP Director since January 2005, and as Lead Director since November 2008. He also served as Chairman of the Audit Committee of our Board of Directors from January 2005 to November 2008. Since 1990, Mr. Roberts has been a private investor and is currently Chairman of the Board of Directors and Chairman of the Trust Committee of Pensco, Inc., a financial services company. From 1985 until 1989, he was President of Control Data Computer Systems and Services and a member of the Control Data Board of Directors. From 1970 to 1985, Mr. Roberts was with Schlumberger, Ltd., where he was President of Schlumberger’s worldwide electronics operations from 1979 until 1985 and an Executive Vice President and Chief Financial Officer from 1977 to 1979.</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Sage has served as an independent EZCORP Director since July 1995, and is the Chairman of the Compensation Committee of our Board of Directors. Since June 1993, he has been associated with Sage Law Offices in Miami, Florida. Mr. Sage was a Director of Champion Healthcare Corporation from January 1995 to August 1996. He was a co-founder of AmeriHealth, Inc., which owned and managed hospitals. He served as Treasurer of AmeriHealth, Inc. from April 1983 to October 1995 and was a Director of AmeriHealth, Inc. from April 1983 to December 1994.</w:t>
      </w:r>
    </w:p>
    <w:p>
      <w:pPr>
        <w:spacing w:after="0" w:line="95"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Mr. Edwards has served as an independent EZCORP Director since June 2007. In 2006, he retired as the Senior Vice President of International Marketing with the National Western Life Insurance Company. During his thirty-year career at National Western Life, he had responsibility for international business development, marketing and policy owner services throughout the world.</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Love has served as an independent EZCORP Director since October 1, 2008, and as Chairman of the Audit Committee of our Board of Directors since November 2008. Mr. Love is a Texas licensed Certified Public Accountant and Certified Valuation Analyst, and since January 1993 has practiced public accounting in the Austin, Texas based William C. Love accounting firm. From 1972 to 1993, Mr. Love worked with the accounting firm of KPMG Peat Marwick and its predecessors, including appointments as Partner in Charge of Audit, Partner in Charge of Tax and Managing Partner of its Austin, Texas office.</w:t>
      </w:r>
    </w:p>
    <w:p>
      <w:pPr>
        <w:spacing w:after="0" w:line="95"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Mr. Fosse joined EZCORP in September 2004 as Vice President of EZMONEY Operations. In August 2007, Mr. Fosse was promoted to President — EZMONEY Division. From 1991 to 2004, Mr. Fosse was employed in various operating positions and ultimately served as a Regional Vice President of G&amp;K Services, a $500 million provider of uniform and textile products.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Kasenter joined EZCORP in August 2003 as Vice President of Human Resources and in October 2004 was promoted to Senior Vice President of Administration. He was a Director of the Donnkenny Apparel Board from 2001 to April 2005, at which time Donnkenny filed for Chapter 11 bankruptcy protection and was sold. Mr. Kasenter was the President &amp; Chief Executive Officer of Strategic Executive Actions, a Chicago-based management consulting firm specializing in human resource crisis issues from 1999 to 2003. From 1968 to 1999, Mr. Kasenter was employed in various operating and administrative positions and ultimately served as the Executive Vice President of Human Resources and Corporate Communications for Montgomery Ward.</w:t>
      </w:r>
    </w:p>
    <w:p>
      <w:pPr>
        <w:spacing w:after="0" w:line="97"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Mr. Jackson joined EZCORP in May 2004 as Vice President &amp; Chief Information Officer. He was Chief Information Officer at DuPont Photomasks, Inc. from 1997 to 2004 where he also served as Controller from 1995 to 1996.</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Kissick has served as Vice President of Strategic Development since August 2001. From 1998 to 2001, Mr. Kissick was Managing Director of Strategic Development Partners, a strategy and business development consulting firm located in Wichita, Kansas. From 1991 to 1998 he served as Vice President of Strategic Planning for Rent-A-Center.</w:t>
      </w:r>
    </w:p>
    <w:p>
      <w:pPr>
        <w:spacing w:after="0" w:line="95"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Ms. Kondik has served as General Counsel since June 2000, Secretary since January 2001 and Vice President since January 2003. From June 1995 to June 2000, Ms. Kondik served as Sr. Associate General Counsel, Vice-President and Assistant Secretary of Empire Funding Corp. and TMI Financial, Inc., a national sub-prime mortgage lender and servicer.</w:t>
      </w:r>
    </w:p>
    <w:p>
      <w:pPr>
        <w:spacing w:after="0" w:line="9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Mr. Volpe joined us in October 2003 as Vice President of EZPAWN Operations and served in that capacity until September 2007. From September 2007 to January 2008, he served as Vice President of our EZMONEY Division. In January 2008, he returned to our pawn division and currently serves as the Vice President of U.S. Pawn Operations. Prior to joining EZCORP, Mr. Volpe held various operations positions of increasing responsibility in the retail industry, for Toys “R” Us from 2001 to 2003 and Montgomery Ward for the ten prior years.</w:t>
      </w:r>
    </w:p>
    <w:p>
      <w:pPr>
        <w:spacing w:after="0" w:line="9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Rose has served as our Vice President of Property Management since September 2008. From 2005 to 2008 he worked within the retail industry as an independent development consultant to retailers and shopping center developers throughout the southern United States. From 1987 to 2005, he served in multiple regional and national leadership positions, including Director of Construction and Facilities, Vice President of Development Services and Vice President of Development for Blockbuster, Inc.</w:t>
      </w:r>
    </w:p>
    <w:p>
      <w:pPr>
        <w:spacing w:after="0" w:line="9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Mr. Chism has served as our Controller and Assistant Secretary since August 1999. From 1996 to 1999, Mr. Chism served as Audit Manager for Ernst &amp; Young LLP, where he also served as an audit senior and audit staff member from 1991 to 1995.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Effective November 3, 2008, the following changes occurred in the composition of the committees of our Board of Directors:</w:t>
      </w:r>
    </w:p>
    <w:p>
      <w:pPr>
        <w:spacing w:after="0" w:line="10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Mr. Roberts was elected Lead Director, and remains a member of our Audit Committee and the Compensation Committee</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Mr. Love was elected Chairman of the Audit Committee, replacing Mr. Roberts in this role</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Mr. Sage is no longer a member of the Audit Committee, but remains Chairman of the Compensation Committee</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Board of Directors held eight meetings during the year ended September 30, 2008. The Board of Directors has appointed four standing committees: an Executive Committee, an Audit Committee, a Compensation Committee and a Section 401(k) Plan Committee. During fiscal 2008, the Board appointed a special committee of the four independent directors for the limited purpose of reviewing our relationship with Madison Park, a related party.</w:t>
      </w:r>
    </w:p>
    <w:p>
      <w:pPr>
        <w:spacing w:after="0" w:line="9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members of the Executive Committee for fiscal 2008 were Mr. Brinkley, Mr. Rotunda and Mr. Tonissen. The Executive Committee held several informal meetings during fiscal 2008, and all members attended.</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Audit Committee, comprised of Messrs. Roberts, Sage and Matzner, held six meetings in fiscal 2008, and all members attended. All Audit Committee members are independent directors and are financially literate. The Board of Directors previously determined that Mr. Roberts, the committee’s chairman through November 2008, is an “audit committee financial expert” as defined in the applicable rules and regulations of the Securities and Exchange Act of 1934. The Audit Committee reviewed this annual report and approved its inclusion in this Form 10-K. The Audit Committee discussed auditor independence with our independent registered public accounting firm, BDO Seidman, LLP, and received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 letter from them regarding BDO Seidman’s independence. In November 2008, Mr. Love was elected Chairman of the Audit Committee and our Board of Directors has determined that Mr. Love is an “audit committee financial expert” as defined in the applicable rules and regulations of the Securities and Exchange Act of 1934.</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Compensation Committee, comprised of Mr. Sage, Mr. Roberts and Mr. Edwards, held six formal meetings and several informal meetings during fiscal 2008.</w:t>
      </w:r>
    </w:p>
    <w:p>
      <w:pPr>
        <w:spacing w:after="0" w:line="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committee that administers the Section 401(k) Plan consists of Mr. Rotunda and Mr. Tonissen. Both members attended the one informal meeting held by the 401(k) Committee during fiscal 2008. All fiscal 2008 actions of this committee were by Written Unanimous Consents or by board resolutions.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directors attended at least 75% of the total number of meetings of the Board and of the committees on which they serve.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independent directors held four formal meetings and several informal meetings during fiscal 2008.</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NASDAQ stock market, where our stock is traded, typically requires registrants’ boards to utilize a nominating committee to nominate prospective members of the board. EZCORP is a controlled company, with all its voting stock controlled by one individual. Accordingly, we are exempt from the requirement to have a nominating committee, and our voting shareholder elects our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in place a Code of Conduct and Ethics applicable to all employees, as well as the Board of Directors and executive officers. Copies of our Code of Conduct and Ethics are available, free of charge by submitting a written request to EZCORP, Inc., Investor Relations, 1901 Capital Parkway, Austin, Texas 78746 or may be obtained from the Investor Relations section of our website at </w:t>
      </w:r>
      <w:r>
        <w:rPr>
          <w:rFonts w:ascii="Arial" w:cs="Arial" w:eastAsia="Arial" w:hAnsi="Arial"/>
          <w:sz w:val="18"/>
          <w:szCs w:val="18"/>
          <w:u w:val="single" w:color="auto"/>
          <w:color w:val="auto"/>
        </w:rPr>
        <w:t>www.ezcorp.com</w:t>
      </w:r>
      <w:r>
        <w:rPr>
          <w:rFonts w:ascii="Arial" w:cs="Arial" w:eastAsia="Arial" w:hAnsi="Arial"/>
          <w:sz w:val="18"/>
          <w:szCs w:val="18"/>
          <w:color w:val="auto"/>
        </w:rPr>
        <w:t>. The Code of Conduct and Ethics also contains contact information for any security holder to contact our Board of Directors or General Counsel.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Compensation Committee Charters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We have in place charters for our Board of Directors’ Audit Committee and Compensation Committee. Copies of both charters may be obtained from the Investor Relations section of our website at </w:t>
      </w:r>
      <w:r>
        <w:rPr>
          <w:rFonts w:ascii="Arial" w:cs="Arial" w:eastAsia="Arial" w:hAnsi="Arial"/>
          <w:sz w:val="18"/>
          <w:szCs w:val="18"/>
          <w:u w:val="single" w:color="auto"/>
          <w:color w:val="auto"/>
        </w:rPr>
        <w:t>www.ezcorp.com</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Based primarily on statements received from officers and directors and a review of the relevant Forms 3, 4 and 5, all officers, directors and beneficial owners of more than ten percent of any class of equity securities were timely, except as noted below, throughout the fiscal year in filing all reports required by Section 16(a) of the Exchange Act.</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Eric Fosse filed a Form 5 on November 13, 2007 reporting, among other things, a July 2006 forfeiture of EZCORP stock related to his excess contributions to our 401(k) plan. The forfeiture should have been reported on a Form 5 by November 14, 2006, which was 364 days prior to the date the forfeiture was reported.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11.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1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Compensation Committee of the Board of Directors is responsible for establishing and implementing our compensation policies and monitoring our compensation practices. The Compensation Committee ensures that the executive officers’ total compensation is fair, reasonable and competitive. The Compensation Committee is responsible for reviewing and approving all officer compensation and equity-based compensation plans.</w:t>
      </w:r>
    </w:p>
    <w:p>
      <w:pPr>
        <w:spacing w:after="0" w:line="180" w:lineRule="exact"/>
        <w:rPr>
          <w:sz w:val="20"/>
          <w:szCs w:val="20"/>
          <w:color w:val="auto"/>
        </w:rPr>
      </w:pPr>
    </w:p>
    <w:p>
      <w:pPr>
        <w:ind w:right="5200"/>
        <w:spacing w:after="0" w:line="372" w:lineRule="auto"/>
        <w:rPr>
          <w:sz w:val="20"/>
          <w:szCs w:val="20"/>
          <w:color w:val="auto"/>
        </w:rPr>
      </w:pPr>
      <w:r>
        <w:rPr>
          <w:rFonts w:ascii="Arial" w:cs="Arial" w:eastAsia="Arial" w:hAnsi="Arial"/>
          <w:sz w:val="18"/>
          <w:szCs w:val="18"/>
          <w:b w:val="1"/>
          <w:bCs w:val="1"/>
          <w:color w:val="auto"/>
        </w:rPr>
        <w:t xml:space="preserve">Philosophy and Goals of EZCORP’s Executive Compensation Plans </w:t>
      </w:r>
      <w:r>
        <w:rPr>
          <w:rFonts w:ascii="Arial" w:cs="Arial" w:eastAsia="Arial" w:hAnsi="Arial"/>
          <w:sz w:val="18"/>
          <w:szCs w:val="18"/>
          <w:color w:val="auto"/>
        </w:rPr>
        <w:t>The Compensation Committee’s philosophy for executive compensation is to:</w:t>
      </w:r>
    </w:p>
    <w:p>
      <w:pPr>
        <w:spacing w:after="0" w:line="2" w:lineRule="exact"/>
        <w:rPr>
          <w:sz w:val="20"/>
          <w:szCs w:val="20"/>
          <w:color w:val="auto"/>
        </w:rPr>
      </w:pPr>
    </w:p>
    <w:p>
      <w:pPr>
        <w:ind w:left="1120" w:right="14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for performance. The Compensation Committee believes that our executives should be compensated based upon their ability to achieve specific operational and strategic results. Therefore, our compensation plans are designed to provide rewards for the individual’s contribution to our performance.</w:t>
      </w:r>
    </w:p>
    <w:p>
      <w:pPr>
        <w:spacing w:after="0" w:line="108" w:lineRule="exact"/>
        <w:rPr>
          <w:rFonts w:ascii="Arial" w:cs="Arial" w:eastAsia="Arial" w:hAnsi="Arial"/>
          <w:sz w:val="18"/>
          <w:szCs w:val="18"/>
          <w:color w:val="auto"/>
        </w:rPr>
      </w:pPr>
    </w:p>
    <w:p>
      <w:pPr>
        <w:ind w:left="1120" w:right="20" w:hanging="437"/>
        <w:spacing w:after="0" w:line="239"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commensurate with other companies categorized as value creators. The Compensation Committee has determined that compensation levels for named executives should be at the 75</w:t>
      </w:r>
      <w:r>
        <w:rPr>
          <w:rFonts w:ascii="Arial" w:cs="Arial" w:eastAsia="Arial" w:hAnsi="Arial"/>
          <w:sz w:val="15"/>
          <w:szCs w:val="15"/>
          <w:color w:val="auto"/>
        </w:rPr>
        <w:t>th</w:t>
      </w:r>
      <w:r>
        <w:rPr>
          <w:rFonts w:ascii="Arial" w:cs="Arial" w:eastAsia="Arial" w:hAnsi="Arial"/>
          <w:sz w:val="18"/>
          <w:szCs w:val="18"/>
          <w:color w:val="auto"/>
        </w:rPr>
        <w:t xml:space="preserve"> percentile for similar executives in the workforce. This allows us to attract, hire, reward and retain executives who continue to formulate and execute our strategic plans and drive exceptional results.</w:t>
      </w:r>
    </w:p>
    <w:p>
      <w:pPr>
        <w:spacing w:after="0" w:line="9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To ensure programs are competitive, the Compensation Committee reviews compensation information of peer companies, national data and trends in executive compensation to help determine the appropriateness of our plans and compensation levels. These reviews become the basis for the Compensation Committee’s decisions on compensation plans and individual executive compensation payments.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Committee has approved a variety of programs that work together to provide a combination of basic compensation and strong incentives. While it is important for us to provide certain base level salaries and benefits to remain competitive, the Compensation Committee’s objective is to provide compensation plans with incentive opportunities that motivate and reward executives for achieving superior results. The Compensation Committee designs our compensation plans to:</w:t>
      </w:r>
    </w:p>
    <w:p>
      <w:pPr>
        <w:spacing w:after="0" w:line="94" w:lineRule="exact"/>
        <w:rPr>
          <w:sz w:val="20"/>
          <w:szCs w:val="20"/>
          <w:color w:val="auto"/>
        </w:rPr>
      </w:pPr>
    </w:p>
    <w:p>
      <w:pPr>
        <w:ind w:left="1120" w:hanging="4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Reward executives based upon overall company performance, their individual contributions and creation of shareholder value;</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top performers to make a long-term commitment to our company, and</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executive incentive plans with the long-term interests of the shareholders.</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Compensation Committee reviews competitive information and individual compensation levels before each fiscal year. During the review process, the Compensation Committee addresses the following questions:</w:t>
      </w:r>
    </w:p>
    <w:p>
      <w:pPr>
        <w:spacing w:after="0" w:line="89" w:lineRule="exact"/>
        <w:rPr>
          <w:sz w:val="20"/>
          <w:szCs w:val="20"/>
          <w:color w:val="auto"/>
        </w:rPr>
      </w:pPr>
    </w:p>
    <w:p>
      <w:pPr>
        <w:ind w:left="1120" w:right="980" w:hanging="437"/>
        <w:spacing w:after="0" w:line="246" w:lineRule="auto"/>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Do any existing compensation plans need to be adjusted to reflect changes in competitive practices, different market circumstances or changes to our strategic initiatives?</w:t>
      </w:r>
    </w:p>
    <w:p>
      <w:pPr>
        <w:spacing w:after="0" w:line="102"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Should any existing compensation plans be eliminated or new plans added to the executive compensation programs?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20" w:hanging="437"/>
        <w:spacing w:after="0"/>
        <w:tabs>
          <w:tab w:leader="none" w:pos="11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What are the compensation-related objectives for our Incentive Compensation Plan for the upcoming fiscal year?</w:t>
      </w:r>
    </w:p>
    <w:p>
      <w:pPr>
        <w:spacing w:after="0" w:line="117" w:lineRule="exact"/>
        <w:rPr>
          <w:rFonts w:ascii="Arial" w:cs="Arial" w:eastAsia="Arial" w:hAnsi="Arial"/>
          <w:sz w:val="18"/>
          <w:szCs w:val="18"/>
          <w:b w:val="1"/>
          <w:bCs w:val="1"/>
          <w:color w:val="auto"/>
        </w:rPr>
      </w:pPr>
    </w:p>
    <w:p>
      <w:pPr>
        <w:ind w:left="1120" w:right="140" w:hanging="437"/>
        <w:spacing w:after="0" w:line="246" w:lineRule="auto"/>
        <w:tabs>
          <w:tab w:leader="none" w:pos="11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Based upon individual performance, what compensation modifications should be made to motivate key executives to perform at superior levels?</w:t>
      </w:r>
    </w:p>
    <w:p>
      <w:pPr>
        <w:spacing w:after="0" w:line="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addressing these questions, the Compensation Committee considers input from management, outside compensation experts and published surveys of compensation levels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Authority of the Compensation Committee</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Board of Directors has authorized the Compensation Committee to establish the compensation of all executive officers and to provide oversight for compliance with the Company’s compensation philosophy. Annually, the Compensation Committee sets the compensation for all named executive officers, including objectives and awards under incentive plans. The Compensation Committee also makes recommendations to the Board of Directors on appropriate compensation for the independent directors. In addition to overseeing the compensation of named executive officers and executives with base salaries over $150,000 annually, the Compensation Committee approves and administers all compensation and benefit plans for all other officers. The Compensation Committee operates under a charter that is available In the Investor Relations — Corporate Governance section of our website, www.ezcorp.com.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Compensation Expertise</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Compensation Committee is authorized to retain independent experts to assist in evaluating executive compensation plans and in setting executive compensation levels. These experts provide information on trends and best practices so the Compensation Committee can formulate ongoing plans for executive compensation. The Compensation Committee retained Longnecker and Associates as its independent expert to assist in the determination of the reasonableness and competitiveness of the 2008 executive compensation plans and individual compensation levels. Additionally, the Compensation Committee hired Towers Perrin to study competitive compensation practices for the positions of President/CEO and Chairman of the Board. In evaluating the executive compensation plans for fiscal 2009, the Compensation Committee used only Towers Perrin.</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Longnecker and Associates performed a benchmark compensation review of our key executive positions, including the named executive officers. Longnecker and Associates utilized market compensation data from the following published survey sources on retail trade and used-merchandise industries with the surveyed companies’ reported compensation data, adjusted for revenue differences to be comparable to ours:</w:t>
      </w:r>
    </w:p>
    <w:p>
      <w:pPr>
        <w:spacing w:after="0" w:line="95" w:lineRule="exact"/>
        <w:rPr>
          <w:sz w:val="20"/>
          <w:szCs w:val="20"/>
          <w:color w:val="auto"/>
        </w:rPr>
      </w:pPr>
    </w:p>
    <w:p>
      <w:pPr>
        <w:ind w:left="1120" w:hanging="437"/>
        <w:spacing w:after="0"/>
        <w:tabs>
          <w:tab w:leader="none" w:pos="11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Economic Research Institute Executive Compensation Assessor 2007</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Watson Wyatt, 2006/2007 Top Management Compensation — Industry Report</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Watson Wyatt, 2007/2008 Top Management Compensation — Regression Analysis Report</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2007 Mercer Benchmark Database Executive Report</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World-at-Work, 2007/2008 Total Salary Increase Budget Survey</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evaluating appropriate executive compensation, it is common practice to set targets at a point within the competitive marketplace. If one were targeting the median of the competitive market, the compensation target would be at the 50</w:t>
      </w:r>
      <w:r>
        <w:rPr>
          <w:rFonts w:ascii="Arial" w:cs="Arial" w:eastAsia="Arial" w:hAnsi="Arial"/>
          <w:sz w:val="15"/>
          <w:szCs w:val="15"/>
          <w:color w:val="auto"/>
        </w:rPr>
        <w:t>th</w:t>
      </w:r>
      <w:r>
        <w:rPr>
          <w:rFonts w:ascii="Arial" w:cs="Arial" w:eastAsia="Arial" w:hAnsi="Arial"/>
          <w:sz w:val="18"/>
          <w:szCs w:val="18"/>
          <w:color w:val="auto"/>
        </w:rPr>
        <w:t xml:space="preserve"> percentile. The Compensation Committee sets its competitive compensation levels based upon its compensation philosophy. Comparisons to the market are often made using the 50</w:t>
      </w:r>
      <w:r>
        <w:rPr>
          <w:rFonts w:ascii="Arial" w:cs="Arial" w:eastAsia="Arial" w:hAnsi="Arial"/>
          <w:sz w:val="15"/>
          <w:szCs w:val="15"/>
          <w:color w:val="auto"/>
        </w:rPr>
        <w:t>th</w:t>
      </w:r>
      <w:r>
        <w:rPr>
          <w:rFonts w:ascii="Arial" w:cs="Arial" w:eastAsia="Arial" w:hAnsi="Arial"/>
          <w:sz w:val="18"/>
          <w:szCs w:val="18"/>
          <w:color w:val="auto"/>
        </w:rPr>
        <w:t xml:space="preserve"> percentile for companies that are value maintainers and the 75</w:t>
      </w:r>
      <w:r>
        <w:rPr>
          <w:rFonts w:ascii="Arial" w:cs="Arial" w:eastAsia="Arial" w:hAnsi="Arial"/>
          <w:sz w:val="15"/>
          <w:szCs w:val="15"/>
          <w:color w:val="auto"/>
        </w:rPr>
        <w:t>th</w:t>
      </w:r>
      <w:r>
        <w:rPr>
          <w:rFonts w:ascii="Arial" w:cs="Arial" w:eastAsia="Arial" w:hAnsi="Arial"/>
          <w:sz w:val="18"/>
          <w:szCs w:val="18"/>
          <w:color w:val="auto"/>
        </w:rPr>
        <w:t xml:space="preserve"> percentile for value creators. Based upon the Longnecker study, the creation of shareholder value and revenue and earnings growth over the last three years, the Compensation Committee determined that the company is a value creator, and set the total compensation target for named executive positions at the 75</w:t>
      </w:r>
      <w:r>
        <w:rPr>
          <w:rFonts w:ascii="Arial" w:cs="Arial" w:eastAsia="Arial" w:hAnsi="Arial"/>
          <w:sz w:val="15"/>
          <w:szCs w:val="15"/>
          <w:color w:val="auto"/>
        </w:rPr>
        <w:t>th</w:t>
      </w:r>
      <w:r>
        <w:rPr>
          <w:rFonts w:ascii="Arial" w:cs="Arial" w:eastAsia="Arial" w:hAnsi="Arial"/>
          <w:sz w:val="18"/>
          <w:szCs w:val="18"/>
          <w:color w:val="auto"/>
        </w:rPr>
        <w:t xml:space="preserve"> percentile of total compensation for the competitive market.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Companies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to the above survey analysis, the Compensation Committee also reviewed the compensation levels at specific competitive benchmark companies. With input from management, the Compensation Committee chose the peer companies because they are direct competitors within our industry, have similar business models to our company and have comparable key executive positions. While the specific plans for these companies may or may not be used, it is helpful to review their compensation data to provide benchmarks for the overall compensation levels that will be used to attract, hire, retain and motivate our executives.</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direct competitors and similarly situated companies that compete for the same executive talent, the peer group companies in the following table most closely matched the responsibilities and requirements of our executives. The Compensation Committee used these competitors’ publicly available compensation information to analyze our competitive position in the industry. The Compensation Committee reviewed the base salaries, short-term and long term incentive plans and benefits of the executives of these companies to provide background and perspective in analyzing the compensation levels for our executives.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peer companies selected by the Compensation Committee for comparisons.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360" w:type="dxa"/>
            <w:vAlign w:val="bottom"/>
            <w:gridSpan w:val="3"/>
          </w:tcPr>
          <w:p>
            <w:pPr>
              <w:ind w:left="740"/>
              <w:spacing w:after="0"/>
              <w:rPr>
                <w:sz w:val="20"/>
                <w:szCs w:val="20"/>
                <w:color w:val="auto"/>
              </w:rPr>
            </w:pPr>
            <w:r>
              <w:rPr>
                <w:rFonts w:ascii="Arial" w:cs="Arial" w:eastAsia="Arial" w:hAnsi="Arial"/>
                <w:sz w:val="18"/>
                <w:szCs w:val="18"/>
                <w:b w:val="1"/>
                <w:bCs w:val="1"/>
                <w:color w:val="auto"/>
              </w:rPr>
              <w:t>COMPENSATION PEER GROUP COMPANIES</w:t>
            </w:r>
          </w:p>
        </w:tc>
      </w:tr>
      <w:tr>
        <w:trPr>
          <w:trHeight w:val="351"/>
        </w:trPr>
        <w:tc>
          <w:tcPr>
            <w:tcW w:w="20" w:type="dxa"/>
            <w:vAlign w:val="bottom"/>
          </w:tcPr>
          <w:p>
            <w:pPr>
              <w:spacing w:after="0"/>
              <w:rPr>
                <w:sz w:val="24"/>
                <w:szCs w:val="24"/>
                <w:color w:val="auto"/>
              </w:rPr>
            </w:pPr>
          </w:p>
        </w:tc>
        <w:tc>
          <w:tcPr>
            <w:tcW w:w="304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Company</w:t>
            </w:r>
          </w:p>
        </w:tc>
        <w:tc>
          <w:tcPr>
            <w:tcW w:w="9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840" w:type="dxa"/>
            <w:vAlign w:val="bottom"/>
            <w:tcBorders>
              <w:bottom w:val="single" w:sz="8" w:color="auto"/>
            </w:tcBorders>
          </w:tcPr>
          <w:p>
            <w:pPr>
              <w:ind w:left="3120"/>
              <w:spacing w:after="0"/>
              <w:rPr>
                <w:sz w:val="20"/>
                <w:szCs w:val="20"/>
                <w:color w:val="auto"/>
              </w:rPr>
            </w:pPr>
            <w:r>
              <w:rPr>
                <w:rFonts w:ascii="Arial" w:cs="Arial" w:eastAsia="Arial" w:hAnsi="Arial"/>
                <w:sz w:val="14"/>
                <w:szCs w:val="14"/>
                <w:color w:val="auto"/>
              </w:rPr>
              <w:t>Business</w:t>
            </w:r>
          </w:p>
        </w:tc>
      </w:tr>
      <w:tr>
        <w:trPr>
          <w:trHeight w:val="195"/>
        </w:trPr>
        <w:tc>
          <w:tcPr>
            <w:tcW w:w="20" w:type="dxa"/>
            <w:vAlign w:val="bottom"/>
          </w:tcPr>
          <w:p>
            <w:pPr>
              <w:spacing w:after="0"/>
              <w:rPr>
                <w:sz w:val="16"/>
                <w:szCs w:val="16"/>
                <w:color w:val="auto"/>
              </w:rPr>
            </w:pPr>
          </w:p>
        </w:tc>
        <w:tc>
          <w:tcPr>
            <w:tcW w:w="3040" w:type="dxa"/>
            <w:vAlign w:val="bottom"/>
          </w:tcPr>
          <w:p>
            <w:pPr>
              <w:spacing w:after="0" w:line="195" w:lineRule="exact"/>
              <w:rPr>
                <w:sz w:val="20"/>
                <w:szCs w:val="20"/>
                <w:color w:val="auto"/>
              </w:rPr>
            </w:pPr>
            <w:r>
              <w:rPr>
                <w:rFonts w:ascii="Arial" w:cs="Arial" w:eastAsia="Arial" w:hAnsi="Arial"/>
                <w:sz w:val="18"/>
                <w:szCs w:val="18"/>
                <w:color w:val="auto"/>
              </w:rPr>
              <w:t>Advance America</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40" w:type="dxa"/>
            <w:vAlign w:val="bottom"/>
          </w:tcPr>
          <w:p>
            <w:pPr>
              <w:spacing w:after="0" w:line="195" w:lineRule="exact"/>
              <w:rPr>
                <w:sz w:val="20"/>
                <w:szCs w:val="20"/>
                <w:color w:val="auto"/>
              </w:rPr>
            </w:pPr>
            <w:r>
              <w:rPr>
                <w:rFonts w:ascii="Arial" w:cs="Arial" w:eastAsia="Arial" w:hAnsi="Arial"/>
                <w:sz w:val="18"/>
                <w:szCs w:val="18"/>
                <w:color w:val="auto"/>
              </w:rPr>
              <w:t>Payday Lending</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Cash America</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Pawn and Payday Lending</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Dollar Financial</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Payday Lending</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First Cash Financial Services</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Pawn and Payday Lending</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World Acceptance Corp.</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Small Loans</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Casual Male Retail Group</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Retail</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Consumer Portfolio Services</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Specialty Finance</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Advanta Corp</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Credit Card</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Joseph A Banks Clothiers</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Retail</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Aeropostale, Inc</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Retail</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Tween Brands</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Retail</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Select Comfort</w:t>
            </w:r>
          </w:p>
        </w:tc>
        <w:tc>
          <w:tcPr>
            <w:tcW w:w="940" w:type="dxa"/>
            <w:vAlign w:val="bottom"/>
          </w:tcPr>
          <w:p>
            <w:pPr>
              <w:spacing w:after="0"/>
              <w:rPr>
                <w:sz w:val="17"/>
                <w:szCs w:val="17"/>
                <w:color w:val="auto"/>
              </w:rPr>
            </w:pPr>
          </w:p>
        </w:tc>
        <w:tc>
          <w:tcPr>
            <w:tcW w:w="74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Retail</w:t>
            </w:r>
          </w:p>
        </w:tc>
      </w:tr>
      <w:tr>
        <w:trPr>
          <w:trHeight w:val="217"/>
        </w:trPr>
        <w:tc>
          <w:tcPr>
            <w:tcW w:w="3060" w:type="dxa"/>
            <w:vAlign w:val="bottom"/>
            <w:gridSpan w:val="2"/>
          </w:tcPr>
          <w:p>
            <w:pPr>
              <w:spacing w:after="0"/>
              <w:rPr>
                <w:sz w:val="20"/>
                <w:szCs w:val="20"/>
                <w:color w:val="auto"/>
              </w:rPr>
            </w:pPr>
            <w:r>
              <w:rPr>
                <w:rFonts w:ascii="Arial" w:cs="Arial" w:eastAsia="Arial" w:hAnsi="Arial"/>
                <w:sz w:val="18"/>
                <w:szCs w:val="18"/>
                <w:color w:val="auto"/>
              </w:rPr>
              <w:t>First Marblehead Corp.</w:t>
            </w:r>
          </w:p>
        </w:tc>
        <w:tc>
          <w:tcPr>
            <w:tcW w:w="940" w:type="dxa"/>
            <w:vAlign w:val="bottom"/>
          </w:tcPr>
          <w:p>
            <w:pPr>
              <w:spacing w:after="0"/>
              <w:rPr>
                <w:sz w:val="18"/>
                <w:szCs w:val="18"/>
                <w:color w:val="auto"/>
              </w:rPr>
            </w:pPr>
          </w:p>
        </w:tc>
        <w:tc>
          <w:tcPr>
            <w:tcW w:w="7420" w:type="dxa"/>
            <w:vAlign w:val="bottom"/>
            <w:gridSpan w:val="2"/>
          </w:tcPr>
          <w:p>
            <w:pPr>
              <w:ind w:left="580"/>
              <w:spacing w:after="0"/>
              <w:rPr>
                <w:sz w:val="20"/>
                <w:szCs w:val="20"/>
                <w:color w:val="auto"/>
              </w:rPr>
            </w:pPr>
            <w:r>
              <w:rPr>
                <w:rFonts w:ascii="Arial" w:cs="Arial" w:eastAsia="Arial" w:hAnsi="Arial"/>
                <w:sz w:val="18"/>
                <w:szCs w:val="18"/>
                <w:color w:val="auto"/>
              </w:rPr>
              <w:t>Educational Loans</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Elements of Executive Compensation</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Base Salary:</w:t>
      </w:r>
    </w:p>
    <w:p>
      <w:pPr>
        <w:spacing w:after="0" w:line="126" w:lineRule="exact"/>
        <w:rPr>
          <w:sz w:val="20"/>
          <w:szCs w:val="20"/>
          <w:color w:val="auto"/>
        </w:rPr>
      </w:pPr>
    </w:p>
    <w:p>
      <w:pPr>
        <w:ind w:left="240" w:right="180"/>
        <w:spacing w:after="0" w:line="239" w:lineRule="auto"/>
        <w:rPr>
          <w:sz w:val="20"/>
          <w:szCs w:val="20"/>
          <w:color w:val="auto"/>
        </w:rPr>
      </w:pPr>
      <w:r>
        <w:rPr>
          <w:rFonts w:ascii="Arial" w:cs="Arial" w:eastAsia="Arial" w:hAnsi="Arial"/>
          <w:sz w:val="18"/>
          <w:szCs w:val="18"/>
          <w:color w:val="auto"/>
        </w:rPr>
        <w:t>Using information gathered by Longnecker &amp; Associates and Towers Perrin; peer company data; national surveys; general compensation trend information, and recommendations from management, the Compensation Committee approved the base salaries for our named executives. The Compensation Committee decided that when reviewing competitive compensation, the appropriate compensation level for our named executives is the 75</w:t>
      </w:r>
      <w:r>
        <w:rPr>
          <w:rFonts w:ascii="Arial" w:cs="Arial" w:eastAsia="Arial" w:hAnsi="Arial"/>
          <w:sz w:val="15"/>
          <w:szCs w:val="15"/>
          <w:color w:val="auto"/>
        </w:rPr>
        <w:t>th</w:t>
      </w:r>
      <w:r>
        <w:rPr>
          <w:rFonts w:ascii="Arial" w:cs="Arial" w:eastAsia="Arial" w:hAnsi="Arial"/>
          <w:sz w:val="18"/>
          <w:szCs w:val="18"/>
          <w:color w:val="auto"/>
        </w:rPr>
        <w:t xml:space="preserve"> percentile for the comparison companies and surveys.</w:t>
      </w:r>
    </w:p>
    <w:p>
      <w:pPr>
        <w:spacing w:after="0" w:line="94" w:lineRule="exact"/>
        <w:rPr>
          <w:sz w:val="20"/>
          <w:szCs w:val="20"/>
          <w:color w:val="auto"/>
        </w:rPr>
      </w:pPr>
    </w:p>
    <w:p>
      <w:pPr>
        <w:ind w:left="240" w:right="140"/>
        <w:spacing w:after="0"/>
        <w:rPr>
          <w:sz w:val="20"/>
          <w:szCs w:val="20"/>
          <w:color w:val="auto"/>
        </w:rPr>
      </w:pPr>
      <w:r>
        <w:rPr>
          <w:rFonts w:ascii="Arial" w:cs="Arial" w:eastAsia="Arial" w:hAnsi="Arial"/>
          <w:sz w:val="18"/>
          <w:szCs w:val="18"/>
          <w:color w:val="auto"/>
        </w:rPr>
        <w:t>Base salaries for named executives are set using the Compensation Committee’s philosophy that compensation should be competitive and based upon performance. Named executives should expect that their base salaries, coupled with a short-term incentive award would provide them the opportunity to be compensated at or above the competitive market at the 75</w:t>
      </w:r>
      <w:r>
        <w:rPr>
          <w:rFonts w:ascii="Arial" w:cs="Arial" w:eastAsia="Arial" w:hAnsi="Arial"/>
          <w:sz w:val="15"/>
          <w:szCs w:val="15"/>
          <w:color w:val="auto"/>
        </w:rPr>
        <w:t>th</w:t>
      </w:r>
      <w:r>
        <w:rPr>
          <w:rFonts w:ascii="Arial" w:cs="Arial" w:eastAsia="Arial" w:hAnsi="Arial"/>
          <w:sz w:val="18"/>
          <w:szCs w:val="18"/>
          <w:color w:val="auto"/>
        </w:rPr>
        <w:t xml:space="preserve"> percentile. Without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earning significant short-term incentive awards, base salaries for our named executives could fall below the competitive market.</w:t>
      </w:r>
    </w:p>
    <w:p>
      <w:pPr>
        <w:spacing w:after="0" w:line="104" w:lineRule="exact"/>
        <w:rPr>
          <w:sz w:val="20"/>
          <w:szCs w:val="20"/>
          <w:color w:val="auto"/>
        </w:rPr>
      </w:pPr>
    </w:p>
    <w:p>
      <w:pPr>
        <w:ind w:left="240" w:right="500"/>
        <w:spacing w:after="0"/>
        <w:rPr>
          <w:sz w:val="20"/>
          <w:szCs w:val="20"/>
          <w:color w:val="auto"/>
        </w:rPr>
      </w:pPr>
      <w:r>
        <w:rPr>
          <w:rFonts w:ascii="Arial" w:cs="Arial" w:eastAsia="Arial" w:hAnsi="Arial"/>
          <w:sz w:val="18"/>
          <w:szCs w:val="18"/>
          <w:color w:val="auto"/>
        </w:rPr>
        <w:t>Based on competitive reviews of similar positions, industry salary trends, overall company results and individual performance, salary increases may be approved from time-to -time. The Compensation Committee reviews and approves base salaries of named executive officers and any other employee with an annual base salary over $150,000.</w:t>
      </w:r>
    </w:p>
    <w:p>
      <w:pPr>
        <w:spacing w:after="0" w:line="95" w:lineRule="exact"/>
        <w:rPr>
          <w:sz w:val="20"/>
          <w:szCs w:val="20"/>
          <w:color w:val="auto"/>
        </w:rPr>
      </w:pPr>
    </w:p>
    <w:p>
      <w:pPr>
        <w:ind w:left="240" w:right="180"/>
        <w:spacing w:after="0"/>
        <w:rPr>
          <w:sz w:val="20"/>
          <w:szCs w:val="20"/>
          <w:color w:val="auto"/>
        </w:rPr>
      </w:pPr>
      <w:r>
        <w:rPr>
          <w:rFonts w:ascii="Arial" w:cs="Arial" w:eastAsia="Arial" w:hAnsi="Arial"/>
          <w:sz w:val="18"/>
          <w:szCs w:val="18"/>
          <w:color w:val="auto"/>
        </w:rPr>
        <w:t>For 2008, using data from national surveys, the Compensation Committee determined that the typical merit increase percentage for executive base salaries should be in the 3% to 15% range, excluding salary adjustments for promotions. Therefore, the merit increases for executives were targeted to be within that range.</w:t>
      </w:r>
    </w:p>
    <w:p>
      <w:pPr>
        <w:spacing w:after="0" w:line="95" w:lineRule="exact"/>
        <w:rPr>
          <w:sz w:val="20"/>
          <w:szCs w:val="20"/>
          <w:color w:val="auto"/>
        </w:rPr>
      </w:pPr>
    </w:p>
    <w:p>
      <w:pPr>
        <w:ind w:left="240" w:right="100"/>
        <w:spacing w:after="0"/>
        <w:rPr>
          <w:sz w:val="20"/>
          <w:szCs w:val="20"/>
          <w:color w:val="auto"/>
        </w:rPr>
      </w:pPr>
      <w:r>
        <w:rPr>
          <w:rFonts w:ascii="Arial" w:cs="Arial" w:eastAsia="Arial" w:hAnsi="Arial"/>
          <w:sz w:val="18"/>
          <w:szCs w:val="18"/>
          <w:color w:val="auto"/>
        </w:rPr>
        <w:t>During 2008, the base salary of the Chairman of the Board remained the same as 2007, but he was added to the Short Term Incentive Plan with a target bonus of 50% of his base salary. The following table shows the increases in base salaries that were approved for 2008 compared to the approved salaries for 2007: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BASE SALARY ADJUSTMENTS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4"/>
                <w:szCs w:val="14"/>
                <w:color w:val="auto"/>
              </w:rPr>
              <w:t>2007</w:t>
            </w:r>
          </w:p>
        </w:tc>
        <w:tc>
          <w:tcPr>
            <w:tcW w:w="1760" w:type="dxa"/>
            <w:vAlign w:val="bottom"/>
            <w:gridSpan w:val="2"/>
          </w:tcPr>
          <w:p>
            <w:pPr>
              <w:jc w:val="right"/>
              <w:ind w:right="379"/>
              <w:spacing w:after="0"/>
              <w:rPr>
                <w:sz w:val="20"/>
                <w:szCs w:val="20"/>
                <w:color w:val="auto"/>
              </w:rPr>
            </w:pPr>
            <w:r>
              <w:rPr>
                <w:rFonts w:ascii="Arial" w:cs="Arial" w:eastAsia="Arial" w:hAnsi="Arial"/>
                <w:sz w:val="14"/>
                <w:szCs w:val="14"/>
                <w:color w:val="auto"/>
              </w:rPr>
              <w:t>2008</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7"/>
        </w:trPr>
        <w:tc>
          <w:tcPr>
            <w:tcW w:w="6400" w:type="dxa"/>
            <w:vAlign w:val="bottom"/>
            <w:gridSpan w:val="2"/>
          </w:tcPr>
          <w:p>
            <w:pPr>
              <w:spacing w:after="0" w:line="157" w:lineRule="exact"/>
              <w:rPr>
                <w:sz w:val="20"/>
                <w:szCs w:val="20"/>
                <w:color w:val="auto"/>
              </w:rPr>
            </w:pPr>
            <w:r>
              <w:rPr>
                <w:rFonts w:ascii="Arial" w:cs="Arial" w:eastAsia="Arial" w:hAnsi="Arial"/>
                <w:sz w:val="14"/>
                <w:szCs w:val="14"/>
                <w:color w:val="auto"/>
              </w:rPr>
              <w:t>Named Executive Officer</w:t>
            </w:r>
          </w:p>
        </w:tc>
        <w:tc>
          <w:tcPr>
            <w:tcW w:w="500" w:type="dxa"/>
            <w:vAlign w:val="bottom"/>
          </w:tcPr>
          <w:p>
            <w:pPr>
              <w:spacing w:after="0"/>
              <w:rPr>
                <w:sz w:val="13"/>
                <w:szCs w:val="13"/>
                <w:color w:val="auto"/>
              </w:rPr>
            </w:pPr>
          </w:p>
        </w:tc>
        <w:tc>
          <w:tcPr>
            <w:tcW w:w="1280" w:type="dxa"/>
            <w:vAlign w:val="bottom"/>
          </w:tcPr>
          <w:p>
            <w:pPr>
              <w:jc w:val="right"/>
              <w:ind w:right="159"/>
              <w:spacing w:after="0" w:line="157" w:lineRule="exact"/>
              <w:rPr>
                <w:sz w:val="20"/>
                <w:szCs w:val="20"/>
                <w:color w:val="auto"/>
              </w:rPr>
            </w:pPr>
            <w:r>
              <w:rPr>
                <w:rFonts w:ascii="Arial" w:cs="Arial" w:eastAsia="Arial" w:hAnsi="Arial"/>
                <w:sz w:val="14"/>
                <w:szCs w:val="14"/>
                <w:color w:val="auto"/>
              </w:rPr>
              <w:t>Base Salary</w:t>
            </w:r>
          </w:p>
        </w:tc>
        <w:tc>
          <w:tcPr>
            <w:tcW w:w="500" w:type="dxa"/>
            <w:vAlign w:val="bottom"/>
          </w:tcPr>
          <w:p>
            <w:pPr>
              <w:spacing w:after="0"/>
              <w:rPr>
                <w:sz w:val="13"/>
                <w:szCs w:val="13"/>
                <w:color w:val="auto"/>
              </w:rPr>
            </w:pPr>
          </w:p>
        </w:tc>
        <w:tc>
          <w:tcPr>
            <w:tcW w:w="1260" w:type="dxa"/>
            <w:vAlign w:val="bottom"/>
          </w:tcPr>
          <w:p>
            <w:pPr>
              <w:jc w:val="right"/>
              <w:ind w:right="159"/>
              <w:spacing w:after="0" w:line="157" w:lineRule="exact"/>
              <w:rPr>
                <w:sz w:val="20"/>
                <w:szCs w:val="20"/>
                <w:color w:val="auto"/>
              </w:rPr>
            </w:pPr>
            <w:r>
              <w:rPr>
                <w:rFonts w:ascii="Arial" w:cs="Arial" w:eastAsia="Arial" w:hAnsi="Arial"/>
                <w:sz w:val="14"/>
                <w:szCs w:val="14"/>
                <w:color w:val="auto"/>
              </w:rPr>
              <w:t>Base Salary</w:t>
            </w:r>
          </w:p>
        </w:tc>
        <w:tc>
          <w:tcPr>
            <w:tcW w:w="500" w:type="dxa"/>
            <w:vAlign w:val="bottom"/>
          </w:tcPr>
          <w:p>
            <w:pPr>
              <w:spacing w:after="0"/>
              <w:rPr>
                <w:sz w:val="13"/>
                <w:szCs w:val="13"/>
                <w:color w:val="auto"/>
              </w:rPr>
            </w:pPr>
          </w:p>
        </w:tc>
        <w:tc>
          <w:tcPr>
            <w:tcW w:w="980" w:type="dxa"/>
            <w:vAlign w:val="bottom"/>
          </w:tcPr>
          <w:p>
            <w:pPr>
              <w:jc w:val="right"/>
              <w:ind w:right="139"/>
              <w:spacing w:after="0" w:line="157" w:lineRule="exact"/>
              <w:rPr>
                <w:sz w:val="20"/>
                <w:szCs w:val="20"/>
                <w:color w:val="auto"/>
              </w:rPr>
            </w:pPr>
            <w:r>
              <w:rPr>
                <w:rFonts w:ascii="Arial" w:cs="Arial" w:eastAsia="Arial" w:hAnsi="Arial"/>
                <w:sz w:val="14"/>
                <w:szCs w:val="14"/>
                <w:color w:val="auto"/>
              </w:rPr>
              <w:t>Increase</w:t>
            </w:r>
          </w:p>
        </w:tc>
      </w:tr>
      <w:tr>
        <w:trPr>
          <w:trHeight w:val="196"/>
        </w:trPr>
        <w:tc>
          <w:tcPr>
            <w:tcW w:w="20" w:type="dxa"/>
            <w:vAlign w:val="bottom"/>
          </w:tcPr>
          <w:p>
            <w:pPr>
              <w:spacing w:after="0"/>
              <w:rPr>
                <w:sz w:val="17"/>
                <w:szCs w:val="17"/>
                <w:color w:val="auto"/>
              </w:rPr>
            </w:pPr>
          </w:p>
        </w:tc>
        <w:tc>
          <w:tcPr>
            <w:tcW w:w="6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Joseph Rotunda</w:t>
            </w:r>
          </w:p>
        </w:tc>
        <w:tc>
          <w:tcPr>
            <w:tcW w:w="50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219"/>
              <w:spacing w:after="0" w:line="196" w:lineRule="exact"/>
              <w:rPr>
                <w:sz w:val="20"/>
                <w:szCs w:val="20"/>
                <w:color w:val="auto"/>
              </w:rPr>
            </w:pPr>
            <w:r>
              <w:rPr>
                <w:rFonts w:ascii="Arial" w:cs="Arial" w:eastAsia="Arial" w:hAnsi="Arial"/>
                <w:sz w:val="18"/>
                <w:szCs w:val="18"/>
                <w:color w:val="auto"/>
              </w:rPr>
              <w:t>$700,000</w:t>
            </w:r>
          </w:p>
        </w:tc>
        <w:tc>
          <w:tcPr>
            <w:tcW w:w="50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99"/>
              <w:spacing w:after="0" w:line="196" w:lineRule="exact"/>
              <w:rPr>
                <w:sz w:val="20"/>
                <w:szCs w:val="20"/>
                <w:color w:val="auto"/>
              </w:rPr>
            </w:pPr>
            <w:r>
              <w:rPr>
                <w:rFonts w:ascii="Arial" w:cs="Arial" w:eastAsia="Arial" w:hAnsi="Arial"/>
                <w:sz w:val="18"/>
                <w:szCs w:val="18"/>
                <w:color w:val="auto"/>
              </w:rPr>
              <w:t>$800,000</w:t>
            </w:r>
          </w:p>
        </w:tc>
        <w:tc>
          <w:tcPr>
            <w:tcW w:w="5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rPr>
              <w:t>14.3%</w:t>
            </w: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Sterling Brinkley</w:t>
            </w:r>
          </w:p>
        </w:tc>
        <w:tc>
          <w:tcPr>
            <w:tcW w:w="1780" w:type="dxa"/>
            <w:vAlign w:val="bottom"/>
            <w:gridSpan w:val="2"/>
          </w:tcPr>
          <w:p>
            <w:pPr>
              <w:jc w:val="right"/>
              <w:ind w:right="219"/>
              <w:spacing w:after="0" w:line="202" w:lineRule="exact"/>
              <w:rPr>
                <w:sz w:val="20"/>
                <w:szCs w:val="20"/>
                <w:color w:val="auto"/>
              </w:rPr>
            </w:pPr>
            <w:r>
              <w:rPr>
                <w:rFonts w:ascii="Arial" w:cs="Arial" w:eastAsia="Arial" w:hAnsi="Arial"/>
                <w:sz w:val="18"/>
                <w:szCs w:val="18"/>
                <w:color w:val="auto"/>
              </w:rPr>
              <w:t>625,000</w:t>
            </w:r>
          </w:p>
        </w:tc>
        <w:tc>
          <w:tcPr>
            <w:tcW w:w="1760" w:type="dxa"/>
            <w:vAlign w:val="bottom"/>
            <w:gridSpan w:val="2"/>
          </w:tcPr>
          <w:p>
            <w:pPr>
              <w:jc w:val="right"/>
              <w:ind w:right="199"/>
              <w:spacing w:after="0" w:line="202" w:lineRule="exact"/>
              <w:rPr>
                <w:sz w:val="20"/>
                <w:szCs w:val="20"/>
                <w:color w:val="auto"/>
              </w:rPr>
            </w:pPr>
            <w:r>
              <w:rPr>
                <w:rFonts w:ascii="Arial" w:cs="Arial" w:eastAsia="Arial" w:hAnsi="Arial"/>
                <w:sz w:val="18"/>
                <w:szCs w:val="18"/>
                <w:color w:val="auto"/>
              </w:rPr>
              <w:t>625,000</w:t>
            </w:r>
          </w:p>
        </w:tc>
        <w:tc>
          <w:tcPr>
            <w:tcW w:w="148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0%</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Tonissen</w:t>
            </w:r>
          </w:p>
        </w:tc>
        <w:tc>
          <w:tcPr>
            <w:tcW w:w="178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323,000</w:t>
            </w:r>
          </w:p>
        </w:tc>
        <w:tc>
          <w:tcPr>
            <w:tcW w:w="1760" w:type="dxa"/>
            <w:vAlign w:val="bottom"/>
            <w:gridSpan w:val="2"/>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335,000</w:t>
            </w:r>
          </w:p>
        </w:tc>
        <w:tc>
          <w:tcPr>
            <w:tcW w:w="148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Robert Kasenter</w:t>
            </w:r>
          </w:p>
        </w:tc>
        <w:tc>
          <w:tcPr>
            <w:tcW w:w="1780" w:type="dxa"/>
            <w:vAlign w:val="bottom"/>
            <w:gridSpan w:val="2"/>
          </w:tcPr>
          <w:p>
            <w:pPr>
              <w:jc w:val="right"/>
              <w:ind w:right="219"/>
              <w:spacing w:after="0" w:line="202" w:lineRule="exact"/>
              <w:rPr>
                <w:sz w:val="20"/>
                <w:szCs w:val="20"/>
                <w:color w:val="auto"/>
              </w:rPr>
            </w:pPr>
            <w:r>
              <w:rPr>
                <w:rFonts w:ascii="Arial" w:cs="Arial" w:eastAsia="Arial" w:hAnsi="Arial"/>
                <w:sz w:val="18"/>
                <w:szCs w:val="18"/>
                <w:color w:val="auto"/>
              </w:rPr>
              <w:t>240,000</w:t>
            </w:r>
          </w:p>
        </w:tc>
        <w:tc>
          <w:tcPr>
            <w:tcW w:w="1760" w:type="dxa"/>
            <w:vAlign w:val="bottom"/>
            <w:gridSpan w:val="2"/>
          </w:tcPr>
          <w:p>
            <w:pPr>
              <w:jc w:val="right"/>
              <w:ind w:right="199"/>
              <w:spacing w:after="0" w:line="202" w:lineRule="exact"/>
              <w:rPr>
                <w:sz w:val="20"/>
                <w:szCs w:val="20"/>
                <w:color w:val="auto"/>
              </w:rPr>
            </w:pPr>
            <w:r>
              <w:rPr>
                <w:rFonts w:ascii="Arial" w:cs="Arial" w:eastAsia="Arial" w:hAnsi="Arial"/>
                <w:sz w:val="18"/>
                <w:szCs w:val="18"/>
                <w:color w:val="auto"/>
              </w:rPr>
              <w:t>250,000</w:t>
            </w:r>
          </w:p>
        </w:tc>
        <w:tc>
          <w:tcPr>
            <w:tcW w:w="148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4.2%</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1780" w:type="dxa"/>
            <w:vAlign w:val="bottom"/>
            <w:gridSpan w:val="2"/>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207,000</w:t>
            </w:r>
          </w:p>
        </w:tc>
        <w:tc>
          <w:tcPr>
            <w:tcW w:w="1760" w:type="dxa"/>
            <w:vAlign w:val="bottom"/>
            <w:gridSpan w:val="2"/>
            <w:shd w:val="clear" w:color="auto" w:fill="CCEEFF"/>
          </w:tcPr>
          <w:p>
            <w:pPr>
              <w:jc w:val="right"/>
              <w:ind w:right="199"/>
              <w:spacing w:after="0" w:line="202" w:lineRule="exact"/>
              <w:rPr>
                <w:sz w:val="20"/>
                <w:szCs w:val="20"/>
                <w:color w:val="auto"/>
              </w:rPr>
            </w:pPr>
            <w:r>
              <w:rPr>
                <w:rFonts w:ascii="Arial" w:cs="Arial" w:eastAsia="Arial" w:hAnsi="Arial"/>
                <w:sz w:val="18"/>
                <w:szCs w:val="18"/>
                <w:color w:val="auto"/>
              </w:rPr>
              <w:t>230,000</w:t>
            </w:r>
          </w:p>
        </w:tc>
        <w:tc>
          <w:tcPr>
            <w:tcW w:w="148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11.1%</w:t>
            </w:r>
          </w:p>
        </w:tc>
      </w:tr>
    </w:tbl>
    <w:p>
      <w:pPr>
        <w:spacing w:after="0" w:line="107" w:lineRule="exact"/>
        <w:rPr>
          <w:sz w:val="20"/>
          <w:szCs w:val="20"/>
          <w:color w:val="auto"/>
        </w:rPr>
      </w:pPr>
    </w:p>
    <w:p>
      <w:pPr>
        <w:ind w:left="240" w:right="60"/>
        <w:spacing w:after="0" w:line="234" w:lineRule="auto"/>
        <w:rPr>
          <w:sz w:val="20"/>
          <w:szCs w:val="20"/>
          <w:color w:val="auto"/>
        </w:rPr>
      </w:pPr>
      <w:r>
        <w:rPr>
          <w:rFonts w:ascii="Arial" w:cs="Arial" w:eastAsia="Arial" w:hAnsi="Arial"/>
          <w:sz w:val="18"/>
          <w:szCs w:val="18"/>
          <w:color w:val="auto"/>
        </w:rPr>
        <w:t>For fiscal year 2009, the Compensation Committee approved the elimination of all club and automobile allowances for named executives. This was done to make the company’s executive compensation more transparent and easier to analyze. After the Committee reviewed competitive compensation data, the participants in these plans were given an adjustment to their base salary to offset the elimination of their allowances and then provided an annual base salary increase. For fiscal year 2009, Mr. Rotunda’s base salary will be $975,000;</w:t>
      </w:r>
    </w:p>
    <w:p>
      <w:pPr>
        <w:spacing w:after="0" w:line="3" w:lineRule="exact"/>
        <w:rPr>
          <w:sz w:val="20"/>
          <w:szCs w:val="20"/>
          <w:color w:val="auto"/>
        </w:rPr>
      </w:pPr>
    </w:p>
    <w:p>
      <w:pPr>
        <w:ind w:left="240" w:right="260"/>
        <w:spacing w:after="0" w:line="246" w:lineRule="auto"/>
        <w:rPr>
          <w:sz w:val="20"/>
          <w:szCs w:val="20"/>
          <w:color w:val="auto"/>
        </w:rPr>
      </w:pPr>
      <w:r>
        <w:rPr>
          <w:rFonts w:ascii="Arial" w:cs="Arial" w:eastAsia="Arial" w:hAnsi="Arial"/>
          <w:sz w:val="18"/>
          <w:szCs w:val="18"/>
          <w:color w:val="auto"/>
        </w:rPr>
        <w:t>Mr. Brinkley’s base salary will be $775,000; Mr. Tonissen’s base salary will be $400,000; Mr. Kasenter’s base salary will be $280,000; and Mr. Fosse’s base salary will be $325,000.</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Short Term Incentive Compensation:</w:t>
      </w:r>
    </w:p>
    <w:p>
      <w:pPr>
        <w:spacing w:after="0" w:line="126" w:lineRule="exact"/>
        <w:rPr>
          <w:sz w:val="20"/>
          <w:szCs w:val="20"/>
          <w:color w:val="auto"/>
        </w:rPr>
      </w:pPr>
    </w:p>
    <w:p>
      <w:pPr>
        <w:ind w:left="240" w:right="80"/>
        <w:spacing w:after="0" w:line="246" w:lineRule="auto"/>
        <w:rPr>
          <w:sz w:val="20"/>
          <w:szCs w:val="20"/>
          <w:color w:val="auto"/>
        </w:rPr>
      </w:pPr>
      <w:r>
        <w:rPr>
          <w:rFonts w:ascii="Arial" w:cs="Arial" w:eastAsia="Arial" w:hAnsi="Arial"/>
          <w:sz w:val="18"/>
          <w:szCs w:val="18"/>
          <w:color w:val="auto"/>
        </w:rPr>
        <w:t>The named executives, as well as other key executives, are eligible to participate in our annual Incentive Compensation Plan. Our Incentive Compensation Plan has four primary objectives:</w:t>
      </w:r>
    </w:p>
    <w:p>
      <w:pPr>
        <w:spacing w:after="0" w:line="89" w:lineRule="exact"/>
        <w:rPr>
          <w:sz w:val="20"/>
          <w:szCs w:val="20"/>
          <w:color w:val="auto"/>
        </w:rPr>
      </w:pPr>
    </w:p>
    <w:p>
      <w:pPr>
        <w:ind w:left="1360" w:hanging="447"/>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retain and motivate top-quality executives who can add significant value;</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an incentive compensation opportunity that is an integral part of the executive’s total compensation program;</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 participants’ contributions to the achievement of our business results; and</w:t>
      </w:r>
    </w:p>
    <w:p>
      <w:pPr>
        <w:spacing w:after="0" w:line="117" w:lineRule="exact"/>
        <w:rPr>
          <w:rFonts w:ascii="Arial" w:cs="Arial" w:eastAsia="Arial" w:hAnsi="Arial"/>
          <w:sz w:val="18"/>
          <w:szCs w:val="18"/>
          <w:color w:val="auto"/>
        </w:rPr>
      </w:pPr>
    </w:p>
    <w:p>
      <w:pPr>
        <w:ind w:left="1360" w:right="1040" w:hanging="447"/>
        <w:spacing w:after="0" w:line="246" w:lineRule="auto"/>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an incentive for individuals to achieve periodic financial goals tied to the company’s strategic plans and to departmental, corporate and personal objectives.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The Incentive Compensation Plan provides each participant an opportunity to receive an annual incentive cash bonus based on our financial performance as a company and the participant’s personal performance during the fiscal year. The Compensation Committee approves the participants to be included in the Incentive Compensation Plan and the level of participation for each participant. The Board of Directors approves the company’s financial objectives.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key terms of the Incentive Compensation Plan and the criteria for awarding bonuses under the plan for a fiscal year are:</w:t>
      </w:r>
    </w:p>
    <w:p>
      <w:pPr>
        <w:spacing w:after="0" w:line="104" w:lineRule="exact"/>
        <w:rPr>
          <w:sz w:val="20"/>
          <w:szCs w:val="20"/>
          <w:color w:val="auto"/>
        </w:rPr>
      </w:pPr>
    </w:p>
    <w:p>
      <w:pPr>
        <w:ind w:left="900" w:right="120" w:hanging="446"/>
        <w:spacing w:after="0" w:line="246" w:lineRule="auto"/>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Each participant’s target bonus is determined as a percentage of base pay. Each participant has a company financial objective and may, in addition, have a personal objective discussed below. The percentages vary by position.</w:t>
      </w:r>
    </w:p>
    <w:p>
      <w:pPr>
        <w:spacing w:after="0" w:line="102" w:lineRule="exact"/>
        <w:rPr>
          <w:rFonts w:ascii="Arial" w:cs="Arial" w:eastAsia="Arial" w:hAnsi="Arial"/>
          <w:sz w:val="18"/>
          <w:szCs w:val="18"/>
          <w:b w:val="1"/>
          <w:bCs w:val="1"/>
          <w:color w:val="auto"/>
        </w:rPr>
      </w:pPr>
    </w:p>
    <w:p>
      <w:pPr>
        <w:ind w:left="900" w:hanging="446"/>
        <w:spacing w:after="0" w:line="238" w:lineRule="auto"/>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company financial objective during fiscal 2008 was measured by net income. The Compensation Committee may elect to adjust the company financial objective for any special items, charges or credits pursuant to the terms of the Incentive Compensation Plan, but no such adjustments were made in 2008 The company financial objective payout ranges from 0% to 150% of the company financial objective target bonus for each participant depending on the level of net income achieved, as shown in the table below. No financial objective payout is allowed unless our net income is at least the minimum net income shown below.</w:t>
      </w:r>
    </w:p>
    <w:p>
      <w:pPr>
        <w:spacing w:after="0" w:line="108" w:lineRule="exact"/>
        <w:rPr>
          <w:rFonts w:ascii="Arial" w:cs="Arial" w:eastAsia="Arial" w:hAnsi="Arial"/>
          <w:sz w:val="18"/>
          <w:szCs w:val="18"/>
          <w:b w:val="1"/>
          <w:bCs w:val="1"/>
          <w:color w:val="auto"/>
        </w:rPr>
      </w:pPr>
    </w:p>
    <w:p>
      <w:pPr>
        <w:ind w:left="900" w:right="18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 participant’s personal objective may include financial or non-financial goals intended to enhance and support our strategic initiatives. The personal objective payouts range from 0% to a maximum of 100% of the personal objective target amount for each participant. No personal objective payout is allowed unless our net income is at least the minimum net income shown below.</w:t>
      </w:r>
    </w:p>
    <w:p>
      <w:pPr>
        <w:spacing w:after="0" w:line="95" w:lineRule="exact"/>
        <w:rPr>
          <w:sz w:val="20"/>
          <w:szCs w:val="20"/>
          <w:color w:val="auto"/>
        </w:rPr>
      </w:pPr>
    </w:p>
    <w:p>
      <w:pPr>
        <w:ind w:left="240" w:right="40"/>
        <w:spacing w:after="0" w:line="246" w:lineRule="auto"/>
        <w:rPr>
          <w:sz w:val="20"/>
          <w:szCs w:val="20"/>
          <w:color w:val="auto"/>
        </w:rPr>
      </w:pPr>
      <w:r>
        <w:rPr>
          <w:rFonts w:ascii="Arial" w:cs="Arial" w:eastAsia="Arial" w:hAnsi="Arial"/>
          <w:sz w:val="18"/>
          <w:szCs w:val="18"/>
          <w:color w:val="auto"/>
        </w:rPr>
        <w:t>For fiscal 2008, the Compensation Committee approved company financial objectives requiring a significant increase in net income from the actual net income achieved in fiscal 2007. No payout award was allowed unless at least the minimum net income objective was achieved.</w:t>
      </w:r>
    </w:p>
    <w:p>
      <w:pPr>
        <w:spacing w:after="0" w:line="89" w:lineRule="exact"/>
        <w:rPr>
          <w:sz w:val="20"/>
          <w:szCs w:val="20"/>
          <w:color w:val="auto"/>
        </w:rPr>
      </w:pPr>
    </w:p>
    <w:p>
      <w:pPr>
        <w:jc w:val="both"/>
        <w:ind w:left="240" w:right="460"/>
        <w:spacing w:after="0"/>
        <w:rPr>
          <w:sz w:val="20"/>
          <w:szCs w:val="20"/>
          <w:color w:val="auto"/>
        </w:rPr>
      </w:pPr>
      <w:r>
        <w:rPr>
          <w:rFonts w:ascii="Arial" w:cs="Arial" w:eastAsia="Arial" w:hAnsi="Arial"/>
          <w:sz w:val="18"/>
          <w:szCs w:val="18"/>
          <w:color w:val="auto"/>
        </w:rPr>
        <w:t>All participants in the Incentive Compensation Plan are assigned a weighting between the overall company financial objective and their personal objectives for determining their individual incentive award. The company financial objective is weighted more heavily for more senior positions.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240" w:right="480"/>
        <w:spacing w:after="0" w:line="246" w:lineRule="auto"/>
        <w:rPr>
          <w:sz w:val="20"/>
          <w:szCs w:val="20"/>
          <w:color w:val="auto"/>
        </w:rPr>
      </w:pPr>
      <w:r>
        <w:rPr>
          <w:rFonts w:ascii="Arial" w:cs="Arial" w:eastAsia="Arial" w:hAnsi="Arial"/>
          <w:sz w:val="18"/>
          <w:szCs w:val="18"/>
          <w:color w:val="auto"/>
        </w:rPr>
        <w:t>All incentive awards are subject to the review and approval of the Compensation Committee and may be adjusted if the Compensation Committee feels that the award does not reflect the contribution of the participant.</w:t>
      </w:r>
    </w:p>
    <w:p>
      <w:pPr>
        <w:spacing w:after="0" w:line="89" w:lineRule="exact"/>
        <w:rPr>
          <w:sz w:val="20"/>
          <w:szCs w:val="20"/>
          <w:color w:val="auto"/>
        </w:rPr>
      </w:pPr>
    </w:p>
    <w:p>
      <w:pPr>
        <w:ind w:left="240" w:right="20"/>
        <w:spacing w:after="0" w:line="239" w:lineRule="auto"/>
        <w:rPr>
          <w:sz w:val="20"/>
          <w:szCs w:val="20"/>
          <w:color w:val="auto"/>
        </w:rPr>
      </w:pPr>
      <w:r>
        <w:rPr>
          <w:rFonts w:ascii="Arial" w:cs="Arial" w:eastAsia="Arial" w:hAnsi="Arial"/>
          <w:sz w:val="18"/>
          <w:szCs w:val="18"/>
          <w:color w:val="auto"/>
        </w:rPr>
        <w:t>In November 2008, the Compensation Committee determined the Company achieved the highest level for the fiscal 2008 company financial objective, resulting in a 150% payout of the target bonus for the company financial objective. The Compensation Committee approved the total short-term incentive payment due each named executive. As a result, each of the named executive officers received in November 2008 the amounts reported in the Non-Equity Incentive Plan Compensation column of the Summary Compensation Table.</w:t>
      </w:r>
    </w:p>
    <w:p>
      <w:pPr>
        <w:spacing w:after="0" w:line="94" w:lineRule="exact"/>
        <w:rPr>
          <w:sz w:val="20"/>
          <w:szCs w:val="20"/>
          <w:color w:val="auto"/>
        </w:rPr>
      </w:pPr>
    </w:p>
    <w:p>
      <w:pPr>
        <w:ind w:left="240" w:right="160"/>
        <w:spacing w:after="0" w:line="246" w:lineRule="auto"/>
        <w:rPr>
          <w:sz w:val="20"/>
          <w:szCs w:val="20"/>
          <w:color w:val="auto"/>
        </w:rPr>
      </w:pPr>
      <w:r>
        <w:rPr>
          <w:rFonts w:ascii="Arial" w:cs="Arial" w:eastAsia="Arial" w:hAnsi="Arial"/>
          <w:sz w:val="18"/>
          <w:szCs w:val="18"/>
          <w:color w:val="auto"/>
        </w:rPr>
        <w:t>For fiscal year 2009, the Compensation Committee, after reviewing competitive information, increased the target bonus percentages to the following named executives: Mr. Rotunda; Mr. Brinkley; Mr. Fosse and Mr. Tonissen.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Long Term Compensation:</w:t>
      </w:r>
    </w:p>
    <w:p>
      <w:pPr>
        <w:spacing w:after="0" w:line="126" w:lineRule="exact"/>
        <w:rPr>
          <w:sz w:val="20"/>
          <w:szCs w:val="20"/>
          <w:color w:val="auto"/>
        </w:rPr>
      </w:pPr>
    </w:p>
    <w:p>
      <w:pPr>
        <w:ind w:left="240" w:right="340"/>
        <w:spacing w:after="0" w:line="246" w:lineRule="auto"/>
        <w:rPr>
          <w:sz w:val="20"/>
          <w:szCs w:val="20"/>
          <w:color w:val="auto"/>
        </w:rPr>
      </w:pPr>
      <w:r>
        <w:rPr>
          <w:rFonts w:ascii="Arial" w:cs="Arial" w:eastAsia="Arial" w:hAnsi="Arial"/>
          <w:sz w:val="18"/>
          <w:szCs w:val="18"/>
          <w:color w:val="auto"/>
        </w:rPr>
        <w:t>All of our executives, including the named executives, are eligible to receive stock awards in the form of stock options or restricted share awards from the EZCORP, Inc. 2006 Incentive Plan. Participation in the long-term incentive plan is based on the following criteria:</w:t>
      </w:r>
    </w:p>
    <w:p>
      <w:pPr>
        <w:spacing w:after="0" w:line="89" w:lineRule="exact"/>
        <w:rPr>
          <w:sz w:val="20"/>
          <w:szCs w:val="20"/>
          <w:color w:val="auto"/>
        </w:rPr>
      </w:pPr>
    </w:p>
    <w:p>
      <w:pPr>
        <w:ind w:left="1360" w:hanging="447"/>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Analysis of competitive information for comparable positions;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the value added to the company by hiring or retaining specific executives; and</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executive’s long-term potential contributions to our company.</w:t>
      </w:r>
    </w:p>
    <w:p>
      <w:pPr>
        <w:spacing w:after="0" w:line="104" w:lineRule="exact"/>
        <w:rPr>
          <w:sz w:val="20"/>
          <w:szCs w:val="20"/>
          <w:color w:val="auto"/>
        </w:rPr>
      </w:pPr>
    </w:p>
    <w:p>
      <w:pPr>
        <w:jc w:val="both"/>
        <w:ind w:left="240" w:right="40"/>
        <w:spacing w:after="0" w:line="239" w:lineRule="auto"/>
        <w:rPr>
          <w:sz w:val="20"/>
          <w:szCs w:val="20"/>
          <w:color w:val="auto"/>
        </w:rPr>
      </w:pPr>
      <w:r>
        <w:rPr>
          <w:rFonts w:ascii="Arial" w:cs="Arial" w:eastAsia="Arial" w:hAnsi="Arial"/>
          <w:sz w:val="18"/>
          <w:szCs w:val="18"/>
          <w:color w:val="auto"/>
        </w:rPr>
        <w:t>The EZCORP, Inc. 2006 Incentive Plan permits the issuance of up to 2,250,000 shares of our Class A Non-voting Common Stock, of which no more than 1,050,000 shares may be issued to any individual in one fiscal year. Awards may be in the form of incentive and non-statutory options, restricted stock awards and stock appreciation rights. A committee composed of independent directors administers the plan, except that the full Board serves as the committee for awards to independent members of the Board.</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Although awards of share-based compensation may be awarded at any time as determined by the committee, they are generally awarded on the first business day of our fiscal year or on the hire date of an executive or other key personnel. Options have historically been awarded at or above the closing market price on the date of award.</w:t>
      </w:r>
    </w:p>
    <w:p>
      <w:pPr>
        <w:spacing w:after="0" w:line="95" w:lineRule="exact"/>
        <w:rPr>
          <w:sz w:val="20"/>
          <w:szCs w:val="20"/>
          <w:color w:val="auto"/>
        </w:rPr>
      </w:pPr>
    </w:p>
    <w:p>
      <w:pPr>
        <w:ind w:left="240" w:right="120"/>
        <w:spacing w:after="0" w:line="239" w:lineRule="auto"/>
        <w:rPr>
          <w:sz w:val="20"/>
          <w:szCs w:val="20"/>
          <w:color w:val="auto"/>
        </w:rPr>
      </w:pPr>
      <w:r>
        <w:rPr>
          <w:rFonts w:ascii="Arial" w:cs="Arial" w:eastAsia="Arial" w:hAnsi="Arial"/>
          <w:sz w:val="18"/>
          <w:szCs w:val="18"/>
          <w:color w:val="auto"/>
        </w:rPr>
        <w:t>The Compensation Committee’s philosophy on long-term compensation is that equity-based compensation is an effective method to align the interests of shareholders and management and focus management’s attention on long-term results. Participation in equity-based compensation plans must also consider the impact the participant can have on our overall performance, strategic direction, financial results and shareholder value. Therefore, equity awards are primarily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upon the participant’s position in the organization, competitive necessity and individual performance.</w:t>
      </w:r>
    </w:p>
    <w:p>
      <w:pPr>
        <w:spacing w:after="0" w:line="104" w:lineRule="exact"/>
        <w:rPr>
          <w:sz w:val="20"/>
          <w:szCs w:val="20"/>
          <w:color w:val="auto"/>
        </w:rPr>
      </w:pPr>
    </w:p>
    <w:p>
      <w:pPr>
        <w:jc w:val="both"/>
        <w:ind w:left="240" w:right="60"/>
        <w:spacing w:after="0" w:line="239" w:lineRule="auto"/>
        <w:rPr>
          <w:sz w:val="20"/>
          <w:szCs w:val="20"/>
          <w:color w:val="auto"/>
        </w:rPr>
      </w:pPr>
      <w:r>
        <w:rPr>
          <w:rFonts w:ascii="Arial" w:cs="Arial" w:eastAsia="Arial" w:hAnsi="Arial"/>
          <w:sz w:val="18"/>
          <w:szCs w:val="18"/>
          <w:color w:val="auto"/>
        </w:rPr>
        <w:t>The Compensation Committee also believes that cliff vesting of shares after multiple years provides participants with increased incentive to maintain performance levels over a longer period and also provides the Company with a strong retention vehicle. Most equity awards have vesting schedules over several years to promote the long-term performance and retention of the recipient. Some of these awards also have specific performance criteria for vesting.</w:t>
      </w:r>
    </w:p>
    <w:p>
      <w:pPr>
        <w:spacing w:after="0" w:line="94" w:lineRule="exact"/>
        <w:rPr>
          <w:sz w:val="20"/>
          <w:szCs w:val="20"/>
          <w:color w:val="auto"/>
        </w:rPr>
      </w:pPr>
    </w:p>
    <w:p>
      <w:pPr>
        <w:ind w:left="240" w:right="80"/>
        <w:spacing w:after="0"/>
        <w:rPr>
          <w:sz w:val="20"/>
          <w:szCs w:val="20"/>
          <w:color w:val="auto"/>
        </w:rPr>
      </w:pPr>
      <w:r>
        <w:rPr>
          <w:rFonts w:ascii="Arial" w:cs="Arial" w:eastAsia="Arial" w:hAnsi="Arial"/>
          <w:sz w:val="18"/>
          <w:szCs w:val="18"/>
          <w:color w:val="auto"/>
        </w:rPr>
        <w:t>In October 2006, 1,692,000 shares of restricted stock were awarded to our named executive officers, with vesting periods ranging from four to ten years. The date for each award was October 2, 2006, which was the first business day of our 2007 fiscal year. (See Outstanding Equity Awards.)</w:t>
      </w:r>
    </w:p>
    <w:p>
      <w:pPr>
        <w:spacing w:after="0" w:line="95" w:lineRule="exact"/>
        <w:rPr>
          <w:sz w:val="20"/>
          <w:szCs w:val="20"/>
          <w:color w:val="auto"/>
        </w:rPr>
      </w:pPr>
    </w:p>
    <w:p>
      <w:pPr>
        <w:ind w:left="240" w:right="20"/>
        <w:spacing w:after="0" w:line="236" w:lineRule="auto"/>
        <w:rPr>
          <w:sz w:val="20"/>
          <w:szCs w:val="20"/>
          <w:color w:val="auto"/>
        </w:rPr>
      </w:pPr>
      <w:r>
        <w:rPr>
          <w:rFonts w:ascii="Arial" w:cs="Arial" w:eastAsia="Arial" w:hAnsi="Arial"/>
          <w:sz w:val="18"/>
          <w:szCs w:val="18"/>
          <w:color w:val="auto"/>
        </w:rPr>
        <w:t>The vesting requirements on the October 2006 restricted stock awards to the Chairman and the President and Chief Executive Officer were structured without cliff vesting in order to achieve a specific objective. The Compensation Committee determined that the awards to these key executives should have bi-annual vesting of a portion of the awards and a longer overall vesting term of ten years to provide an ongoing retention vehicle. The awards were also structured to provide for an orderly succession plan for these key executives in order to ensure strong management continuity. In addition, the awards include non-compete, non-solicitation and employment continuity clauses. More details of these awards are found in the footnotes of the Outstanding Equity Awards table. On October 2, 2008, the restrictions lapsed on one fifth of the shares subject to this grant, and the Compensation Committee determined that the performance criteria for vesting had been achieved.</w:t>
      </w:r>
    </w:p>
    <w:p>
      <w:pPr>
        <w:spacing w:after="0" w:line="100" w:lineRule="exact"/>
        <w:rPr>
          <w:sz w:val="20"/>
          <w:szCs w:val="20"/>
          <w:color w:val="auto"/>
        </w:rPr>
      </w:pPr>
    </w:p>
    <w:p>
      <w:pPr>
        <w:ind w:left="240" w:right="320"/>
        <w:spacing w:after="0" w:line="239" w:lineRule="auto"/>
        <w:rPr>
          <w:sz w:val="20"/>
          <w:szCs w:val="20"/>
          <w:color w:val="auto"/>
        </w:rPr>
      </w:pPr>
      <w:r>
        <w:rPr>
          <w:rFonts w:ascii="Arial" w:cs="Arial" w:eastAsia="Arial" w:hAnsi="Arial"/>
          <w:sz w:val="18"/>
          <w:szCs w:val="18"/>
          <w:color w:val="auto"/>
        </w:rPr>
        <w:t>On October 1, 2008, the Compensation Committee approved restricted stock grants to 57 key employees totaling 141,000 shares of EZCORP Class A Non-voting Common Stock. As a part of that grant, Messrs. Tonissen, Kasenter and Fosse each received a grant of 10,000 shares of EZCORP Class A Non-voting restricted stock with three year cliff vesting and subject to the terms and conditions of the Incentive Compensation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Other Benefits: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26"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We encourage all associates to participate in their retirement planning by providing an opportunity to participate in our 401(k) plan. This pre-tax savings plan allows individuals to have pre-tax amounts withheld from their pay and provides a 25% match in the form of EZCORP stock up to 6% of their salary, based on participation at that level. Participants’ contributions are invested in various fund options that are selected by the individual. Participants are immediately vested in their contributions, and the company matching contributions vest over the first five years of employment, and are fully vested for participants who have five or more years of service. Participants are prohibited from investing their contributions in EZCORP stock.</w:t>
      </w:r>
    </w:p>
    <w:p>
      <w:pPr>
        <w:spacing w:after="0" w:line="97" w:lineRule="exact"/>
        <w:rPr>
          <w:sz w:val="20"/>
          <w:szCs w:val="20"/>
          <w:color w:val="auto"/>
        </w:rPr>
      </w:pPr>
    </w:p>
    <w:p>
      <w:pPr>
        <w:jc w:val="both"/>
        <w:ind w:left="240"/>
        <w:spacing w:after="0" w:line="239" w:lineRule="auto"/>
        <w:rPr>
          <w:sz w:val="20"/>
          <w:szCs w:val="20"/>
          <w:color w:val="auto"/>
        </w:rPr>
      </w:pPr>
      <w:r>
        <w:rPr>
          <w:rFonts w:ascii="Arial" w:cs="Arial" w:eastAsia="Arial" w:hAnsi="Arial"/>
          <w:sz w:val="18"/>
          <w:szCs w:val="18"/>
          <w:color w:val="auto"/>
        </w:rPr>
        <w:t>The federal tax code limits the amount of pre-tax savings that highly-paid executives can contribute to the 401(k) plan. To offset some of the negative impact of these regulations on retirement savings and to encourage retention of key officers, we provide selected executives with a non-qualified Supplemental Executive Retirement Plan. Company contributions to the Supplemental Executive Retirement Plan are formula-based, reviewed and recommended by management and approved by the Compensation Committee each year.</w:t>
      </w:r>
    </w:p>
    <w:p>
      <w:pPr>
        <w:spacing w:after="0" w:line="94" w:lineRule="exact"/>
        <w:rPr>
          <w:sz w:val="20"/>
          <w:szCs w:val="20"/>
          <w:color w:val="auto"/>
        </w:rPr>
      </w:pPr>
    </w:p>
    <w:p>
      <w:pPr>
        <w:jc w:val="both"/>
        <w:ind w:left="240" w:right="920"/>
        <w:spacing w:after="0"/>
        <w:rPr>
          <w:sz w:val="20"/>
          <w:szCs w:val="20"/>
          <w:color w:val="auto"/>
        </w:rPr>
      </w:pPr>
      <w:r>
        <w:rPr>
          <w:rFonts w:ascii="Arial" w:cs="Arial" w:eastAsia="Arial" w:hAnsi="Arial"/>
          <w:sz w:val="18"/>
          <w:szCs w:val="18"/>
          <w:color w:val="auto"/>
        </w:rPr>
        <w:t>All Supplemental Executive Retirement Plan funds have a vesting schedule in order to provide an additional retention tool for the participants. Generally, the funds vest over three years from the grant date, with one-third vesting each year. All of a participant’s Supplemental Executive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40" w:right="180"/>
        <w:spacing w:after="0"/>
        <w:rPr>
          <w:sz w:val="20"/>
          <w:szCs w:val="20"/>
          <w:color w:val="auto"/>
        </w:rPr>
      </w:pPr>
      <w:r>
        <w:rPr>
          <w:rFonts w:ascii="Arial" w:cs="Arial" w:eastAsia="Arial" w:hAnsi="Arial"/>
          <w:sz w:val="18"/>
          <w:szCs w:val="18"/>
          <w:color w:val="auto"/>
        </w:rPr>
        <w:t>Retirement Plan funds from all grants vest 100% in the event of his or her death, disability or the termination of the plan due to a change in control of the company. In addition, the Supplemental Executive Retirement Plan funds are 100% vested when a participant attains his or her normal retirement age (60 years old and five years of active service) while actively employed by us.</w:t>
      </w:r>
    </w:p>
    <w:p>
      <w:pPr>
        <w:spacing w:after="0" w:line="95"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The Supplemental Executive Retirement Plan has been designed to provide a potential replacement value of 10%-20% of final pay for each participant, assuming that the individual remains with us and participates in the Supplemental Executive Retirement Plan for twenty years. Using an assumption that the executive’s salary and investments will grow 5% annually, the Supplemental Executive Retirement Plan balance is estimated to fund the purchase of a single-life annuity at age 65 that will have an income replacement value of the 10%-20% goal stated above.</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Based upon the income to be replaced and position levels, we make the following annual contribution for each participant:</w:t>
      </w:r>
    </w:p>
    <w:p>
      <w:pPr>
        <w:sectPr>
          <w:pgSz w:w="11900" w:h="16838" w:orient="portrait"/>
          <w:cols w:equalWidth="0" w:num="1">
            <w:col w:w="11420"/>
          </w:cols>
          <w:pgMar w:left="240" w:top="419"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34" w:lineRule="auto"/>
        <w:rPr>
          <w:sz w:val="20"/>
          <w:szCs w:val="20"/>
          <w:color w:val="auto"/>
        </w:rPr>
      </w:pPr>
      <w:r>
        <w:rPr>
          <w:rFonts w:ascii="Arial" w:cs="Arial" w:eastAsia="Arial" w:hAnsi="Arial"/>
          <w:sz w:val="18"/>
          <w:szCs w:val="18"/>
          <w:color w:val="auto"/>
        </w:rPr>
        <w:t>President and CEO,</w:t>
      </w:r>
    </w:p>
    <w:p>
      <w:pPr>
        <w:spacing w:after="0" w:line="235" w:lineRule="auto"/>
        <w:rPr>
          <w:sz w:val="20"/>
          <w:szCs w:val="20"/>
          <w:color w:val="auto"/>
        </w:rPr>
      </w:pPr>
      <w:r>
        <w:rPr>
          <w:rFonts w:ascii="Arial" w:cs="Arial" w:eastAsia="Arial" w:hAnsi="Arial"/>
          <w:sz w:val="18"/>
          <w:szCs w:val="18"/>
          <w:color w:val="auto"/>
        </w:rPr>
        <w:t>Divisional Presidents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&amp; Senior Vice Presidents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9% of (base + target bonus)</w:t>
      </w:r>
    </w:p>
    <w:p>
      <w:pPr>
        <w:spacing w:after="0" w:line="209" w:lineRule="exact"/>
        <w:rPr>
          <w:sz w:val="20"/>
          <w:szCs w:val="20"/>
          <w:color w:val="auto"/>
        </w:rPr>
      </w:pPr>
    </w:p>
    <w:p>
      <w:pPr>
        <w:sectPr>
          <w:pgSz w:w="11900" w:h="16838" w:orient="portrait"/>
          <w:cols w:equalWidth="0" w:num="2">
            <w:col w:w="3860" w:space="720"/>
            <w:col w:w="684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Vice Presidents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 of (base + target bonus)</w:t>
      </w:r>
    </w:p>
    <w:p>
      <w:pPr>
        <w:spacing w:after="0" w:line="115" w:lineRule="exact"/>
        <w:rPr>
          <w:sz w:val="20"/>
          <w:szCs w:val="20"/>
          <w:color w:val="auto"/>
        </w:rPr>
      </w:pPr>
    </w:p>
    <w:p>
      <w:pPr>
        <w:sectPr>
          <w:pgSz w:w="11900" w:h="16838" w:orient="portrait"/>
          <w:cols w:equalWidth="0" w:num="2">
            <w:col w:w="3860" w:space="720"/>
            <w:col w:w="6840"/>
          </w:cols>
          <w:pgMar w:left="240" w:top="419" w:right="239" w:bottom="1440" w:gutter="0" w:footer="0" w:header="0"/>
          <w:type w:val="continuous"/>
        </w:sectPr>
      </w:pPr>
    </w:p>
    <w:p>
      <w:pPr>
        <w:ind w:left="240" w:right="680"/>
        <w:spacing w:after="0" w:line="246" w:lineRule="auto"/>
        <w:rPr>
          <w:sz w:val="20"/>
          <w:szCs w:val="20"/>
          <w:color w:val="auto"/>
        </w:rPr>
      </w:pPr>
      <w:r>
        <w:rPr>
          <w:rFonts w:ascii="Arial" w:cs="Arial" w:eastAsia="Arial" w:hAnsi="Arial"/>
          <w:sz w:val="18"/>
          <w:szCs w:val="18"/>
          <w:color w:val="auto"/>
        </w:rPr>
        <w:t>During fiscal 2008, the Supplemental Executive Retirement Plan had ten participants, and at September 30, 2008, the plan had nine participants. The table below shows the Supplemental Executive Retirement Plan awards for the named executive officers.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040" w:type="dxa"/>
            <w:vAlign w:val="bottom"/>
            <w:gridSpan w:val="3"/>
          </w:tcPr>
          <w:p>
            <w:pPr>
              <w:jc w:val="right"/>
              <w:ind w:right="4379"/>
              <w:spacing w:after="0"/>
              <w:rPr>
                <w:sz w:val="20"/>
                <w:szCs w:val="20"/>
                <w:color w:val="auto"/>
              </w:rPr>
            </w:pPr>
            <w:r>
              <w:rPr>
                <w:rFonts w:ascii="Arial" w:cs="Arial" w:eastAsia="Arial" w:hAnsi="Arial"/>
                <w:sz w:val="18"/>
                <w:szCs w:val="18"/>
                <w:b w:val="1"/>
                <w:bCs w:val="1"/>
                <w:color w:val="auto"/>
              </w:rPr>
              <w:t>EXECUTIVE OFFICERS’ 2008</w:t>
            </w:r>
          </w:p>
        </w:tc>
      </w:tr>
      <w:tr>
        <w:trPr>
          <w:trHeight w:val="239"/>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040" w:type="dxa"/>
            <w:vAlign w:val="bottom"/>
            <w:gridSpan w:val="3"/>
          </w:tcPr>
          <w:p>
            <w:pPr>
              <w:jc w:val="right"/>
              <w:ind w:right="3059"/>
              <w:spacing w:after="0"/>
              <w:rPr>
                <w:sz w:val="20"/>
                <w:szCs w:val="20"/>
                <w:color w:val="auto"/>
              </w:rPr>
            </w:pPr>
            <w:r>
              <w:rPr>
                <w:rFonts w:ascii="Arial" w:cs="Arial" w:eastAsia="Arial" w:hAnsi="Arial"/>
                <w:sz w:val="18"/>
                <w:szCs w:val="18"/>
                <w:b w:val="1"/>
                <w:bCs w:val="1"/>
                <w:color w:val="auto"/>
              </w:rPr>
              <w:t>SUPPLEMENTAL EXECUTIVE RETIREMENT PLAN AWARDS</w:t>
            </w:r>
          </w:p>
        </w:tc>
      </w:tr>
      <w:tr>
        <w:trPr>
          <w:trHeight w:val="351"/>
        </w:trPr>
        <w:tc>
          <w:tcPr>
            <w:tcW w:w="2380" w:type="dxa"/>
            <w:vAlign w:val="bottom"/>
            <w:gridSpan w:val="2"/>
          </w:tcPr>
          <w:p>
            <w:pPr>
              <w:spacing w:after="0"/>
              <w:rPr>
                <w:sz w:val="20"/>
                <w:szCs w:val="20"/>
                <w:color w:val="auto"/>
              </w:rPr>
            </w:pPr>
            <w:r>
              <w:rPr>
                <w:rFonts w:ascii="Arial" w:cs="Arial" w:eastAsia="Arial" w:hAnsi="Arial"/>
                <w:sz w:val="14"/>
                <w:szCs w:val="14"/>
                <w:color w:val="auto"/>
              </w:rPr>
              <w:t>Named Executive Officer</w:t>
            </w:r>
          </w:p>
        </w:tc>
        <w:tc>
          <w:tcPr>
            <w:tcW w:w="7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jc w:val="right"/>
              <w:ind w:right="179"/>
              <w:spacing w:after="0"/>
              <w:rPr>
                <w:sz w:val="20"/>
                <w:szCs w:val="20"/>
                <w:color w:val="auto"/>
              </w:rPr>
            </w:pPr>
            <w:r>
              <w:rPr>
                <w:rFonts w:ascii="Arial" w:cs="Arial" w:eastAsia="Arial" w:hAnsi="Arial"/>
                <w:sz w:val="14"/>
                <w:szCs w:val="14"/>
                <w:color w:val="auto"/>
              </w:rPr>
              <w:t>SERP Award</w:t>
            </w:r>
          </w:p>
        </w:tc>
      </w:tr>
      <w:tr>
        <w:trPr>
          <w:trHeight w:val="196"/>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Joseph Rotunda</w:t>
            </w:r>
          </w:p>
        </w:tc>
        <w:tc>
          <w:tcPr>
            <w:tcW w:w="71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279"/>
              <w:spacing w:after="0" w:line="196" w:lineRule="exact"/>
              <w:rPr>
                <w:sz w:val="20"/>
                <w:szCs w:val="20"/>
                <w:color w:val="auto"/>
              </w:rPr>
            </w:pPr>
            <w:r>
              <w:rPr>
                <w:rFonts w:ascii="Arial" w:cs="Arial" w:eastAsia="Arial" w:hAnsi="Arial"/>
                <w:sz w:val="18"/>
                <w:szCs w:val="18"/>
                <w:color w:val="auto"/>
              </w:rPr>
              <w:t>$144,000</w:t>
            </w:r>
          </w:p>
        </w:tc>
      </w:tr>
      <w:tr>
        <w:trPr>
          <w:trHeight w:val="203"/>
        </w:trPr>
        <w:tc>
          <w:tcPr>
            <w:tcW w:w="20" w:type="dxa"/>
            <w:vAlign w:val="bottom"/>
          </w:tcPr>
          <w:p>
            <w:pPr>
              <w:spacing w:after="0"/>
              <w:rPr>
                <w:sz w:val="17"/>
                <w:szCs w:val="17"/>
                <w:color w:val="auto"/>
              </w:rPr>
            </w:pPr>
          </w:p>
        </w:tc>
        <w:tc>
          <w:tcPr>
            <w:tcW w:w="2360" w:type="dxa"/>
            <w:vAlign w:val="bottom"/>
          </w:tcPr>
          <w:p>
            <w:pPr>
              <w:spacing w:after="0" w:line="202" w:lineRule="exact"/>
              <w:rPr>
                <w:sz w:val="20"/>
                <w:szCs w:val="20"/>
                <w:color w:val="auto"/>
              </w:rPr>
            </w:pPr>
            <w:r>
              <w:rPr>
                <w:rFonts w:ascii="Arial" w:cs="Arial" w:eastAsia="Arial" w:hAnsi="Arial"/>
                <w:sz w:val="18"/>
                <w:szCs w:val="18"/>
                <w:color w:val="auto"/>
              </w:rPr>
              <w:t>Sterling Brinkley</w:t>
            </w:r>
          </w:p>
        </w:tc>
        <w:tc>
          <w:tcPr>
            <w:tcW w:w="9040" w:type="dxa"/>
            <w:vAlign w:val="bottom"/>
            <w:gridSpan w:val="3"/>
          </w:tcPr>
          <w:p>
            <w:pPr>
              <w:jc w:val="right"/>
              <w:ind w:right="279"/>
              <w:spacing w:after="0" w:line="202" w:lineRule="exact"/>
              <w:rPr>
                <w:sz w:val="20"/>
                <w:szCs w:val="20"/>
                <w:color w:val="auto"/>
              </w:rPr>
            </w:pPr>
            <w:r>
              <w:rPr>
                <w:rFonts w:ascii="Arial" w:cs="Arial" w:eastAsia="Arial" w:hAnsi="Arial"/>
                <w:sz w:val="18"/>
                <w:szCs w:val="18"/>
                <w:color w:val="auto"/>
              </w:rPr>
              <w:t>84,375</w:t>
            </w: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Tonissen</w:t>
            </w:r>
          </w:p>
        </w:tc>
        <w:tc>
          <w:tcPr>
            <w:tcW w:w="9040" w:type="dxa"/>
            <w:vAlign w:val="bottom"/>
            <w:gridSpan w:val="3"/>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45,225</w:t>
            </w:r>
          </w:p>
        </w:tc>
      </w:tr>
      <w:tr>
        <w:trPr>
          <w:trHeight w:val="203"/>
        </w:trPr>
        <w:tc>
          <w:tcPr>
            <w:tcW w:w="20" w:type="dxa"/>
            <w:vAlign w:val="bottom"/>
          </w:tcPr>
          <w:p>
            <w:pPr>
              <w:spacing w:after="0"/>
              <w:rPr>
                <w:sz w:val="17"/>
                <w:szCs w:val="17"/>
                <w:color w:val="auto"/>
              </w:rPr>
            </w:pPr>
          </w:p>
        </w:tc>
        <w:tc>
          <w:tcPr>
            <w:tcW w:w="2360" w:type="dxa"/>
            <w:vAlign w:val="bottom"/>
          </w:tcPr>
          <w:p>
            <w:pPr>
              <w:spacing w:after="0" w:line="202" w:lineRule="exact"/>
              <w:rPr>
                <w:sz w:val="20"/>
                <w:szCs w:val="20"/>
                <w:color w:val="auto"/>
              </w:rPr>
            </w:pPr>
            <w:r>
              <w:rPr>
                <w:rFonts w:ascii="Arial" w:cs="Arial" w:eastAsia="Arial" w:hAnsi="Arial"/>
                <w:sz w:val="18"/>
                <w:szCs w:val="18"/>
                <w:color w:val="auto"/>
              </w:rPr>
              <w:t>Robert Kasenter</w:t>
            </w:r>
          </w:p>
        </w:tc>
        <w:tc>
          <w:tcPr>
            <w:tcW w:w="9040" w:type="dxa"/>
            <w:vAlign w:val="bottom"/>
            <w:gridSpan w:val="3"/>
          </w:tcPr>
          <w:p>
            <w:pPr>
              <w:jc w:val="right"/>
              <w:ind w:right="279"/>
              <w:spacing w:after="0" w:line="202" w:lineRule="exact"/>
              <w:rPr>
                <w:sz w:val="20"/>
                <w:szCs w:val="20"/>
                <w:color w:val="auto"/>
              </w:rPr>
            </w:pPr>
            <w:r>
              <w:rPr>
                <w:rFonts w:ascii="Arial" w:cs="Arial" w:eastAsia="Arial" w:hAnsi="Arial"/>
                <w:sz w:val="18"/>
                <w:szCs w:val="18"/>
                <w:color w:val="auto"/>
              </w:rPr>
              <w:t>33,750</w:t>
            </w:r>
          </w:p>
        </w:tc>
      </w:tr>
      <w:tr>
        <w:trPr>
          <w:trHeight w:val="203"/>
        </w:trPr>
        <w:tc>
          <w:tcPr>
            <w:tcW w:w="20" w:type="dxa"/>
            <w:vAlign w:val="bottom"/>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9040" w:type="dxa"/>
            <w:vAlign w:val="bottom"/>
            <w:gridSpan w:val="3"/>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33,120</w:t>
            </w:r>
          </w:p>
        </w:tc>
      </w:tr>
    </w:tbl>
    <w:p>
      <w:pPr>
        <w:spacing w:after="0" w:line="107"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In the event of a participant’s termination without cause, disability, death or termination of the Supplemental Executive Retirement Plan due to a change in control, the funds are paid to the participant (or his or her beneficiary, guardian or estate) in a single lump sum of the total vested company contribution, adjusted for investment results. All Supplemental Executive Retirement Plan funds, regardless of their vesting status, are forfeited if the participant is terminated for cause.</w:t>
      </w:r>
    </w:p>
    <w:p>
      <w:pPr>
        <w:spacing w:after="0" w:line="94"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A participant may not withdraw any portion of his or her Supplemental Executive Retirement Plan account while still employed by EZCORP unless in the sole opinion of management the participant has an unforeseeable emergency that is defined as a severe financial hardship to the participant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95" w:lineRule="exact"/>
        <w:rPr>
          <w:sz w:val="20"/>
          <w:szCs w:val="20"/>
          <w:color w:val="auto"/>
        </w:rPr>
      </w:pPr>
    </w:p>
    <w:p>
      <w:pPr>
        <w:ind w:left="240" w:right="600"/>
        <w:spacing w:after="0" w:line="246" w:lineRule="auto"/>
        <w:rPr>
          <w:sz w:val="20"/>
          <w:szCs w:val="20"/>
          <w:color w:val="auto"/>
        </w:rPr>
      </w:pPr>
      <w:r>
        <w:rPr>
          <w:rFonts w:ascii="Arial" w:cs="Arial" w:eastAsia="Arial" w:hAnsi="Arial"/>
          <w:sz w:val="18"/>
          <w:szCs w:val="18"/>
          <w:color w:val="auto"/>
        </w:rPr>
        <w:t>The SERP awards approved for fiscal. 2009 were $ 219,375, $156,938, $57,600, $37,800 and $58,500 for Messrs. Rotunda, Brinkley, Tonissen, Kasenter and Fosse, respectively. These awards were calculated using the basic plan formula presented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Perquisites</w:t>
      </w:r>
    </w:p>
    <w:p>
      <w:pPr>
        <w:spacing w:after="0" w:line="126" w:lineRule="exact"/>
        <w:rPr>
          <w:sz w:val="20"/>
          <w:szCs w:val="20"/>
          <w:color w:val="auto"/>
        </w:rPr>
      </w:pPr>
    </w:p>
    <w:p>
      <w:pPr>
        <w:ind w:left="240" w:right="620"/>
        <w:spacing w:after="0"/>
        <w:rPr>
          <w:sz w:val="20"/>
          <w:szCs w:val="20"/>
          <w:color w:val="auto"/>
        </w:rPr>
      </w:pPr>
      <w:r>
        <w:rPr>
          <w:rFonts w:ascii="Arial" w:cs="Arial" w:eastAsia="Arial" w:hAnsi="Arial"/>
          <w:sz w:val="18"/>
          <w:szCs w:val="18"/>
          <w:color w:val="auto"/>
        </w:rPr>
        <w:t>We provide additional perquisite plans to senior executives in the area of health care supplements, automobile allowances and club membership. Beginning in fiscal year 2009, the company will no longer provide automobile or club membership allowances to named executives.</w:t>
      </w:r>
    </w:p>
    <w:p>
      <w:pPr>
        <w:spacing w:after="0" w:line="95" w:lineRule="exact"/>
        <w:rPr>
          <w:sz w:val="20"/>
          <w:szCs w:val="20"/>
          <w:color w:val="auto"/>
        </w:rPr>
      </w:pPr>
    </w:p>
    <w:p>
      <w:pPr>
        <w:ind w:left="240" w:right="80"/>
        <w:spacing w:after="0" w:line="246" w:lineRule="auto"/>
        <w:rPr>
          <w:sz w:val="20"/>
          <w:szCs w:val="20"/>
          <w:color w:val="auto"/>
        </w:rPr>
      </w:pPr>
      <w:r>
        <w:rPr>
          <w:rFonts w:ascii="Arial" w:cs="Arial" w:eastAsia="Arial" w:hAnsi="Arial"/>
          <w:sz w:val="18"/>
          <w:szCs w:val="18"/>
          <w:color w:val="auto"/>
        </w:rPr>
        <w:t>Costs of the personal benefits described above for the named executive officers for the year ended September 30, 2008, are included in the All Other Compensation column of the Summary Compensation Table and the notes to that table.</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Severance Plans and Employment Agreements</w:t>
      </w:r>
    </w:p>
    <w:p>
      <w:pPr>
        <w:spacing w:after="0" w:line="126" w:lineRule="exact"/>
        <w:rPr>
          <w:sz w:val="20"/>
          <w:szCs w:val="20"/>
          <w:color w:val="auto"/>
        </w:rPr>
      </w:pPr>
    </w:p>
    <w:p>
      <w:pPr>
        <w:ind w:left="240" w:right="160"/>
        <w:spacing w:after="0" w:line="237" w:lineRule="auto"/>
        <w:rPr>
          <w:sz w:val="20"/>
          <w:szCs w:val="20"/>
          <w:color w:val="auto"/>
        </w:rPr>
      </w:pPr>
      <w:r>
        <w:rPr>
          <w:rFonts w:ascii="Arial" w:cs="Arial" w:eastAsia="Arial" w:hAnsi="Arial"/>
          <w:sz w:val="18"/>
          <w:szCs w:val="18"/>
          <w:color w:val="auto"/>
        </w:rPr>
        <w:t>Mr. Rotunda’s written compensation agreement specifies that in the event of his termination from the Company, other than for cause, a severance payment will be made to him. Upon the occurrence of any such event, this severance payment will be paid within 30 days of the event. Mr. Rotunda’s severance payment will be one year of base salary; one year of short-term incentive compensation, determined as of the termination date; one year of car allowance, and a prorated portion of the incentive compensation award for the period he was actively employed during the fiscal year of termination. In addition, we will make all health care COBRA payments for the same period, adjusted for any applicable taxes.</w:t>
      </w:r>
    </w:p>
    <w:p>
      <w:pPr>
        <w:spacing w:after="0" w:line="97"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Mr. Rotunda’s compensation agreement also provides that in the event of a change in control of the Company, defined as a sale by Phillip Ean Cohen of a majority of the Class B Voting Common Stock, Mr. Rotunda will receive a bonus of 200% of his annual compensation within 30 days of such event. For purposes of this payment, annual compensation is defined as one year of base salary, one year of short term incentive compensation determined as of the termination date and one year of car allowance. In addition, all vesting requirements for any benefit or instrument shall be fully satisfied. If his employment is terminated within six months of a change in control, other than for cause, he will also receive the termination without cause payments described above.</w:t>
      </w:r>
    </w:p>
    <w:p>
      <w:pPr>
        <w:spacing w:after="0" w:line="97" w:lineRule="exact"/>
        <w:rPr>
          <w:sz w:val="20"/>
          <w:szCs w:val="20"/>
          <w:color w:val="auto"/>
        </w:rPr>
      </w:pPr>
    </w:p>
    <w:p>
      <w:pPr>
        <w:ind w:left="240" w:right="40"/>
        <w:spacing w:after="0" w:line="239" w:lineRule="auto"/>
        <w:rPr>
          <w:sz w:val="20"/>
          <w:szCs w:val="20"/>
          <w:color w:val="auto"/>
        </w:rPr>
      </w:pPr>
      <w:r>
        <w:rPr>
          <w:rFonts w:ascii="Arial" w:cs="Arial" w:eastAsia="Arial" w:hAnsi="Arial"/>
          <w:sz w:val="18"/>
          <w:szCs w:val="18"/>
          <w:color w:val="auto"/>
        </w:rPr>
        <w:t>The October 2006 restricted stock awards to the Chairman of the Board and the President and Chief Executive Officer contain provisions for accelerated vesting of some of the shares if certain conditions occur that affect their positions or primary responsibilities. These grants also provide for immediate vesting of all unvested shares to the effected individual in the event of either the failure of the individual to be re-elected to his current position or his termination without cause.</w:t>
      </w:r>
    </w:p>
    <w:p>
      <w:pPr>
        <w:spacing w:after="0" w:line="94"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In addition, each would have a partial acceleration of shares in the event of his death or disability, as described in Notes 2 and 3 to the Outstanding Equity Awards at September 30, 2008 table below. EZCORP is the beneficiary of “Key Man” life and disability insurance policies for the Chairman of the Board and the President and Chief Executive Officer which are designed to approximately offset the additional expense that would be recognized if vesting were accelerated upon death or disability.</w:t>
      </w:r>
    </w:p>
    <w:p>
      <w:pPr>
        <w:spacing w:after="0" w:line="94" w:lineRule="exact"/>
        <w:rPr>
          <w:sz w:val="20"/>
          <w:szCs w:val="20"/>
          <w:color w:val="auto"/>
        </w:rPr>
      </w:pPr>
    </w:p>
    <w:p>
      <w:pPr>
        <w:ind w:left="240" w:right="40"/>
        <w:spacing w:after="0" w:line="246" w:lineRule="auto"/>
        <w:rPr>
          <w:sz w:val="20"/>
          <w:szCs w:val="20"/>
          <w:color w:val="auto"/>
        </w:rPr>
      </w:pPr>
      <w:r>
        <w:rPr>
          <w:rFonts w:ascii="Arial" w:cs="Arial" w:eastAsia="Arial" w:hAnsi="Arial"/>
          <w:sz w:val="18"/>
          <w:szCs w:val="18"/>
          <w:color w:val="auto"/>
        </w:rPr>
        <w:t>In the event of any of the following events happening to the Chairman of the Board or the President and Chief Executive Officer, the effected individual would forfeit the rights to all unvested shares in these awards:</w:t>
      </w:r>
    </w:p>
    <w:p>
      <w:pPr>
        <w:spacing w:after="0" w:line="8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for cause as defined in the Award Agreement.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Voluntary termination of employment except if by mutual written agreement between the effected individual and the Company.</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Violation of the Proprietary Information or Non-Competition sections of the Award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table below presents the compensation that would have been payable to the President and Chief Executive Officer and the Chairman of the Board upon death or disability, assuming either event occurred during September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Supplemental</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Executive</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Incentive</w:t>
            </w:r>
          </w:p>
        </w:tc>
        <w:tc>
          <w:tcPr>
            <w:tcW w:w="3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rPr>
              <w:t>Award date value of</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Retirement</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3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rPr>
              <w:t>accelerated vesting of</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Plan balance</w:t>
            </w:r>
          </w:p>
        </w:tc>
        <w:tc>
          <w:tcPr>
            <w:tcW w:w="320" w:type="dxa"/>
            <w:vAlign w:val="bottom"/>
          </w:tcPr>
          <w:p>
            <w:pPr>
              <w:spacing w:after="0"/>
              <w:rPr>
                <w:sz w:val="14"/>
                <w:szCs w:val="14"/>
                <w:color w:val="auto"/>
              </w:rPr>
            </w:pPr>
          </w:p>
        </w:tc>
        <w:tc>
          <w:tcPr>
            <w:tcW w:w="1280" w:type="dxa"/>
            <w:vAlign w:val="bottom"/>
          </w:tcPr>
          <w:p>
            <w:pPr>
              <w:jc w:val="right"/>
              <w:ind w:right="419"/>
              <w:spacing w:after="0"/>
              <w:rPr>
                <w:sz w:val="20"/>
                <w:szCs w:val="20"/>
                <w:color w:val="auto"/>
              </w:rPr>
            </w:pPr>
            <w:r>
              <w:rPr>
                <w:rFonts w:ascii="Arial" w:cs="Arial" w:eastAsia="Arial" w:hAnsi="Arial"/>
                <w:sz w:val="14"/>
                <w:szCs w:val="14"/>
                <w:color w:val="auto"/>
              </w:rPr>
              <w:t>Auto</w:t>
            </w:r>
          </w:p>
        </w:tc>
      </w:tr>
      <w:tr>
        <w:trPr>
          <w:trHeight w:val="157"/>
        </w:trPr>
        <w:tc>
          <w:tcPr>
            <w:tcW w:w="20" w:type="dxa"/>
            <w:vAlign w:val="bottom"/>
          </w:tcPr>
          <w:p>
            <w:pPr>
              <w:spacing w:after="0"/>
              <w:rPr>
                <w:sz w:val="13"/>
                <w:szCs w:val="13"/>
                <w:color w:val="auto"/>
              </w:rPr>
            </w:pPr>
          </w:p>
        </w:tc>
        <w:tc>
          <w:tcPr>
            <w:tcW w:w="2600" w:type="dxa"/>
            <w:vAlign w:val="bottom"/>
            <w:tcBorders>
              <w:bottom w:val="single" w:sz="8" w:color="auto"/>
            </w:tcBorders>
          </w:tcPr>
          <w:p>
            <w:pPr>
              <w:ind w:left="1100"/>
              <w:spacing w:after="0" w:line="157" w:lineRule="exact"/>
              <w:rPr>
                <w:sz w:val="20"/>
                <w:szCs w:val="20"/>
                <w:color w:val="auto"/>
              </w:rPr>
            </w:pPr>
            <w:r>
              <w:rPr>
                <w:rFonts w:ascii="Arial" w:cs="Arial" w:eastAsia="Arial" w:hAnsi="Arial"/>
                <w:sz w:val="14"/>
                <w:szCs w:val="14"/>
                <w:color w:val="auto"/>
              </w:rPr>
              <w:t>Name</w:t>
            </w:r>
          </w:p>
        </w:tc>
        <w:tc>
          <w:tcPr>
            <w:tcW w:w="300" w:type="dxa"/>
            <w:vAlign w:val="bottom"/>
          </w:tcPr>
          <w:p>
            <w:pPr>
              <w:spacing w:after="0"/>
              <w:rPr>
                <w:sz w:val="13"/>
                <w:szCs w:val="13"/>
                <w:color w:val="auto"/>
              </w:rPr>
            </w:pPr>
          </w:p>
        </w:tc>
        <w:tc>
          <w:tcPr>
            <w:tcW w:w="1040" w:type="dxa"/>
            <w:vAlign w:val="bottom"/>
            <w:tcBorders>
              <w:bottom w:val="single" w:sz="8" w:color="auto"/>
            </w:tcBorders>
          </w:tcPr>
          <w:p>
            <w:pPr>
              <w:jc w:val="right"/>
              <w:ind w:right="116"/>
              <w:spacing w:after="0" w:line="157" w:lineRule="exact"/>
              <w:rPr>
                <w:sz w:val="20"/>
                <w:szCs w:val="20"/>
                <w:color w:val="auto"/>
              </w:rPr>
            </w:pPr>
            <w:r>
              <w:rPr>
                <w:rFonts w:ascii="Arial" w:cs="Arial" w:eastAsia="Arial" w:hAnsi="Arial"/>
                <w:sz w:val="14"/>
                <w:szCs w:val="14"/>
                <w:color w:val="auto"/>
              </w:rPr>
              <w:t>Salary ($)</w:t>
            </w:r>
          </w:p>
        </w:tc>
        <w:tc>
          <w:tcPr>
            <w:tcW w:w="300" w:type="dxa"/>
            <w:vAlign w:val="bottom"/>
          </w:tcPr>
          <w:p>
            <w:pPr>
              <w:spacing w:after="0"/>
              <w:rPr>
                <w:sz w:val="13"/>
                <w:szCs w:val="13"/>
                <w:color w:val="auto"/>
              </w:rPr>
            </w:pPr>
          </w:p>
        </w:tc>
        <w:tc>
          <w:tcPr>
            <w:tcW w:w="16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 (a)</w:t>
            </w:r>
          </w:p>
        </w:tc>
        <w:tc>
          <w:tcPr>
            <w:tcW w:w="300" w:type="dxa"/>
            <w:vAlign w:val="bottom"/>
          </w:tcPr>
          <w:p>
            <w:pPr>
              <w:spacing w:after="0"/>
              <w:rPr>
                <w:sz w:val="13"/>
                <w:szCs w:val="13"/>
                <w:color w:val="auto"/>
              </w:rPr>
            </w:pPr>
          </w:p>
        </w:tc>
        <w:tc>
          <w:tcPr>
            <w:tcW w:w="2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restricted stock ($) (c)</w:t>
            </w:r>
          </w:p>
        </w:tc>
        <w:tc>
          <w:tcPr>
            <w:tcW w:w="30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 (b)</w:t>
            </w:r>
          </w:p>
        </w:tc>
        <w:tc>
          <w:tcPr>
            <w:tcW w:w="320" w:type="dxa"/>
            <w:vAlign w:val="bottom"/>
          </w:tcPr>
          <w:p>
            <w:pPr>
              <w:spacing w:after="0"/>
              <w:rPr>
                <w:sz w:val="13"/>
                <w:szCs w:val="13"/>
                <w:color w:val="auto"/>
              </w:rPr>
            </w:pPr>
          </w:p>
        </w:tc>
        <w:tc>
          <w:tcPr>
            <w:tcW w:w="1280" w:type="dxa"/>
            <w:vAlign w:val="bottom"/>
            <w:tcBorders>
              <w:bottom w:val="single" w:sz="8" w:color="auto"/>
            </w:tcBorders>
          </w:tcPr>
          <w:p>
            <w:pPr>
              <w:jc w:val="right"/>
              <w:ind w:right="119"/>
              <w:spacing w:after="0" w:line="157" w:lineRule="exact"/>
              <w:rPr>
                <w:sz w:val="20"/>
                <w:szCs w:val="20"/>
                <w:color w:val="auto"/>
              </w:rPr>
            </w:pPr>
            <w:r>
              <w:rPr>
                <w:rFonts w:ascii="Arial" w:cs="Arial" w:eastAsia="Arial" w:hAnsi="Arial"/>
                <w:sz w:val="14"/>
                <w:szCs w:val="14"/>
                <w:color w:val="auto"/>
              </w:rPr>
              <w:t>Allowance ($)</w:t>
            </w:r>
          </w:p>
        </w:tc>
      </w:tr>
      <w:tr>
        <w:trPr>
          <w:trHeight w:val="195"/>
        </w:trPr>
        <w:tc>
          <w:tcPr>
            <w:tcW w:w="20" w:type="dxa"/>
            <w:vAlign w:val="bottom"/>
          </w:tcPr>
          <w:p>
            <w:pPr>
              <w:spacing w:after="0"/>
              <w:rPr>
                <w:sz w:val="16"/>
                <w:szCs w:val="16"/>
                <w:color w:val="auto"/>
              </w:rPr>
            </w:pPr>
          </w:p>
        </w:tc>
        <w:tc>
          <w:tcPr>
            <w:tcW w:w="2600" w:type="dxa"/>
            <w:vAlign w:val="bottom"/>
          </w:tcPr>
          <w:p>
            <w:pPr>
              <w:spacing w:after="0" w:line="195" w:lineRule="exact"/>
              <w:rPr>
                <w:sz w:val="20"/>
                <w:szCs w:val="20"/>
                <w:color w:val="auto"/>
              </w:rPr>
            </w:pPr>
            <w:r>
              <w:rPr>
                <w:rFonts w:ascii="Arial" w:cs="Arial" w:eastAsia="Arial" w:hAnsi="Arial"/>
                <w:sz w:val="18"/>
                <w:szCs w:val="18"/>
                <w:color w:val="auto"/>
              </w:rPr>
              <w:t>Joseph L. Rotunda</w:t>
            </w:r>
          </w:p>
        </w:tc>
        <w:tc>
          <w:tcPr>
            <w:tcW w:w="300" w:type="dxa"/>
            <w:vAlign w:val="bottom"/>
          </w:tcPr>
          <w:p>
            <w:pPr>
              <w:spacing w:after="0"/>
              <w:rPr>
                <w:sz w:val="16"/>
                <w:szCs w:val="16"/>
                <w:color w:val="auto"/>
              </w:rPr>
            </w:pPr>
          </w:p>
        </w:tc>
        <w:tc>
          <w:tcPr>
            <w:tcW w:w="1040" w:type="dxa"/>
            <w:vAlign w:val="bottom"/>
          </w:tcPr>
          <w:p>
            <w:pPr>
              <w:jc w:val="right"/>
              <w:ind w:right="96"/>
              <w:spacing w:after="0" w:line="195" w:lineRule="exact"/>
              <w:rPr>
                <w:sz w:val="20"/>
                <w:szCs w:val="20"/>
                <w:color w:val="auto"/>
              </w:rPr>
            </w:pPr>
            <w:r>
              <w:rPr>
                <w:rFonts w:ascii="Arial" w:cs="Arial" w:eastAsia="Arial" w:hAnsi="Arial"/>
                <w:sz w:val="18"/>
                <w:szCs w:val="18"/>
                <w:color w:val="auto"/>
              </w:rPr>
              <w:t>800,000</w:t>
            </w:r>
          </w:p>
        </w:tc>
        <w:tc>
          <w:tcPr>
            <w:tcW w:w="300" w:type="dxa"/>
            <w:vAlign w:val="bottom"/>
          </w:tcPr>
          <w:p>
            <w:pPr>
              <w:spacing w:after="0"/>
              <w:rPr>
                <w:sz w:val="16"/>
                <w:szCs w:val="16"/>
                <w:color w:val="auto"/>
              </w:rPr>
            </w:pPr>
          </w:p>
        </w:tc>
        <w:tc>
          <w:tcPr>
            <w:tcW w:w="1600" w:type="dxa"/>
            <w:vAlign w:val="bottom"/>
          </w:tcPr>
          <w:p>
            <w:pPr>
              <w:jc w:val="right"/>
              <w:ind w:right="321"/>
              <w:spacing w:after="0" w:line="195" w:lineRule="exact"/>
              <w:rPr>
                <w:sz w:val="20"/>
                <w:szCs w:val="20"/>
                <w:color w:val="auto"/>
              </w:rPr>
            </w:pPr>
            <w:r>
              <w:rPr>
                <w:rFonts w:ascii="Arial" w:cs="Arial" w:eastAsia="Arial" w:hAnsi="Arial"/>
                <w:sz w:val="18"/>
                <w:szCs w:val="18"/>
                <w:color w:val="auto"/>
              </w:rPr>
              <w:t>1,600,000</w:t>
            </w:r>
          </w:p>
        </w:tc>
        <w:tc>
          <w:tcPr>
            <w:tcW w:w="300" w:type="dxa"/>
            <w:vAlign w:val="bottom"/>
          </w:tcPr>
          <w:p>
            <w:pPr>
              <w:spacing w:after="0"/>
              <w:rPr>
                <w:sz w:val="16"/>
                <w:szCs w:val="16"/>
                <w:color w:val="auto"/>
              </w:rPr>
            </w:pPr>
          </w:p>
        </w:tc>
        <w:tc>
          <w:tcPr>
            <w:tcW w:w="2000" w:type="dxa"/>
            <w:vAlign w:val="bottom"/>
          </w:tcPr>
          <w:p>
            <w:pPr>
              <w:jc w:val="center"/>
              <w:spacing w:after="0" w:line="195" w:lineRule="exact"/>
              <w:rPr>
                <w:sz w:val="20"/>
                <w:szCs w:val="20"/>
                <w:color w:val="auto"/>
              </w:rPr>
            </w:pPr>
            <w:r>
              <w:rPr>
                <w:rFonts w:ascii="Arial" w:cs="Arial" w:eastAsia="Arial" w:hAnsi="Arial"/>
                <w:sz w:val="18"/>
                <w:szCs w:val="18"/>
                <w:color w:val="auto"/>
                <w:w w:val="99"/>
              </w:rPr>
              <w:t>5,279,600</w:t>
            </w:r>
          </w:p>
        </w:tc>
        <w:tc>
          <w:tcPr>
            <w:tcW w:w="300" w:type="dxa"/>
            <w:vAlign w:val="bottom"/>
          </w:tcPr>
          <w:p>
            <w:pPr>
              <w:spacing w:after="0"/>
              <w:rPr>
                <w:sz w:val="16"/>
                <w:szCs w:val="16"/>
                <w:color w:val="auto"/>
              </w:rPr>
            </w:pP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rPr>
              <w:t>331,034</w:t>
            </w:r>
          </w:p>
        </w:tc>
        <w:tc>
          <w:tcPr>
            <w:tcW w:w="320" w:type="dxa"/>
            <w:vAlign w:val="bottom"/>
          </w:tcPr>
          <w:p>
            <w:pPr>
              <w:spacing w:after="0"/>
              <w:rPr>
                <w:sz w:val="16"/>
                <w:szCs w:val="16"/>
                <w:color w:val="auto"/>
              </w:rPr>
            </w:pPr>
          </w:p>
        </w:tc>
        <w:tc>
          <w:tcPr>
            <w:tcW w:w="128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26,654</w:t>
            </w:r>
          </w:p>
        </w:tc>
      </w:tr>
      <w:tr>
        <w:trPr>
          <w:trHeight w:val="217"/>
        </w:trPr>
        <w:tc>
          <w:tcPr>
            <w:tcW w:w="2620" w:type="dxa"/>
            <w:vAlign w:val="bottom"/>
            <w:gridSpan w:val="2"/>
          </w:tcPr>
          <w:p>
            <w:pPr>
              <w:spacing w:after="0"/>
              <w:rPr>
                <w:sz w:val="20"/>
                <w:szCs w:val="20"/>
                <w:color w:val="auto"/>
              </w:rPr>
            </w:pPr>
            <w:r>
              <w:rPr>
                <w:rFonts w:ascii="Arial" w:cs="Arial" w:eastAsia="Arial" w:hAnsi="Arial"/>
                <w:sz w:val="18"/>
                <w:szCs w:val="18"/>
                <w:color w:val="auto"/>
              </w:rPr>
              <w:t>Sterling B. Brinkley</w:t>
            </w:r>
          </w:p>
        </w:tc>
        <w:tc>
          <w:tcPr>
            <w:tcW w:w="300" w:type="dxa"/>
            <w:vAlign w:val="bottom"/>
          </w:tcPr>
          <w:p>
            <w:pPr>
              <w:spacing w:after="0"/>
              <w:rPr>
                <w:sz w:val="18"/>
                <w:szCs w:val="18"/>
                <w:color w:val="auto"/>
              </w:rPr>
            </w:pP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3,492,000</w:t>
            </w:r>
          </w:p>
        </w:tc>
        <w:tc>
          <w:tcPr>
            <w:tcW w:w="1660" w:type="dxa"/>
            <w:vAlign w:val="bottom"/>
            <w:gridSpan w:val="2"/>
          </w:tcPr>
          <w:p>
            <w:pPr>
              <w:jc w:val="center"/>
              <w:ind w:left="230"/>
              <w:spacing w:after="0"/>
              <w:rPr>
                <w:sz w:val="20"/>
                <w:szCs w:val="20"/>
                <w:color w:val="auto"/>
              </w:rPr>
            </w:pPr>
            <w:r>
              <w:rPr>
                <w:rFonts w:ascii="Arial" w:cs="Arial" w:eastAsia="Arial" w:hAnsi="Arial"/>
                <w:sz w:val="18"/>
                <w:szCs w:val="18"/>
                <w:color w:val="auto"/>
              </w:rPr>
              <w:t>205,129</w:t>
            </w:r>
          </w:p>
        </w:tc>
        <w:tc>
          <w:tcPr>
            <w:tcW w:w="320" w:type="dxa"/>
            <w:vAlign w:val="bottom"/>
          </w:tcPr>
          <w:p>
            <w:pPr>
              <w:spacing w:after="0"/>
              <w:rPr>
                <w:sz w:val="18"/>
                <w:szCs w:val="18"/>
                <w:color w:val="auto"/>
              </w:rPr>
            </w:pPr>
          </w:p>
        </w:tc>
        <w:tc>
          <w:tcPr>
            <w:tcW w:w="1280" w:type="dxa"/>
            <w:vAlign w:val="bottom"/>
          </w:tcPr>
          <w:p>
            <w:pPr>
              <w:jc w:val="right"/>
              <w:ind w:right="27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half of the incentive compensation amount above was fully earned by September 30, 2008, but was not yet paid at year-end and is not prorated, as the year was complete. This is the same amount as shown under Non-Equity Incentive Plan Compensation in the Summary Compensation Table below, and would not be paid in addition to that amount but in lieu of it in the case of death or disability.</w:t>
      </w:r>
    </w:p>
    <w:p>
      <w:pPr>
        <w:spacing w:after="0" w:line="54" w:lineRule="exact"/>
        <w:rPr>
          <w:rFonts w:ascii="Arial" w:cs="Arial" w:eastAsia="Arial" w:hAnsi="Arial"/>
          <w:sz w:val="18"/>
          <w:szCs w:val="18"/>
          <w:color w:val="auto"/>
        </w:rPr>
      </w:pPr>
    </w:p>
    <w:p>
      <w:pPr>
        <w:ind w:left="460" w:right="36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already funded these amounts to the Supplemental Executive Retirement Plan, and the Supplemental Executive Retirement Plan would pay these amounts to the named executive.</w:t>
      </w:r>
    </w:p>
    <w:p>
      <w:pPr>
        <w:spacing w:after="0" w:line="48" w:lineRule="exact"/>
        <w:rPr>
          <w:rFonts w:ascii="Arial" w:cs="Arial" w:eastAsia="Arial" w:hAnsi="Arial"/>
          <w:sz w:val="18"/>
          <w:szCs w:val="18"/>
          <w:color w:val="auto"/>
        </w:rPr>
      </w:pPr>
    </w:p>
    <w:p>
      <w:pPr>
        <w:ind w:left="460" w:right="14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Twenty percent of the restricted stock vested October 2, 2008, reducing these amounts by $1,220,200 for Mr. Rotunda and $873,000 for Mr. Brinkley at that date.</w:t>
      </w:r>
    </w:p>
    <w:p>
      <w:pPr>
        <w:spacing w:after="0" w:line="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table below presents the compensation that would have been payable to the President and Chief Executive Officer upon a termination without cause, assuming that the event occurred during September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Supplemental</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Incentive</w:t>
            </w:r>
          </w:p>
        </w:tc>
        <w:tc>
          <w:tcPr>
            <w:tcW w:w="3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Award date value of</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Executive</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3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accelerated vesting of</w:t>
            </w:r>
          </w:p>
        </w:tc>
        <w:tc>
          <w:tcPr>
            <w:tcW w:w="3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Retirement</w:t>
            </w:r>
          </w:p>
        </w:tc>
        <w:tc>
          <w:tcPr>
            <w:tcW w:w="3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Auto</w:t>
            </w:r>
          </w:p>
        </w:tc>
      </w:tr>
      <w:tr>
        <w:trPr>
          <w:trHeight w:val="157"/>
        </w:trPr>
        <w:tc>
          <w:tcPr>
            <w:tcW w:w="20" w:type="dxa"/>
            <w:vAlign w:val="bottom"/>
          </w:tcPr>
          <w:p>
            <w:pPr>
              <w:spacing w:after="0"/>
              <w:rPr>
                <w:sz w:val="13"/>
                <w:szCs w:val="13"/>
                <w:color w:val="auto"/>
              </w:rPr>
            </w:pPr>
          </w:p>
        </w:tc>
        <w:tc>
          <w:tcPr>
            <w:tcW w:w="2640" w:type="dxa"/>
            <w:vAlign w:val="bottom"/>
          </w:tcPr>
          <w:p>
            <w:pPr>
              <w:jc w:val="right"/>
              <w:ind w:right="1059"/>
              <w:spacing w:after="0" w:line="157" w:lineRule="exact"/>
              <w:rPr>
                <w:sz w:val="20"/>
                <w:szCs w:val="20"/>
                <w:color w:val="auto"/>
              </w:rPr>
            </w:pPr>
            <w:r>
              <w:rPr>
                <w:rFonts w:ascii="Arial" w:cs="Arial" w:eastAsia="Arial" w:hAnsi="Arial"/>
                <w:sz w:val="14"/>
                <w:szCs w:val="14"/>
                <w:color w:val="auto"/>
              </w:rPr>
              <w:t>Name</w:t>
            </w:r>
          </w:p>
        </w:tc>
        <w:tc>
          <w:tcPr>
            <w:tcW w:w="300" w:type="dxa"/>
            <w:vAlign w:val="bottom"/>
          </w:tcPr>
          <w:p>
            <w:pPr>
              <w:spacing w:after="0"/>
              <w:rPr>
                <w:sz w:val="13"/>
                <w:szCs w:val="13"/>
                <w:color w:val="auto"/>
              </w:rPr>
            </w:pPr>
          </w:p>
        </w:tc>
        <w:tc>
          <w:tcPr>
            <w:tcW w:w="1080" w:type="dxa"/>
            <w:vAlign w:val="bottom"/>
          </w:tcPr>
          <w:p>
            <w:pPr>
              <w:ind w:left="220"/>
              <w:spacing w:after="0" w:line="157" w:lineRule="exact"/>
              <w:rPr>
                <w:sz w:val="20"/>
                <w:szCs w:val="20"/>
                <w:color w:val="auto"/>
              </w:rPr>
            </w:pPr>
            <w:r>
              <w:rPr>
                <w:rFonts w:ascii="Arial" w:cs="Arial" w:eastAsia="Arial" w:hAnsi="Arial"/>
                <w:sz w:val="14"/>
                <w:szCs w:val="14"/>
                <w:color w:val="auto"/>
              </w:rPr>
              <w:t>Salary ($)</w:t>
            </w:r>
          </w:p>
        </w:tc>
        <w:tc>
          <w:tcPr>
            <w:tcW w:w="1900" w:type="dxa"/>
            <w:vAlign w:val="bottom"/>
            <w:gridSpan w:val="2"/>
          </w:tcPr>
          <w:p>
            <w:pPr>
              <w:jc w:val="center"/>
              <w:ind w:left="228"/>
              <w:spacing w:after="0" w:line="157" w:lineRule="exact"/>
              <w:rPr>
                <w:sz w:val="20"/>
                <w:szCs w:val="20"/>
                <w:color w:val="auto"/>
              </w:rPr>
            </w:pPr>
            <w:r>
              <w:rPr>
                <w:rFonts w:ascii="Arial" w:cs="Arial" w:eastAsia="Arial" w:hAnsi="Arial"/>
                <w:sz w:val="14"/>
                <w:szCs w:val="14"/>
                <w:color w:val="auto"/>
                <w:w w:val="93"/>
              </w:rPr>
              <w:t>($)</w:t>
            </w:r>
          </w:p>
        </w:tc>
        <w:tc>
          <w:tcPr>
            <w:tcW w:w="300" w:type="dxa"/>
            <w:vAlign w:val="bottom"/>
          </w:tcPr>
          <w:p>
            <w:pPr>
              <w:spacing w:after="0"/>
              <w:rPr>
                <w:sz w:val="13"/>
                <w:szCs w:val="13"/>
                <w:color w:val="auto"/>
              </w:rPr>
            </w:pPr>
          </w:p>
        </w:tc>
        <w:tc>
          <w:tcPr>
            <w:tcW w:w="1920" w:type="dxa"/>
            <w:vAlign w:val="bottom"/>
          </w:tcPr>
          <w:p>
            <w:pPr>
              <w:jc w:val="center"/>
              <w:spacing w:after="0" w:line="157" w:lineRule="exact"/>
              <w:rPr>
                <w:sz w:val="20"/>
                <w:szCs w:val="20"/>
                <w:color w:val="auto"/>
              </w:rPr>
            </w:pPr>
            <w:r>
              <w:rPr>
                <w:rFonts w:ascii="Arial" w:cs="Arial" w:eastAsia="Arial" w:hAnsi="Arial"/>
                <w:sz w:val="14"/>
                <w:szCs w:val="14"/>
                <w:color w:val="auto"/>
              </w:rPr>
              <w:t>restricted stock ($)</w:t>
            </w:r>
          </w:p>
        </w:tc>
        <w:tc>
          <w:tcPr>
            <w:tcW w:w="30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4"/>
                <w:szCs w:val="14"/>
                <w:color w:val="auto"/>
              </w:rPr>
              <w:t>Plan balance</w:t>
            </w:r>
          </w:p>
        </w:tc>
        <w:tc>
          <w:tcPr>
            <w:tcW w:w="32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color w:val="auto"/>
              </w:rPr>
              <w:t>Allowance ($)</w:t>
            </w:r>
          </w:p>
        </w:tc>
      </w:tr>
      <w:tr>
        <w:trPr>
          <w:trHeight w:val="210"/>
        </w:trPr>
        <w:tc>
          <w:tcPr>
            <w:tcW w:w="20" w:type="dxa"/>
            <w:vAlign w:val="bottom"/>
          </w:tcPr>
          <w:p>
            <w:pPr>
              <w:spacing w:after="0"/>
              <w:rPr>
                <w:sz w:val="18"/>
                <w:szCs w:val="18"/>
                <w:color w:val="auto"/>
              </w:rPr>
            </w:pPr>
          </w:p>
        </w:tc>
        <w:tc>
          <w:tcPr>
            <w:tcW w:w="2640" w:type="dxa"/>
            <w:vAlign w:val="bottom"/>
            <w:tcBorders>
              <w:top w:val="single" w:sz="8" w:color="auto"/>
            </w:tcBorders>
          </w:tcPr>
          <w:p>
            <w:pPr>
              <w:jc w:val="right"/>
              <w:ind w:right="1059"/>
              <w:spacing w:after="0"/>
              <w:rPr>
                <w:sz w:val="20"/>
                <w:szCs w:val="20"/>
                <w:color w:val="auto"/>
              </w:rPr>
            </w:pPr>
            <w:r>
              <w:rPr>
                <w:rFonts w:ascii="Arial" w:cs="Arial" w:eastAsia="Arial" w:hAnsi="Arial"/>
                <w:sz w:val="18"/>
                <w:szCs w:val="18"/>
                <w:color w:val="auto"/>
                <w:w w:val="97"/>
              </w:rPr>
              <w:t>Joseph L. Rotunda</w:t>
            </w:r>
          </w:p>
        </w:tc>
        <w:tc>
          <w:tcPr>
            <w:tcW w:w="300" w:type="dxa"/>
            <w:vAlign w:val="bottom"/>
          </w:tcPr>
          <w:p>
            <w:pPr>
              <w:spacing w:after="0"/>
              <w:rPr>
                <w:sz w:val="18"/>
                <w:szCs w:val="18"/>
                <w:color w:val="auto"/>
              </w:rPr>
            </w:pPr>
          </w:p>
        </w:tc>
        <w:tc>
          <w:tcPr>
            <w:tcW w:w="10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800,000</w:t>
            </w:r>
          </w:p>
        </w:tc>
        <w:tc>
          <w:tcPr>
            <w:tcW w:w="30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1,600,000</w:t>
            </w:r>
          </w:p>
        </w:tc>
        <w:tc>
          <w:tcPr>
            <w:tcW w:w="30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12,612,800</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331,034</w:t>
            </w:r>
          </w:p>
        </w:tc>
        <w:tc>
          <w:tcPr>
            <w:tcW w:w="32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26,654</w:t>
            </w:r>
          </w:p>
        </w:tc>
      </w:tr>
    </w:tbl>
    <w:p>
      <w:pPr>
        <w:spacing w:after="0" w:line="9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table below presents the compensation payable to the President and Chief Executive Officer as a bonus upon a change in control of the company, as defined, as if the change in control occurred on September 30,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Incentive</w:t>
            </w:r>
          </w:p>
        </w:tc>
        <w:tc>
          <w:tcPr>
            <w:tcW w:w="3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Award date value of</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3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accelerated vesting of</w:t>
            </w:r>
          </w:p>
        </w:tc>
        <w:tc>
          <w:tcPr>
            <w:tcW w:w="3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Auto</w:t>
            </w:r>
          </w:p>
        </w:tc>
      </w:tr>
      <w:tr>
        <w:trPr>
          <w:trHeight w:val="157"/>
        </w:trPr>
        <w:tc>
          <w:tcPr>
            <w:tcW w:w="20" w:type="dxa"/>
            <w:vAlign w:val="bottom"/>
          </w:tcPr>
          <w:p>
            <w:pPr>
              <w:spacing w:after="0"/>
              <w:rPr>
                <w:sz w:val="13"/>
                <w:szCs w:val="13"/>
                <w:color w:val="auto"/>
              </w:rPr>
            </w:pPr>
          </w:p>
        </w:tc>
        <w:tc>
          <w:tcPr>
            <w:tcW w:w="3900" w:type="dxa"/>
            <w:vAlign w:val="bottom"/>
          </w:tcPr>
          <w:p>
            <w:pPr>
              <w:ind w:left="1740"/>
              <w:spacing w:after="0" w:line="157" w:lineRule="exact"/>
              <w:rPr>
                <w:sz w:val="20"/>
                <w:szCs w:val="20"/>
                <w:color w:val="auto"/>
              </w:rPr>
            </w:pPr>
            <w:r>
              <w:rPr>
                <w:rFonts w:ascii="Arial" w:cs="Arial" w:eastAsia="Arial" w:hAnsi="Arial"/>
                <w:sz w:val="14"/>
                <w:szCs w:val="14"/>
                <w:color w:val="auto"/>
              </w:rPr>
              <w:t>Name</w:t>
            </w:r>
          </w:p>
        </w:tc>
        <w:tc>
          <w:tcPr>
            <w:tcW w:w="36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rPr>
              <w:t>Salary ($)</w:t>
            </w:r>
          </w:p>
        </w:tc>
        <w:tc>
          <w:tcPr>
            <w:tcW w:w="1960" w:type="dxa"/>
            <w:vAlign w:val="bottom"/>
            <w:gridSpan w:val="2"/>
          </w:tcPr>
          <w:p>
            <w:pPr>
              <w:jc w:val="center"/>
              <w:ind w:left="30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920" w:type="dxa"/>
            <w:vAlign w:val="bottom"/>
          </w:tcPr>
          <w:p>
            <w:pPr>
              <w:jc w:val="center"/>
              <w:spacing w:after="0" w:line="157" w:lineRule="exact"/>
              <w:rPr>
                <w:sz w:val="20"/>
                <w:szCs w:val="20"/>
                <w:color w:val="auto"/>
              </w:rPr>
            </w:pPr>
            <w:r>
              <w:rPr>
                <w:rFonts w:ascii="Arial" w:cs="Arial" w:eastAsia="Arial" w:hAnsi="Arial"/>
                <w:sz w:val="14"/>
                <w:szCs w:val="14"/>
                <w:color w:val="auto"/>
              </w:rPr>
              <w:t>restricted stock ($)</w:t>
            </w:r>
          </w:p>
        </w:tc>
        <w:tc>
          <w:tcPr>
            <w:tcW w:w="36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color w:val="auto"/>
              </w:rPr>
              <w:t>Allowance ($)</w:t>
            </w: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L. Rotunda</w:t>
            </w:r>
          </w:p>
        </w:tc>
        <w:tc>
          <w:tcPr>
            <w:tcW w:w="360" w:type="dxa"/>
            <w:vAlign w:val="bottom"/>
          </w:tcPr>
          <w:p>
            <w:pPr>
              <w:spacing w:after="0"/>
              <w:rPr>
                <w:sz w:val="18"/>
                <w:szCs w:val="18"/>
                <w:color w:val="auto"/>
              </w:rPr>
            </w:pP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1,600,000</w:t>
            </w:r>
          </w:p>
        </w:tc>
        <w:tc>
          <w:tcPr>
            <w:tcW w:w="36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1,600,000</w:t>
            </w:r>
          </w:p>
        </w:tc>
        <w:tc>
          <w:tcPr>
            <w:tcW w:w="360" w:type="dxa"/>
            <w:vAlign w:val="bottom"/>
          </w:tcPr>
          <w:p>
            <w:pPr>
              <w:spacing w:after="0"/>
              <w:rPr>
                <w:sz w:val="18"/>
                <w:szCs w:val="18"/>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12,612,800</w:t>
            </w:r>
          </w:p>
        </w:tc>
        <w:tc>
          <w:tcPr>
            <w:tcW w:w="360" w:type="dxa"/>
            <w:vAlign w:val="bottom"/>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53,308</w:t>
            </w:r>
          </w:p>
        </w:tc>
      </w:tr>
    </w:tbl>
    <w:p>
      <w:pPr>
        <w:spacing w:after="0" w:line="9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No other employee has any contractual right to any base salary, incentive, or stock-based compensation payments upon termination, nor are there any other compensation or employment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None of the members of the Compensation Committee is an officer or employee of EZCORP. None of our executive officers serves or has served on a board of directors or compensation committee of any other company that had a member of our Board as an executive officer. There are no interlocks or insider participation among the Compensation Committee members and our executive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has reviewed this Compensation Discussion and Analysis and has discussed it with management. Based on its review and discussion with management, the Compensation Committee has recommended to the Board that this report be included in this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EZCORP Compensation Committee members: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Richard D. Sage (Compensation Committee Chairman)</w:t>
      </w:r>
    </w:p>
    <w:p>
      <w:pPr>
        <w:spacing w:after="0" w:line="234" w:lineRule="auto"/>
        <w:rPr>
          <w:sz w:val="20"/>
          <w:szCs w:val="20"/>
          <w:color w:val="auto"/>
        </w:rPr>
      </w:pPr>
      <w:r>
        <w:rPr>
          <w:rFonts w:ascii="Arial" w:cs="Arial" w:eastAsia="Arial" w:hAnsi="Arial"/>
          <w:sz w:val="18"/>
          <w:szCs w:val="18"/>
          <w:color w:val="auto"/>
        </w:rPr>
        <w:t>Richard M. Edwards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Thomas C. Roberts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 Tables &amp; Footnotes</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table below summarizes the total compensation paid or earned by each named executive officer in the years ended September 30, 2008 and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Nonqualified</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6"/>
              </w:rPr>
              <w:t>Non-Equity</w:t>
            </w: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color w:val="auto"/>
                <w:w w:val="98"/>
              </w:rPr>
              <w:t>Deferred</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8"/>
              </w:rPr>
              <w:t>Stock</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9"/>
              </w:rPr>
              <w:t>Option</w:t>
            </w:r>
          </w:p>
        </w:tc>
        <w:tc>
          <w:tcPr>
            <w:tcW w:w="1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7"/>
              </w:rPr>
              <w:t>Incentive Plan</w:t>
            </w: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color w:val="auto"/>
                <w:w w:val="97"/>
              </w:rPr>
              <w:t>Compensation</w:t>
            </w: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94"/>
              </w:rPr>
              <w:t>All Other</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6"/>
              </w:rPr>
              <w:t>Name and Principal</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240"/>
              <w:spacing w:after="0" w:line="135" w:lineRule="exact"/>
              <w:rPr>
                <w:sz w:val="20"/>
                <w:szCs w:val="20"/>
                <w:color w:val="auto"/>
              </w:rPr>
            </w:pPr>
            <w:r>
              <w:rPr>
                <w:rFonts w:ascii="Arial" w:cs="Arial" w:eastAsia="Arial" w:hAnsi="Arial"/>
                <w:sz w:val="13"/>
                <w:szCs w:val="13"/>
                <w:color w:val="auto"/>
              </w:rPr>
              <w:t>Salary</w:t>
            </w:r>
          </w:p>
        </w:tc>
        <w:tc>
          <w:tcPr>
            <w:tcW w:w="140" w:type="dxa"/>
            <w:vAlign w:val="bottom"/>
          </w:tcPr>
          <w:p>
            <w:pPr>
              <w:spacing w:after="0"/>
              <w:rPr>
                <w:sz w:val="11"/>
                <w:szCs w:val="11"/>
                <w:color w:val="auto"/>
              </w:rPr>
            </w:pPr>
          </w:p>
        </w:tc>
        <w:tc>
          <w:tcPr>
            <w:tcW w:w="360" w:type="dxa"/>
            <w:vAlign w:val="bottom"/>
          </w:tcPr>
          <w:p>
            <w:pPr>
              <w:jc w:val="center"/>
              <w:spacing w:after="0" w:line="135" w:lineRule="exact"/>
              <w:rPr>
                <w:sz w:val="20"/>
                <w:szCs w:val="20"/>
                <w:color w:val="auto"/>
              </w:rPr>
            </w:pPr>
            <w:r>
              <w:rPr>
                <w:rFonts w:ascii="Arial" w:cs="Arial" w:eastAsia="Arial" w:hAnsi="Arial"/>
                <w:sz w:val="13"/>
                <w:szCs w:val="13"/>
                <w:color w:val="auto"/>
                <w:w w:val="97"/>
              </w:rPr>
              <w:t>Bonus</w:t>
            </w:r>
          </w:p>
        </w:tc>
        <w:tc>
          <w:tcPr>
            <w:tcW w:w="1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color w:val="auto"/>
                <w:w w:val="96"/>
              </w:rPr>
              <w:t>Awards</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6"/>
              </w:rPr>
              <w:t>Awards</w:t>
            </w:r>
          </w:p>
        </w:tc>
        <w:tc>
          <w:tcPr>
            <w:tcW w:w="1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3"/>
                <w:szCs w:val="13"/>
                <w:color w:val="auto"/>
                <w:w w:val="95"/>
              </w:rPr>
              <w:t>Compensation</w:t>
            </w:r>
          </w:p>
        </w:tc>
        <w:tc>
          <w:tcPr>
            <w:tcW w:w="14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color w:val="auto"/>
                <w:w w:val="97"/>
              </w:rPr>
              <w:t>Earnings</w:t>
            </w: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color w:val="auto"/>
                <w:w w:val="95"/>
              </w:rPr>
              <w:t>Compensation</w:t>
            </w:r>
          </w:p>
        </w:tc>
        <w:tc>
          <w:tcPr>
            <w:tcW w:w="160" w:type="dxa"/>
            <w:vAlign w:val="bottom"/>
          </w:tcPr>
          <w:p>
            <w:pPr>
              <w:spacing w:after="0"/>
              <w:rPr>
                <w:sz w:val="11"/>
                <w:szCs w:val="11"/>
                <w:color w:val="auto"/>
              </w:rPr>
            </w:pPr>
          </w:p>
        </w:tc>
        <w:tc>
          <w:tcPr>
            <w:tcW w:w="110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Arial" w:cs="Arial" w:eastAsia="Arial" w:hAnsi="Arial"/>
                <w:sz w:val="13"/>
                <w:szCs w:val="13"/>
                <w:color w:val="auto"/>
                <w:w w:val="99"/>
              </w:rPr>
              <w:t>Position</w:t>
            </w:r>
          </w:p>
        </w:tc>
        <w:tc>
          <w:tcPr>
            <w:tcW w:w="140" w:type="dxa"/>
            <w:vAlign w:val="bottom"/>
          </w:tcPr>
          <w:p>
            <w:pPr>
              <w:spacing w:after="0"/>
              <w:rPr>
                <w:sz w:val="12"/>
                <w:szCs w:val="12"/>
                <w:color w:val="auto"/>
              </w:rPr>
            </w:pPr>
          </w:p>
        </w:tc>
        <w:tc>
          <w:tcPr>
            <w:tcW w:w="440" w:type="dxa"/>
            <w:vAlign w:val="bottom"/>
          </w:tcPr>
          <w:p>
            <w:pPr>
              <w:ind w:left="80"/>
              <w:spacing w:after="0" w:line="141" w:lineRule="exact"/>
              <w:rPr>
                <w:sz w:val="20"/>
                <w:szCs w:val="20"/>
                <w:color w:val="auto"/>
              </w:rPr>
            </w:pPr>
            <w:r>
              <w:rPr>
                <w:rFonts w:ascii="Arial" w:cs="Arial" w:eastAsia="Arial" w:hAnsi="Arial"/>
                <w:sz w:val="13"/>
                <w:szCs w:val="13"/>
                <w:color w:val="auto"/>
              </w:rPr>
              <w:t>Year</w:t>
            </w:r>
          </w:p>
        </w:tc>
        <w:tc>
          <w:tcPr>
            <w:tcW w:w="1000" w:type="dxa"/>
            <w:vAlign w:val="bottom"/>
            <w:gridSpan w:val="2"/>
          </w:tcPr>
          <w:p>
            <w:pPr>
              <w:jc w:val="center"/>
              <w:ind w:left="77"/>
              <w:spacing w:after="0" w:line="141" w:lineRule="exact"/>
              <w:rPr>
                <w:sz w:val="20"/>
                <w:szCs w:val="20"/>
                <w:color w:val="auto"/>
              </w:rPr>
            </w:pPr>
            <w:r>
              <w:rPr>
                <w:rFonts w:ascii="Arial" w:cs="Arial" w:eastAsia="Arial" w:hAnsi="Arial"/>
                <w:sz w:val="13"/>
                <w:szCs w:val="13"/>
                <w:color w:val="auto"/>
                <w:w w:val="95"/>
              </w:rPr>
              <w:t>($) (1)</w:t>
            </w:r>
          </w:p>
        </w:tc>
        <w:tc>
          <w:tcPr>
            <w:tcW w:w="500" w:type="dxa"/>
            <w:vAlign w:val="bottom"/>
            <w:gridSpan w:val="2"/>
          </w:tcPr>
          <w:p>
            <w:pPr>
              <w:jc w:val="center"/>
              <w:ind w:left="77"/>
              <w:spacing w:after="0" w:line="141" w:lineRule="exact"/>
              <w:rPr>
                <w:sz w:val="20"/>
                <w:szCs w:val="20"/>
                <w:color w:val="auto"/>
              </w:rPr>
            </w:pPr>
            <w:r>
              <w:rPr>
                <w:rFonts w:ascii="Arial" w:cs="Arial" w:eastAsia="Arial" w:hAnsi="Arial"/>
                <w:sz w:val="13"/>
                <w:szCs w:val="13"/>
                <w:color w:val="auto"/>
              </w:rPr>
              <w:t>($)</w:t>
            </w:r>
          </w:p>
        </w:tc>
        <w:tc>
          <w:tcPr>
            <w:tcW w:w="1220" w:type="dxa"/>
            <w:vAlign w:val="bottom"/>
            <w:gridSpan w:val="2"/>
          </w:tcPr>
          <w:p>
            <w:pPr>
              <w:jc w:val="center"/>
              <w:ind w:left="97"/>
              <w:spacing w:after="0" w:line="141" w:lineRule="exact"/>
              <w:rPr>
                <w:sz w:val="20"/>
                <w:szCs w:val="20"/>
                <w:color w:val="auto"/>
              </w:rPr>
            </w:pPr>
            <w:r>
              <w:rPr>
                <w:rFonts w:ascii="Arial" w:cs="Arial" w:eastAsia="Arial" w:hAnsi="Arial"/>
                <w:sz w:val="13"/>
                <w:szCs w:val="13"/>
                <w:color w:val="auto"/>
                <w:w w:val="95"/>
              </w:rPr>
              <w:t>($) (2)</w:t>
            </w:r>
          </w:p>
        </w:tc>
        <w:tc>
          <w:tcPr>
            <w:tcW w:w="1000" w:type="dxa"/>
            <w:vAlign w:val="bottom"/>
            <w:gridSpan w:val="2"/>
          </w:tcPr>
          <w:p>
            <w:pPr>
              <w:jc w:val="center"/>
              <w:ind w:left="77"/>
              <w:spacing w:after="0" w:line="141" w:lineRule="exact"/>
              <w:rPr>
                <w:sz w:val="20"/>
                <w:szCs w:val="20"/>
                <w:color w:val="auto"/>
              </w:rPr>
            </w:pPr>
            <w:r>
              <w:rPr>
                <w:rFonts w:ascii="Arial" w:cs="Arial" w:eastAsia="Arial" w:hAnsi="Arial"/>
                <w:sz w:val="13"/>
                <w:szCs w:val="13"/>
                <w:color w:val="auto"/>
                <w:w w:val="95"/>
              </w:rPr>
              <w:t>($) (3)</w:t>
            </w:r>
          </w:p>
        </w:tc>
        <w:tc>
          <w:tcPr>
            <w:tcW w:w="1540" w:type="dxa"/>
            <w:vAlign w:val="bottom"/>
            <w:gridSpan w:val="2"/>
          </w:tcPr>
          <w:p>
            <w:pPr>
              <w:jc w:val="center"/>
              <w:ind w:left="97"/>
              <w:spacing w:after="0" w:line="141" w:lineRule="exact"/>
              <w:rPr>
                <w:sz w:val="20"/>
                <w:szCs w:val="20"/>
                <w:color w:val="auto"/>
              </w:rPr>
            </w:pPr>
            <w:r>
              <w:rPr>
                <w:rFonts w:ascii="Arial" w:cs="Arial" w:eastAsia="Arial" w:hAnsi="Arial"/>
                <w:sz w:val="13"/>
                <w:szCs w:val="13"/>
                <w:color w:val="auto"/>
                <w:w w:val="95"/>
              </w:rPr>
              <w:t>($) (4)</w:t>
            </w:r>
          </w:p>
        </w:tc>
        <w:tc>
          <w:tcPr>
            <w:tcW w:w="1320" w:type="dxa"/>
            <w:vAlign w:val="bottom"/>
            <w:gridSpan w:val="2"/>
          </w:tcPr>
          <w:p>
            <w:pPr>
              <w:jc w:val="center"/>
              <w:ind w:left="97"/>
              <w:spacing w:after="0" w:line="141" w:lineRule="exact"/>
              <w:rPr>
                <w:sz w:val="20"/>
                <w:szCs w:val="20"/>
                <w:color w:val="auto"/>
              </w:rPr>
            </w:pPr>
            <w:r>
              <w:rPr>
                <w:rFonts w:ascii="Arial" w:cs="Arial" w:eastAsia="Arial" w:hAnsi="Arial"/>
                <w:sz w:val="13"/>
                <w:szCs w:val="13"/>
                <w:color w:val="auto"/>
              </w:rPr>
              <w:t>($)</w:t>
            </w:r>
          </w:p>
        </w:tc>
        <w:tc>
          <w:tcPr>
            <w:tcW w:w="1300" w:type="dxa"/>
            <w:vAlign w:val="bottom"/>
            <w:gridSpan w:val="2"/>
          </w:tcPr>
          <w:p>
            <w:pPr>
              <w:jc w:val="center"/>
              <w:ind w:left="97"/>
              <w:spacing w:after="0" w:line="141" w:lineRule="exact"/>
              <w:rPr>
                <w:sz w:val="20"/>
                <w:szCs w:val="20"/>
                <w:color w:val="auto"/>
              </w:rPr>
            </w:pPr>
            <w:r>
              <w:rPr>
                <w:rFonts w:ascii="Arial" w:cs="Arial" w:eastAsia="Arial" w:hAnsi="Arial"/>
                <w:sz w:val="13"/>
                <w:szCs w:val="13"/>
                <w:color w:val="auto"/>
                <w:w w:val="95"/>
              </w:rPr>
              <w:t>($) (5)</w:t>
            </w:r>
          </w:p>
        </w:tc>
        <w:tc>
          <w:tcPr>
            <w:tcW w:w="1260" w:type="dxa"/>
            <w:vAlign w:val="bottom"/>
            <w:gridSpan w:val="2"/>
          </w:tcPr>
          <w:p>
            <w:pPr>
              <w:jc w:val="right"/>
              <w:ind w:right="417"/>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3"/>
                <w:szCs w:val="13"/>
                <w:color w:val="auto"/>
              </w:rPr>
              <w:t>Joseph L. Rotunda,</w:t>
            </w:r>
          </w:p>
        </w:tc>
        <w:tc>
          <w:tcPr>
            <w:tcW w:w="14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President and Chief</w:t>
            </w:r>
          </w:p>
        </w:tc>
        <w:tc>
          <w:tcPr>
            <w:tcW w:w="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2008</w:t>
            </w:r>
          </w:p>
        </w:tc>
        <w:tc>
          <w:tcPr>
            <w:tcW w:w="100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97"/>
              </w:rPr>
              <w:t>826,923</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1,299,026</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540" w:type="dxa"/>
            <w:vAlign w:val="bottom"/>
            <w:gridSpan w:val="2"/>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1,200,000</w:t>
            </w:r>
          </w:p>
        </w:tc>
        <w:tc>
          <w:tcPr>
            <w:tcW w:w="1320" w:type="dxa"/>
            <w:vAlign w:val="bottom"/>
            <w:gridSpan w:val="2"/>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(44,508)</w:t>
            </w:r>
          </w:p>
        </w:tc>
        <w:tc>
          <w:tcPr>
            <w:tcW w:w="1300" w:type="dxa"/>
            <w:vAlign w:val="bottom"/>
            <w:gridSpan w:val="2"/>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187,681</w:t>
            </w:r>
          </w:p>
        </w:tc>
        <w:tc>
          <w:tcPr>
            <w:tcW w:w="126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3,469,122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Executive Officer</w:t>
            </w:r>
          </w:p>
        </w:tc>
        <w:tc>
          <w:tcPr>
            <w:tcW w:w="58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2007</w:t>
            </w:r>
          </w:p>
        </w:tc>
        <w:tc>
          <w:tcPr>
            <w:tcW w:w="1000" w:type="dxa"/>
            <w:vAlign w:val="bottom"/>
            <w:gridSpan w:val="2"/>
            <w:shd w:val="clear" w:color="auto" w:fill="CCEEFF"/>
          </w:tcPr>
          <w:p>
            <w:pPr>
              <w:jc w:val="center"/>
              <w:ind w:left="77"/>
              <w:spacing w:after="0" w:line="141" w:lineRule="exact"/>
              <w:rPr>
                <w:sz w:val="20"/>
                <w:szCs w:val="20"/>
                <w:color w:val="auto"/>
              </w:rPr>
            </w:pPr>
            <w:r>
              <w:rPr>
                <w:rFonts w:ascii="Arial" w:cs="Arial" w:eastAsia="Arial" w:hAnsi="Arial"/>
                <w:sz w:val="13"/>
                <w:szCs w:val="13"/>
                <w:color w:val="auto"/>
                <w:w w:val="97"/>
              </w:rPr>
              <w:t>697,500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w:t>
            </w:r>
          </w:p>
        </w:tc>
        <w:tc>
          <w:tcPr>
            <w:tcW w:w="1220" w:type="dxa"/>
            <w:vAlign w:val="bottom"/>
            <w:gridSpan w:val="2"/>
            <w:shd w:val="clear" w:color="auto" w:fill="CCEEFF"/>
          </w:tcPr>
          <w:p>
            <w:pPr>
              <w:jc w:val="right"/>
              <w:ind w:right="197"/>
              <w:spacing w:after="0" w:line="141" w:lineRule="exact"/>
              <w:rPr>
                <w:sz w:val="20"/>
                <w:szCs w:val="20"/>
                <w:color w:val="auto"/>
              </w:rPr>
            </w:pPr>
            <w:r>
              <w:rPr>
                <w:rFonts w:ascii="Arial" w:cs="Arial" w:eastAsia="Arial" w:hAnsi="Arial"/>
                <w:sz w:val="13"/>
                <w:szCs w:val="13"/>
                <w:color w:val="auto"/>
              </w:rPr>
              <w:t>1,288,994</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37"/>
              <w:spacing w:after="0" w:line="141" w:lineRule="exact"/>
              <w:rPr>
                <w:sz w:val="20"/>
                <w:szCs w:val="20"/>
                <w:color w:val="auto"/>
              </w:rPr>
            </w:pPr>
            <w:r>
              <w:rPr>
                <w:rFonts w:ascii="Arial" w:cs="Arial" w:eastAsia="Arial" w:hAnsi="Arial"/>
                <w:sz w:val="13"/>
                <w:szCs w:val="13"/>
                <w:color w:val="auto"/>
              </w:rPr>
              <w:t>—</w:t>
            </w:r>
          </w:p>
        </w:tc>
        <w:tc>
          <w:tcPr>
            <w:tcW w:w="154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700,000</w:t>
            </w:r>
          </w:p>
        </w:tc>
        <w:tc>
          <w:tcPr>
            <w:tcW w:w="132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24,070</w:t>
            </w:r>
          </w:p>
        </w:tc>
        <w:tc>
          <w:tcPr>
            <w:tcW w:w="1300" w:type="dxa"/>
            <w:vAlign w:val="bottom"/>
            <w:gridSpan w:val="2"/>
            <w:shd w:val="clear" w:color="auto" w:fill="CCEEFF"/>
          </w:tcPr>
          <w:p>
            <w:pPr>
              <w:jc w:val="right"/>
              <w:ind w:right="277"/>
              <w:spacing w:after="0" w:line="141" w:lineRule="exact"/>
              <w:rPr>
                <w:sz w:val="20"/>
                <w:szCs w:val="20"/>
                <w:color w:val="auto"/>
              </w:rPr>
            </w:pPr>
            <w:r>
              <w:rPr>
                <w:rFonts w:ascii="Arial" w:cs="Arial" w:eastAsia="Arial" w:hAnsi="Arial"/>
                <w:sz w:val="13"/>
                <w:szCs w:val="13"/>
                <w:color w:val="auto"/>
              </w:rPr>
              <w:t>170,823</w:t>
            </w:r>
          </w:p>
        </w:tc>
        <w:tc>
          <w:tcPr>
            <w:tcW w:w="1260" w:type="dxa"/>
            <w:vAlign w:val="bottom"/>
            <w:gridSpan w:val="2"/>
            <w:shd w:val="clear" w:color="auto" w:fill="CCEEFF"/>
          </w:tcPr>
          <w:p>
            <w:pPr>
              <w:jc w:val="right"/>
              <w:ind w:right="197"/>
              <w:spacing w:after="0" w:line="141" w:lineRule="exact"/>
              <w:rPr>
                <w:sz w:val="20"/>
                <w:szCs w:val="20"/>
                <w:color w:val="auto"/>
              </w:rPr>
            </w:pPr>
            <w:r>
              <w:rPr>
                <w:rFonts w:ascii="Arial" w:cs="Arial" w:eastAsia="Arial" w:hAnsi="Arial"/>
                <w:sz w:val="13"/>
                <w:szCs w:val="13"/>
                <w:color w:val="auto"/>
              </w:rPr>
              <w:t>2,881,387</w:t>
            </w:r>
          </w:p>
        </w:tc>
        <w:tc>
          <w:tcPr>
            <w:tcW w:w="0" w:type="dxa"/>
            <w:vAlign w:val="bottom"/>
          </w:tcPr>
          <w:p>
            <w:pPr>
              <w:spacing w:after="0"/>
              <w:rPr>
                <w:sz w:val="1"/>
                <w:szCs w:val="1"/>
                <w:color w:val="auto"/>
              </w:rPr>
            </w:pPr>
          </w:p>
        </w:tc>
      </w:tr>
      <w:tr>
        <w:trPr>
          <w:trHeight w:val="264"/>
        </w:trPr>
        <w:tc>
          <w:tcPr>
            <w:tcW w:w="1700" w:type="dxa"/>
            <w:vAlign w:val="bottom"/>
            <w:gridSpan w:val="2"/>
          </w:tcPr>
          <w:p>
            <w:pPr>
              <w:spacing w:after="0"/>
              <w:rPr>
                <w:sz w:val="20"/>
                <w:szCs w:val="20"/>
                <w:color w:val="auto"/>
              </w:rPr>
            </w:pPr>
            <w:r>
              <w:rPr>
                <w:rFonts w:ascii="Arial" w:cs="Arial" w:eastAsia="Arial" w:hAnsi="Arial"/>
                <w:sz w:val="13"/>
                <w:szCs w:val="13"/>
                <w:color w:val="auto"/>
                <w:w w:val="96"/>
              </w:rPr>
              <w:t>Sterling B. Brinkley, Chairman</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2008</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97"/>
              </w:rPr>
              <w:t>649,038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874,194</w:t>
            </w: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255,662</w:t>
            </w:r>
          </w:p>
        </w:tc>
        <w:tc>
          <w:tcPr>
            <w:tcW w:w="1540" w:type="dxa"/>
            <w:vAlign w:val="bottom"/>
            <w:gridSpan w:val="2"/>
          </w:tcPr>
          <w:p>
            <w:pPr>
              <w:jc w:val="right"/>
              <w:ind w:right="357"/>
              <w:spacing w:after="0"/>
              <w:rPr>
                <w:sz w:val="20"/>
                <w:szCs w:val="20"/>
                <w:color w:val="auto"/>
              </w:rPr>
            </w:pPr>
            <w:r>
              <w:rPr>
                <w:rFonts w:ascii="Arial" w:cs="Arial" w:eastAsia="Arial" w:hAnsi="Arial"/>
                <w:sz w:val="13"/>
                <w:szCs w:val="13"/>
                <w:color w:val="auto"/>
              </w:rPr>
              <w:t>468,750</w:t>
            </w:r>
          </w:p>
        </w:tc>
        <w:tc>
          <w:tcPr>
            <w:tcW w:w="1320" w:type="dxa"/>
            <w:vAlign w:val="bottom"/>
            <w:gridSpan w:val="2"/>
          </w:tcPr>
          <w:p>
            <w:pPr>
              <w:jc w:val="right"/>
              <w:ind w:right="317"/>
              <w:spacing w:after="0"/>
              <w:rPr>
                <w:sz w:val="20"/>
                <w:szCs w:val="20"/>
                <w:color w:val="auto"/>
              </w:rPr>
            </w:pPr>
            <w:r>
              <w:rPr>
                <w:rFonts w:ascii="Arial" w:cs="Arial" w:eastAsia="Arial" w:hAnsi="Arial"/>
                <w:sz w:val="13"/>
                <w:szCs w:val="13"/>
                <w:color w:val="auto"/>
              </w:rPr>
              <w:t>(38,353)</w:t>
            </w:r>
          </w:p>
        </w:tc>
        <w:tc>
          <w:tcPr>
            <w:tcW w:w="1300" w:type="dxa"/>
            <w:vAlign w:val="bottom"/>
            <w:gridSpan w:val="2"/>
          </w:tcPr>
          <w:p>
            <w:pPr>
              <w:jc w:val="right"/>
              <w:ind w:right="277"/>
              <w:spacing w:after="0"/>
              <w:rPr>
                <w:sz w:val="20"/>
                <w:szCs w:val="20"/>
                <w:color w:val="auto"/>
              </w:rPr>
            </w:pPr>
            <w:r>
              <w:rPr>
                <w:rFonts w:ascii="Arial" w:cs="Arial" w:eastAsia="Arial" w:hAnsi="Arial"/>
                <w:sz w:val="13"/>
                <w:szCs w:val="13"/>
                <w:color w:val="auto"/>
              </w:rPr>
              <w:t>127,347</w:t>
            </w: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2,336,638</w:t>
            </w:r>
          </w:p>
        </w:tc>
        <w:tc>
          <w:tcPr>
            <w:tcW w:w="0" w:type="dxa"/>
            <w:vAlign w:val="bottom"/>
          </w:tcPr>
          <w:p>
            <w:pPr>
              <w:spacing w:after="0"/>
              <w:rPr>
                <w:sz w:val="1"/>
                <w:szCs w:val="1"/>
                <w:color w:val="auto"/>
              </w:rPr>
            </w:pPr>
          </w:p>
        </w:tc>
      </w:tr>
      <w:tr>
        <w:trPr>
          <w:trHeight w:val="152"/>
        </w:trPr>
        <w:tc>
          <w:tcPr>
            <w:tcW w:w="1700" w:type="dxa"/>
            <w:vAlign w:val="bottom"/>
            <w:gridSpan w:val="2"/>
          </w:tcPr>
          <w:p>
            <w:pPr>
              <w:spacing w:after="0"/>
              <w:rPr>
                <w:sz w:val="20"/>
                <w:szCs w:val="20"/>
                <w:color w:val="auto"/>
              </w:rPr>
            </w:pPr>
            <w:r>
              <w:rPr>
                <w:rFonts w:ascii="Arial" w:cs="Arial" w:eastAsia="Arial" w:hAnsi="Arial"/>
                <w:sz w:val="13"/>
                <w:szCs w:val="13"/>
                <w:color w:val="auto"/>
              </w:rPr>
              <w:t>of the Board</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97"/>
              </w:rPr>
              <w:t>621,058</w:t>
            </w:r>
          </w:p>
        </w:tc>
        <w:tc>
          <w:tcPr>
            <w:tcW w:w="14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867,029</w:t>
            </w: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254,964</w:t>
            </w:r>
          </w:p>
        </w:tc>
        <w:tc>
          <w:tcPr>
            <w:tcW w:w="140" w:type="dxa"/>
            <w:vAlign w:val="bottom"/>
          </w:tcPr>
          <w:p>
            <w:pPr>
              <w:spacing w:after="0"/>
              <w:rPr>
                <w:sz w:val="13"/>
                <w:szCs w:val="13"/>
                <w:color w:val="auto"/>
              </w:rPr>
            </w:pPr>
          </w:p>
        </w:tc>
        <w:tc>
          <w:tcPr>
            <w:tcW w:w="140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357"/>
              <w:spacing w:after="0"/>
              <w:rPr>
                <w:sz w:val="20"/>
                <w:szCs w:val="20"/>
                <w:color w:val="auto"/>
              </w:rPr>
            </w:pPr>
            <w:r>
              <w:rPr>
                <w:rFonts w:ascii="Arial" w:cs="Arial" w:eastAsia="Arial" w:hAnsi="Arial"/>
                <w:sz w:val="13"/>
                <w:szCs w:val="13"/>
                <w:color w:val="auto"/>
              </w:rPr>
              <w:t>23,241</w:t>
            </w:r>
          </w:p>
        </w:tc>
        <w:tc>
          <w:tcPr>
            <w:tcW w:w="1300" w:type="dxa"/>
            <w:vAlign w:val="bottom"/>
            <w:gridSpan w:val="2"/>
          </w:tcPr>
          <w:p>
            <w:pPr>
              <w:jc w:val="right"/>
              <w:ind w:right="277"/>
              <w:spacing w:after="0"/>
              <w:rPr>
                <w:sz w:val="20"/>
                <w:szCs w:val="20"/>
                <w:color w:val="auto"/>
              </w:rPr>
            </w:pPr>
            <w:r>
              <w:rPr>
                <w:rFonts w:ascii="Arial" w:cs="Arial" w:eastAsia="Arial" w:hAnsi="Arial"/>
                <w:sz w:val="13"/>
                <w:szCs w:val="13"/>
                <w:color w:val="auto"/>
              </w:rPr>
              <w:t>97,626</w:t>
            </w:r>
          </w:p>
        </w:tc>
        <w:tc>
          <w:tcPr>
            <w:tcW w:w="1260" w:type="dxa"/>
            <w:vAlign w:val="bottom"/>
            <w:gridSpan w:val="2"/>
          </w:tcPr>
          <w:p>
            <w:pPr>
              <w:jc w:val="right"/>
              <w:ind w:right="197"/>
              <w:spacing w:after="0"/>
              <w:rPr>
                <w:sz w:val="20"/>
                <w:szCs w:val="20"/>
                <w:color w:val="auto"/>
              </w:rPr>
            </w:pPr>
            <w:r>
              <w:rPr>
                <w:rFonts w:ascii="Arial" w:cs="Arial" w:eastAsia="Arial" w:hAnsi="Arial"/>
                <w:sz w:val="13"/>
                <w:szCs w:val="13"/>
                <w:color w:val="auto"/>
              </w:rPr>
              <w:t>1,863,918</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Daniel N. Tonissen,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Senior Vice President, Chief</w:t>
            </w:r>
          </w:p>
        </w:tc>
        <w:tc>
          <w:tcPr>
            <w:tcW w:w="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2008</w:t>
            </w:r>
          </w:p>
        </w:tc>
        <w:tc>
          <w:tcPr>
            <w:tcW w:w="100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97"/>
              </w:rPr>
              <w:t>347,423</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97,199</w:t>
            </w:r>
          </w:p>
        </w:tc>
        <w:tc>
          <w:tcPr>
            <w:tcW w:w="100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144,877</w:t>
            </w:r>
          </w:p>
        </w:tc>
        <w:tc>
          <w:tcPr>
            <w:tcW w:w="1540" w:type="dxa"/>
            <w:vAlign w:val="bottom"/>
            <w:gridSpan w:val="2"/>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234,500</w:t>
            </w:r>
          </w:p>
        </w:tc>
        <w:tc>
          <w:tcPr>
            <w:tcW w:w="1320" w:type="dxa"/>
            <w:vAlign w:val="bottom"/>
            <w:gridSpan w:val="2"/>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(30,777)</w:t>
            </w:r>
          </w:p>
        </w:tc>
        <w:tc>
          <w:tcPr>
            <w:tcW w:w="1300" w:type="dxa"/>
            <w:vAlign w:val="bottom"/>
            <w:gridSpan w:val="2"/>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67,947</w:t>
            </w:r>
          </w:p>
        </w:tc>
        <w:tc>
          <w:tcPr>
            <w:tcW w:w="1260" w:type="dxa"/>
            <w:vAlign w:val="bottom"/>
            <w:gridSpan w:val="2"/>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861,169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Financial Officer</w:t>
            </w:r>
          </w:p>
        </w:tc>
        <w:tc>
          <w:tcPr>
            <w:tcW w:w="58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2007</w:t>
            </w:r>
          </w:p>
        </w:tc>
        <w:tc>
          <w:tcPr>
            <w:tcW w:w="1000" w:type="dxa"/>
            <w:vAlign w:val="bottom"/>
            <w:gridSpan w:val="2"/>
            <w:shd w:val="clear" w:color="auto" w:fill="CCEEFF"/>
          </w:tcPr>
          <w:p>
            <w:pPr>
              <w:jc w:val="center"/>
              <w:ind w:left="77"/>
              <w:spacing w:after="0" w:line="141" w:lineRule="exact"/>
              <w:rPr>
                <w:sz w:val="20"/>
                <w:szCs w:val="20"/>
                <w:color w:val="auto"/>
              </w:rPr>
            </w:pPr>
            <w:r>
              <w:rPr>
                <w:rFonts w:ascii="Arial" w:cs="Arial" w:eastAsia="Arial" w:hAnsi="Arial"/>
                <w:sz w:val="13"/>
                <w:szCs w:val="13"/>
                <w:color w:val="auto"/>
                <w:w w:val="97"/>
              </w:rPr>
              <w:t>322,308</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w:t>
            </w:r>
          </w:p>
        </w:tc>
        <w:tc>
          <w:tcPr>
            <w:tcW w:w="1220" w:type="dxa"/>
            <w:vAlign w:val="bottom"/>
            <w:gridSpan w:val="2"/>
            <w:shd w:val="clear" w:color="auto" w:fill="CCEEFF"/>
          </w:tcPr>
          <w:p>
            <w:pPr>
              <w:jc w:val="right"/>
              <w:ind w:right="197"/>
              <w:spacing w:after="0" w:line="141" w:lineRule="exact"/>
              <w:rPr>
                <w:sz w:val="20"/>
                <w:szCs w:val="20"/>
                <w:color w:val="auto"/>
              </w:rPr>
            </w:pPr>
            <w:r>
              <w:rPr>
                <w:rFonts w:ascii="Arial" w:cs="Arial" w:eastAsia="Arial" w:hAnsi="Arial"/>
                <w:sz w:val="13"/>
                <w:szCs w:val="13"/>
                <w:color w:val="auto"/>
              </w:rPr>
              <w:t>96,402</w:t>
            </w:r>
          </w:p>
        </w:tc>
        <w:tc>
          <w:tcPr>
            <w:tcW w:w="1000" w:type="dxa"/>
            <w:vAlign w:val="bottom"/>
            <w:gridSpan w:val="2"/>
            <w:shd w:val="clear" w:color="auto" w:fill="CCEEFF"/>
          </w:tcPr>
          <w:p>
            <w:pPr>
              <w:jc w:val="right"/>
              <w:ind w:right="137"/>
              <w:spacing w:after="0" w:line="141" w:lineRule="exact"/>
              <w:rPr>
                <w:sz w:val="20"/>
                <w:szCs w:val="20"/>
                <w:color w:val="auto"/>
              </w:rPr>
            </w:pPr>
            <w:r>
              <w:rPr>
                <w:rFonts w:ascii="Arial" w:cs="Arial" w:eastAsia="Arial" w:hAnsi="Arial"/>
                <w:sz w:val="13"/>
                <w:szCs w:val="13"/>
                <w:color w:val="auto"/>
              </w:rPr>
              <w:t>144,493</w:t>
            </w:r>
          </w:p>
        </w:tc>
        <w:tc>
          <w:tcPr>
            <w:tcW w:w="154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161,500</w:t>
            </w:r>
          </w:p>
        </w:tc>
        <w:tc>
          <w:tcPr>
            <w:tcW w:w="132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13,843</w:t>
            </w:r>
          </w:p>
        </w:tc>
        <w:tc>
          <w:tcPr>
            <w:tcW w:w="1300" w:type="dxa"/>
            <w:vAlign w:val="bottom"/>
            <w:gridSpan w:val="2"/>
            <w:shd w:val="clear" w:color="auto" w:fill="CCEEFF"/>
          </w:tcPr>
          <w:p>
            <w:pPr>
              <w:jc w:val="right"/>
              <w:ind w:right="277"/>
              <w:spacing w:after="0" w:line="141" w:lineRule="exact"/>
              <w:rPr>
                <w:sz w:val="20"/>
                <w:szCs w:val="20"/>
                <w:color w:val="auto"/>
              </w:rPr>
            </w:pPr>
            <w:r>
              <w:rPr>
                <w:rFonts w:ascii="Arial" w:cs="Arial" w:eastAsia="Arial" w:hAnsi="Arial"/>
                <w:sz w:val="13"/>
                <w:szCs w:val="13"/>
                <w:color w:val="auto"/>
              </w:rPr>
              <w:t>66,438</w:t>
            </w:r>
          </w:p>
        </w:tc>
        <w:tc>
          <w:tcPr>
            <w:tcW w:w="1260" w:type="dxa"/>
            <w:vAlign w:val="bottom"/>
            <w:gridSpan w:val="2"/>
            <w:shd w:val="clear" w:color="auto" w:fill="CCEEFF"/>
          </w:tcPr>
          <w:p>
            <w:pPr>
              <w:jc w:val="right"/>
              <w:ind w:right="217"/>
              <w:spacing w:after="0" w:line="141" w:lineRule="exact"/>
              <w:rPr>
                <w:sz w:val="20"/>
                <w:szCs w:val="20"/>
                <w:color w:val="auto"/>
              </w:rPr>
            </w:pPr>
            <w:r>
              <w:rPr>
                <w:rFonts w:ascii="Arial" w:cs="Arial" w:eastAsia="Arial" w:hAnsi="Arial"/>
                <w:sz w:val="13"/>
                <w:szCs w:val="13"/>
                <w:color w:val="auto"/>
              </w:rPr>
              <w:t>804,984</w:t>
            </w:r>
          </w:p>
        </w:tc>
        <w:tc>
          <w:tcPr>
            <w:tcW w:w="0" w:type="dxa"/>
            <w:vAlign w:val="bottom"/>
          </w:tcPr>
          <w:p>
            <w:pPr>
              <w:spacing w:after="0"/>
              <w:rPr>
                <w:sz w:val="1"/>
                <w:szCs w:val="1"/>
                <w:color w:val="auto"/>
              </w:rPr>
            </w:pPr>
          </w:p>
        </w:tc>
      </w:tr>
      <w:tr>
        <w:trPr>
          <w:trHeight w:val="264"/>
        </w:trPr>
        <w:tc>
          <w:tcPr>
            <w:tcW w:w="1700" w:type="dxa"/>
            <w:vAlign w:val="bottom"/>
            <w:gridSpan w:val="2"/>
          </w:tcPr>
          <w:p>
            <w:pPr>
              <w:spacing w:after="0"/>
              <w:rPr>
                <w:sz w:val="20"/>
                <w:szCs w:val="20"/>
                <w:color w:val="auto"/>
              </w:rPr>
            </w:pPr>
            <w:r>
              <w:rPr>
                <w:rFonts w:ascii="Arial" w:cs="Arial" w:eastAsia="Arial" w:hAnsi="Arial"/>
                <w:sz w:val="13"/>
                <w:szCs w:val="13"/>
                <w:color w:val="auto"/>
              </w:rPr>
              <w:t>Robert Kasenter,</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Arial" w:cs="Arial" w:eastAsia="Arial" w:hAnsi="Arial"/>
                <w:sz w:val="13"/>
                <w:szCs w:val="13"/>
                <w:color w:val="auto"/>
              </w:rPr>
              <w:t>Senior Vice President,</w:t>
            </w:r>
          </w:p>
        </w:tc>
        <w:tc>
          <w:tcPr>
            <w:tcW w:w="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2008</w:t>
            </w:r>
          </w:p>
        </w:tc>
        <w:tc>
          <w:tcPr>
            <w:tcW w:w="1000" w:type="dxa"/>
            <w:vAlign w:val="bottom"/>
            <w:gridSpan w:val="2"/>
          </w:tcPr>
          <w:p>
            <w:pPr>
              <w:jc w:val="center"/>
              <w:ind w:left="77"/>
              <w:spacing w:after="0" w:line="135" w:lineRule="exact"/>
              <w:rPr>
                <w:sz w:val="20"/>
                <w:szCs w:val="20"/>
                <w:color w:val="auto"/>
              </w:rPr>
            </w:pPr>
            <w:r>
              <w:rPr>
                <w:rFonts w:ascii="Arial" w:cs="Arial" w:eastAsia="Arial" w:hAnsi="Arial"/>
                <w:sz w:val="13"/>
                <w:szCs w:val="13"/>
                <w:color w:val="auto"/>
                <w:w w:val="97"/>
              </w:rPr>
              <w:t>259,231</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97,199</w:t>
            </w:r>
          </w:p>
        </w:tc>
        <w:tc>
          <w:tcPr>
            <w:tcW w:w="10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84,030</w:t>
            </w:r>
          </w:p>
        </w:tc>
        <w:tc>
          <w:tcPr>
            <w:tcW w:w="1540" w:type="dxa"/>
            <w:vAlign w:val="bottom"/>
            <w:gridSpan w:val="2"/>
          </w:tcPr>
          <w:p>
            <w:pPr>
              <w:jc w:val="right"/>
              <w:ind w:right="357"/>
              <w:spacing w:after="0" w:line="135" w:lineRule="exact"/>
              <w:rPr>
                <w:sz w:val="20"/>
                <w:szCs w:val="20"/>
                <w:color w:val="auto"/>
              </w:rPr>
            </w:pPr>
            <w:r>
              <w:rPr>
                <w:rFonts w:ascii="Arial" w:cs="Arial" w:eastAsia="Arial" w:hAnsi="Arial"/>
                <w:sz w:val="13"/>
                <w:szCs w:val="13"/>
                <w:color w:val="auto"/>
              </w:rPr>
              <w:t>156,260</w:t>
            </w:r>
          </w:p>
        </w:tc>
        <w:tc>
          <w:tcPr>
            <w:tcW w:w="1320" w:type="dxa"/>
            <w:vAlign w:val="bottom"/>
            <w:gridSpan w:val="2"/>
          </w:tcPr>
          <w:p>
            <w:pPr>
              <w:jc w:val="right"/>
              <w:ind w:right="317"/>
              <w:spacing w:after="0" w:line="135" w:lineRule="exact"/>
              <w:rPr>
                <w:sz w:val="20"/>
                <w:szCs w:val="20"/>
                <w:color w:val="auto"/>
              </w:rPr>
            </w:pPr>
            <w:r>
              <w:rPr>
                <w:rFonts w:ascii="Arial" w:cs="Arial" w:eastAsia="Arial" w:hAnsi="Arial"/>
                <w:sz w:val="13"/>
                <w:szCs w:val="13"/>
                <w:color w:val="auto"/>
              </w:rPr>
              <w:t>(14,937)</w:t>
            </w:r>
          </w:p>
        </w:tc>
        <w:tc>
          <w:tcPr>
            <w:tcW w:w="1300" w:type="dxa"/>
            <w:vAlign w:val="bottom"/>
            <w:gridSpan w:val="2"/>
          </w:tcPr>
          <w:p>
            <w:pPr>
              <w:jc w:val="right"/>
              <w:ind w:right="277"/>
              <w:spacing w:after="0" w:line="135" w:lineRule="exact"/>
              <w:rPr>
                <w:sz w:val="20"/>
                <w:szCs w:val="20"/>
                <w:color w:val="auto"/>
              </w:rPr>
            </w:pPr>
            <w:r>
              <w:rPr>
                <w:rFonts w:ascii="Arial" w:cs="Arial" w:eastAsia="Arial" w:hAnsi="Arial"/>
                <w:sz w:val="13"/>
                <w:szCs w:val="13"/>
                <w:color w:val="auto"/>
              </w:rPr>
              <w:t>55,161</w:t>
            </w:r>
          </w:p>
        </w:tc>
        <w:tc>
          <w:tcPr>
            <w:tcW w:w="1260" w:type="dxa"/>
            <w:vAlign w:val="bottom"/>
            <w:gridSpan w:val="2"/>
          </w:tcPr>
          <w:p>
            <w:pPr>
              <w:jc w:val="right"/>
              <w:ind w:right="217"/>
              <w:spacing w:after="0" w:line="135" w:lineRule="exact"/>
              <w:rPr>
                <w:sz w:val="20"/>
                <w:szCs w:val="20"/>
                <w:color w:val="auto"/>
              </w:rPr>
            </w:pPr>
            <w:r>
              <w:rPr>
                <w:rFonts w:ascii="Arial" w:cs="Arial" w:eastAsia="Arial" w:hAnsi="Arial"/>
                <w:sz w:val="13"/>
                <w:szCs w:val="13"/>
                <w:color w:val="auto"/>
              </w:rPr>
              <w:t>636,944</w:t>
            </w:r>
          </w:p>
        </w:tc>
        <w:tc>
          <w:tcPr>
            <w:tcW w:w="0" w:type="dxa"/>
            <w:vAlign w:val="bottom"/>
          </w:tcPr>
          <w:p>
            <w:pPr>
              <w:spacing w:after="0"/>
              <w:rPr>
                <w:sz w:val="1"/>
                <w:szCs w:val="1"/>
                <w:color w:val="auto"/>
              </w:rPr>
            </w:pPr>
          </w:p>
        </w:tc>
      </w:tr>
      <w:tr>
        <w:trPr>
          <w:trHeight w:val="152"/>
        </w:trPr>
        <w:tc>
          <w:tcPr>
            <w:tcW w:w="1700" w:type="dxa"/>
            <w:vAlign w:val="bottom"/>
            <w:gridSpan w:val="2"/>
          </w:tcPr>
          <w:p>
            <w:pPr>
              <w:spacing w:after="0"/>
              <w:rPr>
                <w:sz w:val="20"/>
                <w:szCs w:val="20"/>
                <w:color w:val="auto"/>
              </w:rPr>
            </w:pPr>
            <w:r>
              <w:rPr>
                <w:rFonts w:ascii="Arial" w:cs="Arial" w:eastAsia="Arial" w:hAnsi="Arial"/>
                <w:sz w:val="13"/>
                <w:szCs w:val="13"/>
                <w:color w:val="auto"/>
              </w:rPr>
              <w:t>Administration</w:t>
            </w:r>
          </w:p>
        </w:tc>
        <w:tc>
          <w:tcPr>
            <w:tcW w:w="580" w:type="dxa"/>
            <w:vAlign w:val="bottom"/>
            <w:gridSpan w:val="2"/>
          </w:tcPr>
          <w:p>
            <w:pPr>
              <w:ind w:left="220"/>
              <w:spacing w:after="0"/>
              <w:rPr>
                <w:sz w:val="20"/>
                <w:szCs w:val="20"/>
                <w:color w:val="auto"/>
              </w:rPr>
            </w:pPr>
            <w:r>
              <w:rPr>
                <w:rFonts w:ascii="Arial" w:cs="Arial" w:eastAsia="Arial" w:hAnsi="Arial"/>
                <w:sz w:val="13"/>
                <w:szCs w:val="13"/>
                <w:color w:val="auto"/>
              </w:rPr>
              <w:t>2007</w:t>
            </w:r>
          </w:p>
        </w:tc>
        <w:tc>
          <w:tcPr>
            <w:tcW w:w="1000" w:type="dxa"/>
            <w:vAlign w:val="bottom"/>
            <w:gridSpan w:val="2"/>
          </w:tcPr>
          <w:p>
            <w:pPr>
              <w:jc w:val="center"/>
              <w:ind w:left="77"/>
              <w:spacing w:after="0"/>
              <w:rPr>
                <w:sz w:val="20"/>
                <w:szCs w:val="20"/>
                <w:color w:val="auto"/>
              </w:rPr>
            </w:pPr>
            <w:r>
              <w:rPr>
                <w:rFonts w:ascii="Arial" w:cs="Arial" w:eastAsia="Arial" w:hAnsi="Arial"/>
                <w:sz w:val="13"/>
                <w:szCs w:val="13"/>
                <w:color w:val="auto"/>
                <w:w w:val="97"/>
              </w:rPr>
              <w:t>239,423</w:t>
            </w:r>
          </w:p>
        </w:tc>
        <w:tc>
          <w:tcPr>
            <w:tcW w:w="14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20" w:type="dxa"/>
            <w:vAlign w:val="bottom"/>
            <w:gridSpan w:val="2"/>
          </w:tcPr>
          <w:p>
            <w:pPr>
              <w:jc w:val="right"/>
              <w:ind w:right="197"/>
              <w:spacing w:after="0"/>
              <w:rPr>
                <w:sz w:val="20"/>
                <w:szCs w:val="20"/>
                <w:color w:val="auto"/>
              </w:rPr>
            </w:pPr>
            <w:r>
              <w:rPr>
                <w:rFonts w:ascii="Arial" w:cs="Arial" w:eastAsia="Arial" w:hAnsi="Arial"/>
                <w:sz w:val="13"/>
                <w:szCs w:val="13"/>
                <w:color w:val="auto"/>
              </w:rPr>
              <w:t>96,402</w:t>
            </w:r>
          </w:p>
        </w:tc>
        <w:tc>
          <w:tcPr>
            <w:tcW w:w="1000" w:type="dxa"/>
            <w:vAlign w:val="bottom"/>
            <w:gridSpan w:val="2"/>
          </w:tcPr>
          <w:p>
            <w:pPr>
              <w:jc w:val="right"/>
              <w:ind w:right="137"/>
              <w:spacing w:after="0"/>
              <w:rPr>
                <w:sz w:val="20"/>
                <w:szCs w:val="20"/>
                <w:color w:val="auto"/>
              </w:rPr>
            </w:pPr>
            <w:r>
              <w:rPr>
                <w:rFonts w:ascii="Arial" w:cs="Arial" w:eastAsia="Arial" w:hAnsi="Arial"/>
                <w:sz w:val="13"/>
                <w:szCs w:val="13"/>
                <w:color w:val="auto"/>
              </w:rPr>
              <w:t>87,128</w:t>
            </w:r>
          </w:p>
        </w:tc>
        <w:tc>
          <w:tcPr>
            <w:tcW w:w="1540" w:type="dxa"/>
            <w:vAlign w:val="bottom"/>
            <w:gridSpan w:val="2"/>
          </w:tcPr>
          <w:p>
            <w:pPr>
              <w:jc w:val="right"/>
              <w:ind w:right="357"/>
              <w:spacing w:after="0"/>
              <w:rPr>
                <w:sz w:val="20"/>
                <w:szCs w:val="20"/>
                <w:color w:val="auto"/>
              </w:rPr>
            </w:pPr>
            <w:r>
              <w:rPr>
                <w:rFonts w:ascii="Arial" w:cs="Arial" w:eastAsia="Arial" w:hAnsi="Arial"/>
                <w:sz w:val="13"/>
                <w:szCs w:val="13"/>
                <w:color w:val="auto"/>
              </w:rPr>
              <w:t>110,400</w:t>
            </w:r>
          </w:p>
        </w:tc>
        <w:tc>
          <w:tcPr>
            <w:tcW w:w="1320" w:type="dxa"/>
            <w:vAlign w:val="bottom"/>
            <w:gridSpan w:val="2"/>
          </w:tcPr>
          <w:p>
            <w:pPr>
              <w:jc w:val="right"/>
              <w:ind w:right="357"/>
              <w:spacing w:after="0"/>
              <w:rPr>
                <w:sz w:val="20"/>
                <w:szCs w:val="20"/>
                <w:color w:val="auto"/>
              </w:rPr>
            </w:pPr>
            <w:r>
              <w:rPr>
                <w:rFonts w:ascii="Arial" w:cs="Arial" w:eastAsia="Arial" w:hAnsi="Arial"/>
                <w:sz w:val="13"/>
                <w:szCs w:val="13"/>
                <w:color w:val="auto"/>
              </w:rPr>
              <w:t>10,563</w:t>
            </w:r>
          </w:p>
        </w:tc>
        <w:tc>
          <w:tcPr>
            <w:tcW w:w="1300" w:type="dxa"/>
            <w:vAlign w:val="bottom"/>
            <w:gridSpan w:val="2"/>
          </w:tcPr>
          <w:p>
            <w:pPr>
              <w:jc w:val="right"/>
              <w:ind w:right="277"/>
              <w:spacing w:after="0"/>
              <w:rPr>
                <w:sz w:val="20"/>
                <w:szCs w:val="20"/>
                <w:color w:val="auto"/>
              </w:rPr>
            </w:pPr>
            <w:r>
              <w:rPr>
                <w:rFonts w:ascii="Arial" w:cs="Arial" w:eastAsia="Arial" w:hAnsi="Arial"/>
                <w:sz w:val="13"/>
                <w:szCs w:val="13"/>
                <w:color w:val="auto"/>
              </w:rPr>
              <w:t>53,929</w:t>
            </w:r>
          </w:p>
        </w:tc>
        <w:tc>
          <w:tcPr>
            <w:tcW w:w="1260" w:type="dxa"/>
            <w:vAlign w:val="bottom"/>
            <w:gridSpan w:val="2"/>
          </w:tcPr>
          <w:p>
            <w:pPr>
              <w:jc w:val="right"/>
              <w:ind w:right="217"/>
              <w:spacing w:after="0"/>
              <w:rPr>
                <w:sz w:val="20"/>
                <w:szCs w:val="20"/>
                <w:color w:val="auto"/>
              </w:rPr>
            </w:pPr>
            <w:r>
              <w:rPr>
                <w:rFonts w:ascii="Arial" w:cs="Arial" w:eastAsia="Arial" w:hAnsi="Arial"/>
                <w:sz w:val="13"/>
                <w:szCs w:val="13"/>
                <w:color w:val="auto"/>
              </w:rPr>
              <w:t>597,845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6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Eric Fosse,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President — EZMONEY</w:t>
            </w:r>
          </w:p>
        </w:tc>
        <w:tc>
          <w:tcPr>
            <w:tcW w:w="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2008</w:t>
            </w:r>
          </w:p>
        </w:tc>
        <w:tc>
          <w:tcPr>
            <w:tcW w:w="100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97"/>
              </w:rPr>
              <w:t>250,769</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52,896</w:t>
            </w:r>
          </w:p>
        </w:tc>
        <w:tc>
          <w:tcPr>
            <w:tcW w:w="1000" w:type="dxa"/>
            <w:vAlign w:val="bottom"/>
            <w:gridSpan w:val="2"/>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25,756</w:t>
            </w:r>
          </w:p>
        </w:tc>
        <w:tc>
          <w:tcPr>
            <w:tcW w:w="1540" w:type="dxa"/>
            <w:vAlign w:val="bottom"/>
            <w:gridSpan w:val="2"/>
            <w:shd w:val="clear" w:color="auto" w:fill="CCEEFF"/>
          </w:tcPr>
          <w:p>
            <w:pPr>
              <w:jc w:val="right"/>
              <w:ind w:right="357"/>
              <w:spacing w:after="0" w:line="135" w:lineRule="exact"/>
              <w:rPr>
                <w:sz w:val="20"/>
                <w:szCs w:val="20"/>
                <w:color w:val="auto"/>
              </w:rPr>
            </w:pPr>
            <w:r>
              <w:rPr>
                <w:rFonts w:ascii="Arial" w:cs="Arial" w:eastAsia="Arial" w:hAnsi="Arial"/>
                <w:sz w:val="13"/>
                <w:szCs w:val="13"/>
                <w:color w:val="auto"/>
              </w:rPr>
              <w:t>119,600</w:t>
            </w:r>
          </w:p>
        </w:tc>
        <w:tc>
          <w:tcPr>
            <w:tcW w:w="1320" w:type="dxa"/>
            <w:vAlign w:val="bottom"/>
            <w:gridSpan w:val="2"/>
            <w:shd w:val="clear" w:color="auto" w:fill="CCEEFF"/>
          </w:tcPr>
          <w:p>
            <w:pPr>
              <w:jc w:val="right"/>
              <w:ind w:right="317"/>
              <w:spacing w:after="0" w:line="135" w:lineRule="exact"/>
              <w:rPr>
                <w:sz w:val="20"/>
                <w:szCs w:val="20"/>
                <w:color w:val="auto"/>
              </w:rPr>
            </w:pPr>
            <w:r>
              <w:rPr>
                <w:rFonts w:ascii="Arial" w:cs="Arial" w:eastAsia="Arial" w:hAnsi="Arial"/>
                <w:sz w:val="13"/>
                <w:szCs w:val="13"/>
                <w:color w:val="auto"/>
              </w:rPr>
              <w:t>(6,951)</w:t>
            </w:r>
          </w:p>
        </w:tc>
        <w:tc>
          <w:tcPr>
            <w:tcW w:w="1300" w:type="dxa"/>
            <w:vAlign w:val="bottom"/>
            <w:gridSpan w:val="2"/>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56,519</w:t>
            </w:r>
          </w:p>
        </w:tc>
        <w:tc>
          <w:tcPr>
            <w:tcW w:w="1260" w:type="dxa"/>
            <w:vAlign w:val="bottom"/>
            <w:gridSpan w:val="2"/>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498,589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Operations</w:t>
            </w:r>
          </w:p>
        </w:tc>
        <w:tc>
          <w:tcPr>
            <w:tcW w:w="58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2007</w:t>
            </w:r>
          </w:p>
        </w:tc>
        <w:tc>
          <w:tcPr>
            <w:tcW w:w="1000" w:type="dxa"/>
            <w:vAlign w:val="bottom"/>
            <w:gridSpan w:val="2"/>
            <w:shd w:val="clear" w:color="auto" w:fill="CCEEFF"/>
          </w:tcPr>
          <w:p>
            <w:pPr>
              <w:jc w:val="center"/>
              <w:ind w:left="77"/>
              <w:spacing w:after="0" w:line="141" w:lineRule="exact"/>
              <w:rPr>
                <w:sz w:val="20"/>
                <w:szCs w:val="20"/>
                <w:color w:val="auto"/>
              </w:rPr>
            </w:pPr>
            <w:r>
              <w:rPr>
                <w:rFonts w:ascii="Arial" w:cs="Arial" w:eastAsia="Arial" w:hAnsi="Arial"/>
                <w:sz w:val="13"/>
                <w:szCs w:val="13"/>
                <w:color w:val="auto"/>
                <w:w w:val="97"/>
              </w:rPr>
              <w:t>208,750</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w:t>
            </w:r>
          </w:p>
        </w:tc>
        <w:tc>
          <w:tcPr>
            <w:tcW w:w="1220" w:type="dxa"/>
            <w:vAlign w:val="bottom"/>
            <w:gridSpan w:val="2"/>
            <w:shd w:val="clear" w:color="auto" w:fill="CCEEFF"/>
          </w:tcPr>
          <w:p>
            <w:pPr>
              <w:jc w:val="right"/>
              <w:ind w:right="197"/>
              <w:spacing w:after="0" w:line="141" w:lineRule="exact"/>
              <w:rPr>
                <w:sz w:val="20"/>
                <w:szCs w:val="20"/>
                <w:color w:val="auto"/>
              </w:rPr>
            </w:pPr>
            <w:r>
              <w:rPr>
                <w:rFonts w:ascii="Arial" w:cs="Arial" w:eastAsia="Arial" w:hAnsi="Arial"/>
                <w:sz w:val="13"/>
                <w:szCs w:val="13"/>
                <w:color w:val="auto"/>
              </w:rPr>
              <w:t>40,667</w:t>
            </w:r>
          </w:p>
        </w:tc>
        <w:tc>
          <w:tcPr>
            <w:tcW w:w="1000" w:type="dxa"/>
            <w:vAlign w:val="bottom"/>
            <w:gridSpan w:val="2"/>
            <w:shd w:val="clear" w:color="auto" w:fill="CCEEFF"/>
          </w:tcPr>
          <w:p>
            <w:pPr>
              <w:jc w:val="right"/>
              <w:ind w:right="137"/>
              <w:spacing w:after="0" w:line="141" w:lineRule="exact"/>
              <w:rPr>
                <w:sz w:val="20"/>
                <w:szCs w:val="20"/>
                <w:color w:val="auto"/>
              </w:rPr>
            </w:pPr>
            <w:r>
              <w:rPr>
                <w:rFonts w:ascii="Arial" w:cs="Arial" w:eastAsia="Arial" w:hAnsi="Arial"/>
                <w:sz w:val="13"/>
                <w:szCs w:val="13"/>
                <w:color w:val="auto"/>
              </w:rPr>
              <w:t>25,755</w:t>
            </w:r>
          </w:p>
        </w:tc>
        <w:tc>
          <w:tcPr>
            <w:tcW w:w="154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73,873</w:t>
            </w:r>
          </w:p>
        </w:tc>
        <w:tc>
          <w:tcPr>
            <w:tcW w:w="1320" w:type="dxa"/>
            <w:vAlign w:val="bottom"/>
            <w:gridSpan w:val="2"/>
            <w:shd w:val="clear" w:color="auto" w:fill="CCEEFF"/>
          </w:tcPr>
          <w:p>
            <w:pPr>
              <w:jc w:val="right"/>
              <w:ind w:right="357"/>
              <w:spacing w:after="0" w:line="141" w:lineRule="exact"/>
              <w:rPr>
                <w:sz w:val="20"/>
                <w:szCs w:val="20"/>
                <w:color w:val="auto"/>
              </w:rPr>
            </w:pPr>
            <w:r>
              <w:rPr>
                <w:rFonts w:ascii="Arial" w:cs="Arial" w:eastAsia="Arial" w:hAnsi="Arial"/>
                <w:sz w:val="13"/>
                <w:szCs w:val="13"/>
                <w:color w:val="auto"/>
              </w:rPr>
              <w:t>2,333</w:t>
            </w:r>
          </w:p>
        </w:tc>
        <w:tc>
          <w:tcPr>
            <w:tcW w:w="1300" w:type="dxa"/>
            <w:vAlign w:val="bottom"/>
            <w:gridSpan w:val="2"/>
            <w:shd w:val="clear" w:color="auto" w:fill="CCEEFF"/>
          </w:tcPr>
          <w:p>
            <w:pPr>
              <w:jc w:val="right"/>
              <w:ind w:right="277"/>
              <w:spacing w:after="0" w:line="141" w:lineRule="exact"/>
              <w:rPr>
                <w:sz w:val="20"/>
                <w:szCs w:val="20"/>
                <w:color w:val="auto"/>
              </w:rPr>
            </w:pPr>
            <w:r>
              <w:rPr>
                <w:rFonts w:ascii="Arial" w:cs="Arial" w:eastAsia="Arial" w:hAnsi="Arial"/>
                <w:sz w:val="13"/>
                <w:szCs w:val="13"/>
                <w:color w:val="auto"/>
              </w:rPr>
              <w:t>15,289</w:t>
            </w:r>
          </w:p>
        </w:tc>
        <w:tc>
          <w:tcPr>
            <w:tcW w:w="1260" w:type="dxa"/>
            <w:vAlign w:val="bottom"/>
            <w:gridSpan w:val="2"/>
            <w:shd w:val="clear" w:color="auto" w:fill="CCEEFF"/>
          </w:tcPr>
          <w:p>
            <w:pPr>
              <w:jc w:val="right"/>
              <w:ind w:right="217"/>
              <w:spacing w:after="0" w:line="141" w:lineRule="exact"/>
              <w:rPr>
                <w:sz w:val="20"/>
                <w:szCs w:val="20"/>
                <w:color w:val="auto"/>
              </w:rPr>
            </w:pPr>
            <w:r>
              <w:rPr>
                <w:rFonts w:ascii="Arial" w:cs="Arial" w:eastAsia="Arial" w:hAnsi="Arial"/>
                <w:sz w:val="13"/>
                <w:szCs w:val="13"/>
                <w:color w:val="auto"/>
              </w:rPr>
              <w:t>366,667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the amounts in this column have been deferred under the 401(k) plan.</w:t>
      </w:r>
    </w:p>
    <w:p>
      <w:pPr>
        <w:spacing w:after="0" w:line="63" w:lineRule="exact"/>
        <w:rPr>
          <w:rFonts w:ascii="Arial" w:cs="Arial" w:eastAsia="Arial" w:hAnsi="Arial"/>
          <w:sz w:val="18"/>
          <w:szCs w:val="18"/>
          <w:color w:val="auto"/>
        </w:rPr>
      </w:pPr>
    </w:p>
    <w:p>
      <w:pPr>
        <w:ind w:left="460" w:right="14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the Stock Awards column reflect the dollar amount we have recognized for financial reporting purposes (excluding estimated forfeitures), in accordance with SFAS No. 123(R) of restricted stock awards, including awards granted in and prior to the periods presented.</w:t>
      </w:r>
    </w:p>
    <w:p>
      <w:pPr>
        <w:spacing w:after="0" w:line="54" w:lineRule="exact"/>
        <w:rPr>
          <w:rFonts w:ascii="Arial" w:cs="Arial" w:eastAsia="Arial" w:hAnsi="Arial"/>
          <w:sz w:val="18"/>
          <w:szCs w:val="18"/>
          <w:color w:val="auto"/>
        </w:rPr>
      </w:pPr>
    </w:p>
    <w:p>
      <w:pPr>
        <w:ind w:left="460" w:right="60" w:hanging="452"/>
        <w:spacing w:after="0" w:line="23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the Option Awards column reflect the dollar amount we have recognized for financial reporting purposes (excluding estimated forfeitures), in accordance with SFAS No. 123(R) of option awards, including awards granted in and prior to the periods presented. Assumptions used in the calculation of these amounts are included in the footnotes to our audited financial statements included in this annual report.</w:t>
      </w:r>
    </w:p>
    <w:p>
      <w:pPr>
        <w:spacing w:after="0" w:line="53" w:lineRule="exact"/>
        <w:rPr>
          <w:rFonts w:ascii="Arial" w:cs="Arial" w:eastAsia="Arial" w:hAnsi="Arial"/>
          <w:sz w:val="18"/>
          <w:szCs w:val="18"/>
          <w:color w:val="auto"/>
        </w:rPr>
      </w:pPr>
    </w:p>
    <w:p>
      <w:pPr>
        <w:ind w:left="460" w:right="48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the Non-Equity Incentive Plan Compensation column reflect the cash awards earned in noted fiscal year and paid in November of the following fiscal year under the short-term Incentive Compensation Plan, which is discussed in further detail in the Compensation Discussion and Analysis Section under the heading Short Term Incentive Compensation.</w:t>
      </w:r>
    </w:p>
    <w:p>
      <w:pPr>
        <w:spacing w:after="0" w:line="54"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consist of Company contributions to each named executive officer’s accounts under the 401(k) plan and the Supplemental Executive Retirement Plan. They also include personal benefits and perquisites. Contributions to the Supplemental Executive Retirement Plan in the most recently reported period are also reported below in the Nonqualified Deferred Compensation Table. See the All Other Compensation Table for additional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excluded the Grants of Plan-Based Awards table as no named executive officers received stock based awards and none were entitled to receive estimated future payouts under non-equity or equity incentive plan awards in fiscal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September 30,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2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Market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Securities</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of 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Underlying</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Underlying</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Option</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or Units of Stock</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Units 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Unexercised</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Unexercised</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Exercise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Option</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That Have Not</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That Have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Options (#)</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Options (#)</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Price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Expiration</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Vested</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Not Vested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80" w:type="dxa"/>
            <w:vAlign w:val="bottom"/>
          </w:tcPr>
          <w:p>
            <w:pPr>
              <w:ind w:left="540"/>
              <w:spacing w:after="0" w:line="157" w:lineRule="exact"/>
              <w:rPr>
                <w:sz w:val="20"/>
                <w:szCs w:val="20"/>
                <w:color w:val="auto"/>
              </w:rPr>
            </w:pPr>
            <w:r>
              <w:rPr>
                <w:rFonts w:ascii="Arial" w:cs="Arial" w:eastAsia="Arial" w:hAnsi="Arial"/>
                <w:sz w:val="14"/>
                <w:szCs w:val="14"/>
                <w:color w:val="auto"/>
              </w:rPr>
              <w:t>Name</w:t>
            </w:r>
          </w:p>
        </w:tc>
        <w:tc>
          <w:tcPr>
            <w:tcW w:w="180" w:type="dxa"/>
            <w:vAlign w:val="bottom"/>
          </w:tcPr>
          <w:p>
            <w:pPr>
              <w:spacing w:after="0"/>
              <w:rPr>
                <w:sz w:val="13"/>
                <w:szCs w:val="13"/>
                <w:color w:val="auto"/>
              </w:rPr>
            </w:pPr>
          </w:p>
        </w:tc>
        <w:tc>
          <w:tcPr>
            <w:tcW w:w="1580" w:type="dxa"/>
            <w:vAlign w:val="bottom"/>
            <w:gridSpan w:val="3"/>
          </w:tcPr>
          <w:p>
            <w:pPr>
              <w:ind w:left="320"/>
              <w:spacing w:after="0" w:line="157" w:lineRule="exact"/>
              <w:rPr>
                <w:sz w:val="20"/>
                <w:szCs w:val="20"/>
                <w:color w:val="auto"/>
              </w:rPr>
            </w:pPr>
            <w:r>
              <w:rPr>
                <w:rFonts w:ascii="Arial" w:cs="Arial" w:eastAsia="Arial" w:hAnsi="Arial"/>
                <w:sz w:val="14"/>
                <w:szCs w:val="14"/>
                <w:color w:val="auto"/>
              </w:rPr>
              <w:t>Award Date</w:t>
            </w: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rPr>
              <w:t>Exercisable</w:t>
            </w:r>
          </w:p>
        </w:tc>
        <w:tc>
          <w:tcPr>
            <w:tcW w:w="2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rPr>
              <w:t>Unexercisable</w:t>
            </w:r>
          </w:p>
        </w:tc>
        <w:tc>
          <w:tcPr>
            <w:tcW w:w="2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rPr>
              <w:t>($) / share</w:t>
            </w:r>
          </w:p>
        </w:tc>
        <w:tc>
          <w:tcPr>
            <w:tcW w:w="200" w:type="dxa"/>
            <w:vAlign w:val="bottom"/>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4"/>
                <w:szCs w:val="14"/>
                <w:color w:val="auto"/>
              </w:rPr>
              <w:t>Date</w:t>
            </w:r>
          </w:p>
        </w:tc>
        <w:tc>
          <w:tcPr>
            <w:tcW w:w="1640" w:type="dxa"/>
            <w:vAlign w:val="bottom"/>
            <w:gridSpan w:val="2"/>
          </w:tcPr>
          <w:p>
            <w:pPr>
              <w:jc w:val="center"/>
              <w:ind w:left="132"/>
              <w:spacing w:after="0" w:line="157"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center"/>
              <w:ind w:left="132"/>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Joseph L.</w:t>
            </w: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Rotunda</w:t>
            </w:r>
          </w:p>
        </w:tc>
        <w:tc>
          <w:tcPr>
            <w:tcW w:w="158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 1/15/2004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120,000</w:t>
            </w:r>
          </w:p>
        </w:tc>
        <w:tc>
          <w:tcPr>
            <w:tcW w:w="14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2,256,000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(2) 10/2/2006</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8"/>
              <w:spacing w:after="0" w:line="203" w:lineRule="exact"/>
              <w:rPr>
                <w:sz w:val="20"/>
                <w:szCs w:val="20"/>
                <w:color w:val="auto"/>
              </w:rPr>
            </w:pPr>
            <w:r>
              <w:rPr>
                <w:rFonts w:ascii="Arial" w:cs="Arial" w:eastAsia="Arial" w:hAnsi="Arial"/>
                <w:sz w:val="18"/>
                <w:szCs w:val="18"/>
                <w:color w:val="auto"/>
              </w:rPr>
              <w:t>945,000</w:t>
            </w:r>
          </w:p>
        </w:tc>
        <w:tc>
          <w:tcPr>
            <w:tcW w:w="1440" w:type="dxa"/>
            <w:vAlign w:val="bottom"/>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17,766,000</w:t>
            </w:r>
          </w:p>
        </w:tc>
        <w:tc>
          <w:tcPr>
            <w:tcW w:w="0" w:type="dxa"/>
            <w:vAlign w:val="bottom"/>
          </w:tcPr>
          <w:p>
            <w:pPr>
              <w:spacing w:after="0"/>
              <w:rPr>
                <w:sz w:val="1"/>
                <w:szCs w:val="1"/>
                <w:color w:val="auto"/>
              </w:rPr>
            </w:pPr>
          </w:p>
        </w:tc>
      </w:tr>
      <w:tr>
        <w:trPr>
          <w:trHeight w:val="404"/>
        </w:trPr>
        <w:tc>
          <w:tcPr>
            <w:tcW w:w="1500" w:type="dxa"/>
            <w:vAlign w:val="bottom"/>
            <w:gridSpan w:val="2"/>
          </w:tcPr>
          <w:p>
            <w:pPr>
              <w:spacing w:after="0"/>
              <w:rPr>
                <w:sz w:val="20"/>
                <w:szCs w:val="20"/>
                <w:color w:val="auto"/>
              </w:rPr>
            </w:pPr>
            <w:r>
              <w:rPr>
                <w:rFonts w:ascii="Arial" w:cs="Arial" w:eastAsia="Arial" w:hAnsi="Arial"/>
                <w:sz w:val="18"/>
                <w:szCs w:val="18"/>
                <w:color w:val="auto"/>
              </w:rPr>
              <w:t>Sterling B.</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ind w:left="200"/>
              <w:spacing w:after="0" w:line="202" w:lineRule="exact"/>
              <w:rPr>
                <w:sz w:val="20"/>
                <w:szCs w:val="20"/>
                <w:color w:val="auto"/>
              </w:rPr>
            </w:pPr>
            <w:r>
              <w:rPr>
                <w:rFonts w:ascii="Arial" w:cs="Arial" w:eastAsia="Arial" w:hAnsi="Arial"/>
                <w:sz w:val="18"/>
                <w:szCs w:val="18"/>
                <w:color w:val="auto"/>
              </w:rPr>
              <w:t>Brinkley</w:t>
            </w:r>
          </w:p>
        </w:tc>
        <w:tc>
          <w:tcPr>
            <w:tcW w:w="15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(3) 11/5/1998</w:t>
            </w:r>
          </w:p>
        </w:tc>
        <w:tc>
          <w:tcPr>
            <w:tcW w:w="180" w:type="dxa"/>
            <w:vAlign w:val="bottom"/>
          </w:tcPr>
          <w:p>
            <w:pPr>
              <w:spacing w:after="0"/>
              <w:rPr>
                <w:sz w:val="17"/>
                <w:szCs w:val="17"/>
                <w:color w:val="auto"/>
              </w:rPr>
            </w:pPr>
          </w:p>
        </w:tc>
        <w:tc>
          <w:tcPr>
            <w:tcW w:w="1240" w:type="dxa"/>
            <w:vAlign w:val="bottom"/>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6"/>
              <w:spacing w:after="0" w:line="202" w:lineRule="exact"/>
              <w:rPr>
                <w:sz w:val="20"/>
                <w:szCs w:val="20"/>
                <w:color w:val="auto"/>
              </w:rPr>
            </w:pPr>
            <w:r>
              <w:rPr>
                <w:rFonts w:ascii="Arial" w:cs="Arial" w:eastAsia="Arial" w:hAnsi="Arial"/>
                <w:sz w:val="18"/>
                <w:szCs w:val="18"/>
                <w:color w:val="auto"/>
              </w:rPr>
              <w:t>1,050,000</w:t>
            </w:r>
          </w:p>
        </w:tc>
        <w:tc>
          <w:tcPr>
            <w:tcW w:w="11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3.33</w:t>
            </w:r>
          </w:p>
        </w:tc>
        <w:tc>
          <w:tcPr>
            <w:tcW w:w="13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11/5/2008</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8"/>
                <w:szCs w:val="18"/>
                <w:color w:val="auto"/>
              </w:rPr>
              <w:t>(2) 10/2/2006</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gridSpan w:val="2"/>
          </w:tcPr>
          <w:p>
            <w:pPr>
              <w:jc w:val="right"/>
              <w:ind w:right="308"/>
              <w:spacing w:after="0"/>
              <w:rPr>
                <w:sz w:val="20"/>
                <w:szCs w:val="20"/>
                <w:color w:val="auto"/>
              </w:rPr>
            </w:pPr>
            <w:r>
              <w:rPr>
                <w:rFonts w:ascii="Arial" w:cs="Arial" w:eastAsia="Arial" w:hAnsi="Arial"/>
                <w:sz w:val="18"/>
                <w:szCs w:val="18"/>
                <w:color w:val="auto"/>
              </w:rPr>
              <w:t>675,000</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12,690,000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N.</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Tonissen</w:t>
            </w:r>
          </w:p>
        </w:tc>
        <w:tc>
          <w:tcPr>
            <w:tcW w:w="158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 11/5/1998</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
              <w:spacing w:after="0" w:line="202" w:lineRule="exact"/>
              <w:rPr>
                <w:sz w:val="20"/>
                <w:szCs w:val="20"/>
                <w:color w:val="auto"/>
              </w:rPr>
            </w:pPr>
            <w:r>
              <w:rPr>
                <w:rFonts w:ascii="Arial" w:cs="Arial" w:eastAsia="Arial" w:hAnsi="Arial"/>
                <w:sz w:val="18"/>
                <w:szCs w:val="18"/>
                <w:color w:val="auto"/>
              </w:rPr>
              <w:t>300,000</w:t>
            </w:r>
          </w:p>
        </w:tc>
        <w:tc>
          <w:tcPr>
            <w:tcW w:w="118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3.33</w:t>
            </w:r>
          </w:p>
        </w:tc>
        <w:tc>
          <w:tcPr>
            <w:tcW w:w="134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11/5/2008</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 1/15/2004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
              <w:spacing w:after="0" w:line="202" w:lineRule="exact"/>
              <w:rPr>
                <w:sz w:val="20"/>
                <w:szCs w:val="20"/>
                <w:color w:val="auto"/>
              </w:rPr>
            </w:pPr>
            <w:r>
              <w:rPr>
                <w:rFonts w:ascii="Arial" w:cs="Arial" w:eastAsia="Arial" w:hAnsi="Arial"/>
                <w:sz w:val="18"/>
                <w:szCs w:val="18"/>
                <w:color w:val="auto"/>
              </w:rPr>
              <w:t>120,000</w:t>
            </w:r>
          </w:p>
        </w:tc>
        <w:tc>
          <w:tcPr>
            <w:tcW w:w="118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3.26</w:t>
            </w:r>
          </w:p>
        </w:tc>
        <w:tc>
          <w:tcPr>
            <w:tcW w:w="134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1/14/2014</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(5) 10/2/2006</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8"/>
              <w:spacing w:after="0" w:line="203" w:lineRule="exact"/>
              <w:rPr>
                <w:sz w:val="20"/>
                <w:szCs w:val="20"/>
                <w:color w:val="auto"/>
              </w:rPr>
            </w:pPr>
            <w:r>
              <w:rPr>
                <w:rFonts w:ascii="Arial" w:cs="Arial" w:eastAsia="Arial" w:hAnsi="Arial"/>
                <w:sz w:val="18"/>
                <w:szCs w:val="18"/>
                <w:color w:val="auto"/>
              </w:rPr>
              <w:t>30,000</w:t>
            </w:r>
          </w:p>
        </w:tc>
        <w:tc>
          <w:tcPr>
            <w:tcW w:w="1440" w:type="dxa"/>
            <w:vAlign w:val="bottom"/>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564,000</w:t>
            </w:r>
          </w:p>
        </w:tc>
        <w:tc>
          <w:tcPr>
            <w:tcW w:w="0" w:type="dxa"/>
            <w:vAlign w:val="bottom"/>
          </w:tcPr>
          <w:p>
            <w:pPr>
              <w:spacing w:after="0"/>
              <w:rPr>
                <w:sz w:val="1"/>
                <w:szCs w:val="1"/>
                <w:color w:val="auto"/>
              </w:rPr>
            </w:pPr>
          </w:p>
        </w:tc>
      </w:tr>
      <w:tr>
        <w:trPr>
          <w:trHeight w:val="404"/>
        </w:trPr>
        <w:tc>
          <w:tcPr>
            <w:tcW w:w="1500" w:type="dxa"/>
            <w:vAlign w:val="bottom"/>
            <w:gridSpan w:val="2"/>
          </w:tcPr>
          <w:p>
            <w:pPr>
              <w:spacing w:after="0"/>
              <w:rPr>
                <w:sz w:val="20"/>
                <w:szCs w:val="20"/>
                <w:color w:val="auto"/>
              </w:rPr>
            </w:pPr>
            <w:r>
              <w:rPr>
                <w:rFonts w:ascii="Arial" w:cs="Arial" w:eastAsia="Arial" w:hAnsi="Arial"/>
                <w:sz w:val="18"/>
                <w:szCs w:val="18"/>
                <w:color w:val="auto"/>
              </w:rPr>
              <w:t>Robert Kasenter</w:t>
            </w:r>
          </w:p>
        </w:tc>
        <w:tc>
          <w:tcPr>
            <w:tcW w:w="1580" w:type="dxa"/>
            <w:vAlign w:val="bottom"/>
            <w:gridSpan w:val="3"/>
          </w:tcPr>
          <w:p>
            <w:pPr>
              <w:jc w:val="right"/>
              <w:ind w:right="70"/>
              <w:spacing w:after="0"/>
              <w:rPr>
                <w:sz w:val="20"/>
                <w:szCs w:val="20"/>
                <w:color w:val="auto"/>
              </w:rPr>
            </w:pPr>
            <w:r>
              <w:rPr>
                <w:rFonts w:ascii="Arial" w:cs="Arial" w:eastAsia="Arial" w:hAnsi="Arial"/>
                <w:sz w:val="18"/>
                <w:szCs w:val="18"/>
                <w:color w:val="auto"/>
              </w:rPr>
              <w:t>(6) 7/14/2003</w:t>
            </w:r>
          </w:p>
        </w:tc>
        <w:tc>
          <w:tcPr>
            <w:tcW w:w="180" w:type="dxa"/>
            <w:vAlign w:val="bottom"/>
          </w:tcPr>
          <w:p>
            <w:pPr>
              <w:spacing w:after="0"/>
              <w:rPr>
                <w:sz w:val="24"/>
                <w:szCs w:val="24"/>
                <w:color w:val="auto"/>
              </w:rPr>
            </w:pP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4"/>
                <w:szCs w:val="24"/>
                <w:color w:val="auto"/>
              </w:rPr>
            </w:pPr>
          </w:p>
        </w:tc>
        <w:tc>
          <w:tcPr>
            <w:tcW w:w="1120" w:type="dxa"/>
            <w:vAlign w:val="bottom"/>
          </w:tcPr>
          <w:p>
            <w:pPr>
              <w:jc w:val="right"/>
              <w:ind w:right="86"/>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130"/>
              <w:spacing w:after="0"/>
              <w:rPr>
                <w:sz w:val="20"/>
                <w:szCs w:val="20"/>
                <w:color w:val="auto"/>
              </w:rPr>
            </w:pPr>
            <w:r>
              <w:rPr>
                <w:rFonts w:ascii="Arial" w:cs="Arial" w:eastAsia="Arial" w:hAnsi="Arial"/>
                <w:sz w:val="18"/>
                <w:szCs w:val="18"/>
                <w:color w:val="auto"/>
              </w:rPr>
              <w:t>1.41</w:t>
            </w:r>
          </w:p>
        </w:tc>
        <w:tc>
          <w:tcPr>
            <w:tcW w:w="134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7/14/2013</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(4) 1/15/2004</w:t>
            </w:r>
          </w:p>
        </w:tc>
        <w:tc>
          <w:tcPr>
            <w:tcW w:w="180" w:type="dxa"/>
            <w:vAlign w:val="bottom"/>
          </w:tcPr>
          <w:p>
            <w:pPr>
              <w:spacing w:after="0"/>
              <w:rPr>
                <w:sz w:val="17"/>
                <w:szCs w:val="17"/>
                <w:color w:val="auto"/>
              </w:rPr>
            </w:pPr>
          </w:p>
        </w:tc>
        <w:tc>
          <w:tcPr>
            <w:tcW w:w="1240" w:type="dxa"/>
            <w:vAlign w:val="bottom"/>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6"/>
              <w:spacing w:after="0" w:line="202" w:lineRule="exact"/>
              <w:rPr>
                <w:sz w:val="20"/>
                <w:szCs w:val="20"/>
                <w:color w:val="auto"/>
              </w:rPr>
            </w:pPr>
            <w:r>
              <w:rPr>
                <w:rFonts w:ascii="Arial" w:cs="Arial" w:eastAsia="Arial" w:hAnsi="Arial"/>
                <w:sz w:val="18"/>
                <w:szCs w:val="18"/>
                <w:color w:val="auto"/>
              </w:rPr>
              <w:t>120,000</w:t>
            </w:r>
          </w:p>
        </w:tc>
        <w:tc>
          <w:tcPr>
            <w:tcW w:w="118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3.26</w:t>
            </w:r>
          </w:p>
        </w:tc>
        <w:tc>
          <w:tcPr>
            <w:tcW w:w="134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w w:val="99"/>
              </w:rPr>
              <w:t>1/14/2014</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8"/>
                <w:szCs w:val="18"/>
                <w:color w:val="auto"/>
              </w:rPr>
              <w:t>(5) 10/2/2006</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gridSpan w:val="2"/>
          </w:tcPr>
          <w:p>
            <w:pPr>
              <w:jc w:val="right"/>
              <w:ind w:right="308"/>
              <w:spacing w:after="0"/>
              <w:rPr>
                <w:sz w:val="20"/>
                <w:szCs w:val="20"/>
                <w:color w:val="auto"/>
              </w:rPr>
            </w:pPr>
            <w:r>
              <w:rPr>
                <w:rFonts w:ascii="Arial" w:cs="Arial" w:eastAsia="Arial" w:hAnsi="Arial"/>
                <w:sz w:val="18"/>
                <w:szCs w:val="18"/>
                <w:color w:val="auto"/>
              </w:rPr>
              <w:t>30,000</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564,000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158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 9/27/2004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
              <w:spacing w:after="0" w:line="202" w:lineRule="exact"/>
              <w:rPr>
                <w:sz w:val="20"/>
                <w:szCs w:val="20"/>
                <w:color w:val="auto"/>
              </w:rPr>
            </w:pPr>
            <w:r>
              <w:rPr>
                <w:rFonts w:ascii="Arial" w:cs="Arial" w:eastAsia="Arial" w:hAnsi="Arial"/>
                <w:sz w:val="18"/>
                <w:szCs w:val="18"/>
                <w:color w:val="auto"/>
              </w:rPr>
              <w:t>12,000</w:t>
            </w:r>
          </w:p>
        </w:tc>
        <w:tc>
          <w:tcPr>
            <w:tcW w:w="118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rPr>
              <w:t>2.89</w:t>
            </w:r>
          </w:p>
        </w:tc>
        <w:tc>
          <w:tcPr>
            <w:tcW w:w="1340" w:type="dxa"/>
            <w:vAlign w:val="bottom"/>
            <w:gridSpan w:val="2"/>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9"/>
              </w:rPr>
              <w:t>9/27/2014</w:t>
            </w:r>
          </w:p>
        </w:tc>
        <w:tc>
          <w:tcPr>
            <w:tcW w:w="1640" w:type="dxa"/>
            <w:vAlign w:val="bottom"/>
            <w:gridSpan w:val="2"/>
            <w:vMerge w:val="restart"/>
            <w:shd w:val="clear" w:color="auto" w:fill="CCEEFF"/>
          </w:tcPr>
          <w:p>
            <w:pPr>
              <w:jc w:val="right"/>
              <w:ind w:right="308"/>
              <w:spacing w:after="0"/>
              <w:rPr>
                <w:sz w:val="20"/>
                <w:szCs w:val="20"/>
                <w:color w:val="auto"/>
              </w:rPr>
            </w:pPr>
            <w:r>
              <w:rPr>
                <w:rFonts w:ascii="Arial" w:cs="Arial" w:eastAsia="Arial" w:hAnsi="Arial"/>
                <w:sz w:val="18"/>
                <w:szCs w:val="18"/>
                <w:color w:val="auto"/>
              </w:rPr>
              <w:t>12,000</w:t>
            </w:r>
          </w:p>
        </w:tc>
        <w:tc>
          <w:tcPr>
            <w:tcW w:w="14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8"/>
                <w:szCs w:val="18"/>
                <w:color w:val="auto"/>
              </w:rPr>
              <w:t>225,600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(7) 10/2/2006</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8/6/2007</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08"/>
              <w:spacing w:after="0" w:line="203" w:lineRule="exact"/>
              <w:rPr>
                <w:sz w:val="20"/>
                <w:szCs w:val="20"/>
                <w:color w:val="auto"/>
              </w:rPr>
            </w:pPr>
            <w:r>
              <w:rPr>
                <w:rFonts w:ascii="Arial" w:cs="Arial" w:eastAsia="Arial" w:hAnsi="Arial"/>
                <w:sz w:val="18"/>
                <w:szCs w:val="18"/>
                <w:color w:val="auto"/>
              </w:rPr>
              <w:t>5,000</w:t>
            </w:r>
          </w:p>
        </w:tc>
        <w:tc>
          <w:tcPr>
            <w:tcW w:w="1440" w:type="dxa"/>
            <w:vAlign w:val="bottom"/>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3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January 15, 2004, Mr. Rotunda was awarded 180,000 shares of restricted Class A Common Stock with a fair value of $0.6 million on that date. We also agreed to reimburse Mr. Rotunda for the income tax consequences of the award. The restriction requires Mr. Rotunda to remain in our employ until January 1, 2009 when any unvested shares will vest. The shares are subject to earlier vesting based upon pre-specified minimum new store openings and net income criteria. 60,000 shares vested on January 15, 2005 based on the achievement of certain of those objectives.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 vests every two years for 10 years with the achievement of certain performance criteria, as follows:</w:t>
      </w:r>
    </w:p>
    <w:p>
      <w:pPr>
        <w:ind w:left="680" w:right="500"/>
        <w:spacing w:after="0" w:line="234" w:lineRule="auto"/>
        <w:rPr>
          <w:sz w:val="20"/>
          <w:szCs w:val="20"/>
          <w:color w:val="auto"/>
        </w:rPr>
      </w:pPr>
      <w:r>
        <w:rPr>
          <w:rFonts w:ascii="Arial" w:cs="Arial" w:eastAsia="Arial" w:hAnsi="Arial"/>
          <w:sz w:val="18"/>
          <w:szCs w:val="18"/>
          <w:color w:val="auto"/>
        </w:rPr>
        <w:t>Average EBITDA for fiscal years 2007-2008 is at least 5% greater than the actual EBITDA for fiscal year 2006. This performance target was met and 20% of the shares vested October 2, 2008.</w:t>
      </w:r>
    </w:p>
    <w:p>
      <w:pPr>
        <w:ind w:left="680"/>
        <w:spacing w:after="0" w:line="236" w:lineRule="auto"/>
        <w:rPr>
          <w:sz w:val="20"/>
          <w:szCs w:val="20"/>
          <w:color w:val="auto"/>
        </w:rPr>
      </w:pPr>
      <w:r>
        <w:rPr>
          <w:rFonts w:ascii="Arial" w:cs="Arial" w:eastAsia="Arial" w:hAnsi="Arial"/>
          <w:sz w:val="18"/>
          <w:szCs w:val="18"/>
          <w:color w:val="auto"/>
        </w:rPr>
        <w:t>Average EBITDA for fiscal years 2009-2010 is at least 10% greater than the actual EBITDA for fiscal year 2006.</w:t>
      </w:r>
    </w:p>
    <w:p>
      <w:pPr>
        <w:ind w:left="680"/>
        <w:spacing w:after="0" w:line="235" w:lineRule="auto"/>
        <w:rPr>
          <w:sz w:val="20"/>
          <w:szCs w:val="20"/>
          <w:color w:val="auto"/>
        </w:rPr>
      </w:pPr>
      <w:r>
        <w:rPr>
          <w:rFonts w:ascii="Arial" w:cs="Arial" w:eastAsia="Arial" w:hAnsi="Arial"/>
          <w:sz w:val="18"/>
          <w:szCs w:val="18"/>
          <w:color w:val="auto"/>
        </w:rPr>
        <w:t>Average EBITDA for fiscal years 2011-2012 is at least 15% greater than the actual EBITDA for fiscal year 2006.</w:t>
      </w:r>
    </w:p>
    <w:p>
      <w:pPr>
        <w:ind w:left="680"/>
        <w:spacing w:after="0" w:line="235" w:lineRule="auto"/>
        <w:rPr>
          <w:sz w:val="20"/>
          <w:szCs w:val="20"/>
          <w:color w:val="auto"/>
        </w:rPr>
      </w:pPr>
      <w:r>
        <w:rPr>
          <w:rFonts w:ascii="Arial" w:cs="Arial" w:eastAsia="Arial" w:hAnsi="Arial"/>
          <w:sz w:val="18"/>
          <w:szCs w:val="18"/>
          <w:color w:val="auto"/>
        </w:rPr>
        <w:t>Average EBITDA for fiscal years 2013-2014 is at least 20% greater than the actual EBITDA for fiscal year 2006.</w:t>
      </w:r>
    </w:p>
    <w:p>
      <w:pPr>
        <w:ind w:left="680"/>
        <w:spacing w:after="0"/>
        <w:rPr>
          <w:sz w:val="20"/>
          <w:szCs w:val="20"/>
          <w:color w:val="auto"/>
        </w:rPr>
      </w:pPr>
      <w:r>
        <w:rPr>
          <w:rFonts w:ascii="Arial" w:cs="Arial" w:eastAsia="Arial" w:hAnsi="Arial"/>
          <w:sz w:val="18"/>
          <w:szCs w:val="18"/>
          <w:color w:val="auto"/>
        </w:rPr>
        <w:t>Average EBITDA for fiscal years 2015-2016 is at least 25% greater than the actual EBITDA for fiscal year 2006.</w:t>
      </w:r>
    </w:p>
    <w:p>
      <w:pPr>
        <w:spacing w:after="0" w:line="63" w:lineRule="exact"/>
        <w:rPr>
          <w:sz w:val="20"/>
          <w:szCs w:val="20"/>
          <w:color w:val="auto"/>
        </w:rPr>
      </w:pPr>
    </w:p>
    <w:p>
      <w:pPr>
        <w:ind w:left="460" w:right="60"/>
        <w:spacing w:after="0" w:line="253" w:lineRule="auto"/>
        <w:rPr>
          <w:sz w:val="20"/>
          <w:szCs w:val="20"/>
          <w:color w:val="auto"/>
        </w:rPr>
      </w:pPr>
      <w:r>
        <w:rPr>
          <w:rFonts w:ascii="Arial" w:cs="Arial" w:eastAsia="Arial" w:hAnsi="Arial"/>
          <w:sz w:val="17"/>
          <w:szCs w:val="17"/>
          <w:color w:val="auto"/>
        </w:rPr>
        <w:t>EBITDA is a non-GAAP figure calculated as earnings before interest, taxes, depreciation, amortization, and gain/loss on sale/disposal of assets. For comparability between periods, the calculation of EBITDA for this purpose is based on the accounting principles used in fiscal 2006 and excludes all extraordinary items as defined by U.S. GAAP. If the performance criteria above are not met in any vesting period, the unvested shares will be added to the subsequent vesting date and will vest at the end of the subsequent vesting date provided the performance criteria for that subsequent vesting date are met. In the event that the performance criteria for vesting are not achieved for any applicable vesting date by the end of our fiscal year ending September 30, 2016, all unvested shares will be forfeited and canceled.</w:t>
      </w:r>
    </w:p>
    <w:p>
      <w:pPr>
        <w:spacing w:after="0" w:line="47" w:lineRule="exact"/>
        <w:rPr>
          <w:sz w:val="20"/>
          <w:szCs w:val="20"/>
          <w:color w:val="auto"/>
        </w:rPr>
      </w:pPr>
    </w:p>
    <w:p>
      <w:pPr>
        <w:ind w:left="460" w:right="340"/>
        <w:spacing w:after="0"/>
        <w:rPr>
          <w:sz w:val="20"/>
          <w:szCs w:val="20"/>
          <w:color w:val="auto"/>
        </w:rPr>
      </w:pPr>
      <w:r>
        <w:rPr>
          <w:rFonts w:ascii="Arial" w:cs="Arial" w:eastAsia="Arial" w:hAnsi="Arial"/>
          <w:sz w:val="18"/>
          <w:szCs w:val="18"/>
          <w:color w:val="auto"/>
        </w:rPr>
        <w:t>Upon death or disability, vesting will immediately occur on a portion of the unvested shares calculated as follows: 10% of the originally granted shares times the number of full or partial years of service since award, plus 20% of the originally awarded shares, less the number of shares previously vested. No more than the total shares awarded under this award may vest.</w:t>
      </w:r>
    </w:p>
    <w:p>
      <w:pPr>
        <w:spacing w:after="0" w:line="54" w:lineRule="exact"/>
        <w:rPr>
          <w:sz w:val="20"/>
          <w:szCs w:val="20"/>
          <w:color w:val="auto"/>
        </w:rPr>
      </w:pPr>
    </w:p>
    <w:p>
      <w:pPr>
        <w:ind w:left="460" w:right="220" w:hanging="452"/>
        <w:spacing w:after="0" w:line="275"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Vesting occurred October 6, 2008. For the portion of these options that failed to qualify as incentive options under the Internal Revenue Code, we must pay a bonus to each optionee at the time and in the amount of any resulting tax savings realized by EZCORP.</w:t>
      </w:r>
    </w:p>
    <w:p>
      <w:pPr>
        <w:spacing w:after="0" w:line="24" w:lineRule="exact"/>
        <w:rPr>
          <w:rFonts w:ascii="Arial" w:cs="Arial" w:eastAsia="Arial" w:hAnsi="Arial"/>
          <w:sz w:val="17"/>
          <w:szCs w:val="17"/>
          <w:color w:val="auto"/>
        </w:rPr>
      </w:pPr>
    </w:p>
    <w:p>
      <w:pPr>
        <w:jc w:val="both"/>
        <w:ind w:left="460" w:right="8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Five year cliff vest. Subject to earlier vesting based upon pre-specified minimum new store openings and net income criteria. One third of each grant vested on January 15, 2005 based on the achievement of certain of those objectives. The earlier vesting criteria were not met for the remaining two thirds, which will vest January 1, 2009.</w:t>
      </w:r>
    </w:p>
    <w:p>
      <w:pPr>
        <w:spacing w:after="0" w:line="54" w:lineRule="exact"/>
        <w:rPr>
          <w:rFonts w:ascii="Arial" w:cs="Arial" w:eastAsia="Arial" w:hAnsi="Arial"/>
          <w:sz w:val="18"/>
          <w:szCs w:val="18"/>
          <w:color w:val="auto"/>
        </w:rPr>
      </w:pPr>
    </w:p>
    <w:p>
      <w:pPr>
        <w:ind w:left="460" w:right="2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Vesting occurs at the end of four years, assuming the average annual EBITDA for fiscal years 2007 through 2010 is at least 10% greater than the actual EBITDA for fiscal 2006. In the event the EBITDA performance requirement for vesting is not achieved, all unvested shares will be forfeited and canceled. EBITDA is a non-GAAP figured as described in note (2) above.</w:t>
      </w:r>
    </w:p>
    <w:p>
      <w:pPr>
        <w:spacing w:after="0" w:line="54" w:lineRule="exact"/>
        <w:rPr>
          <w:rFonts w:ascii="Arial" w:cs="Arial" w:eastAsia="Arial" w:hAnsi="Arial"/>
          <w:sz w:val="18"/>
          <w:szCs w:val="18"/>
          <w:color w:val="auto"/>
        </w:rPr>
      </w:pPr>
    </w:p>
    <w:p>
      <w:pPr>
        <w:ind w:left="460" w:right="20"/>
        <w:spacing w:after="0" w:line="246" w:lineRule="auto"/>
        <w:rPr>
          <w:rFonts w:ascii="Arial" w:cs="Arial" w:eastAsia="Arial" w:hAnsi="Arial"/>
          <w:sz w:val="18"/>
          <w:szCs w:val="18"/>
          <w:color w:val="auto"/>
        </w:rPr>
      </w:pPr>
      <w:r>
        <w:rPr>
          <w:rFonts w:ascii="Arial" w:cs="Arial" w:eastAsia="Arial" w:hAnsi="Arial"/>
          <w:sz w:val="18"/>
          <w:szCs w:val="18"/>
          <w:color w:val="auto"/>
        </w:rPr>
        <w:t>Upon death or disability, vesting will immediately occur on 25% of the originally awarded shares times the number of full or partial years of service since award.</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 vests each year for five years.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Four year cliff vest.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shows pension benefits earned by the named executive officers in 2008. No pension plan payments were made to the named executive officers in 2008.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Number of Years Credited</w:t>
            </w:r>
          </w:p>
        </w:tc>
        <w:tc>
          <w:tcPr>
            <w:tcW w:w="380" w:type="dxa"/>
            <w:vAlign w:val="bottom"/>
          </w:tcPr>
          <w:p>
            <w:pPr>
              <w:spacing w:after="0"/>
              <w:rPr>
                <w:sz w:val="14"/>
                <w:szCs w:val="14"/>
                <w:color w:val="auto"/>
              </w:rPr>
            </w:pPr>
          </w:p>
        </w:tc>
        <w:tc>
          <w:tcPr>
            <w:tcW w:w="1960" w:type="dxa"/>
            <w:vAlign w:val="bottom"/>
          </w:tcPr>
          <w:p>
            <w:pPr>
              <w:jc w:val="right"/>
              <w:ind w:right="388"/>
              <w:spacing w:after="0"/>
              <w:rPr>
                <w:sz w:val="20"/>
                <w:szCs w:val="20"/>
                <w:color w:val="auto"/>
              </w:rPr>
            </w:pPr>
            <w:r>
              <w:rPr>
                <w:rFonts w:ascii="Arial" w:cs="Arial" w:eastAsia="Arial" w:hAnsi="Arial"/>
                <w:sz w:val="14"/>
                <w:szCs w:val="14"/>
                <w:color w:val="auto"/>
              </w:rPr>
              <w:t>Present 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tcBorders>
              <w:bottom w:val="single" w:sz="8" w:color="auto"/>
            </w:tcBorders>
          </w:tcPr>
          <w:p>
            <w:pPr>
              <w:ind w:left="800"/>
              <w:spacing w:after="0" w:line="157" w:lineRule="exact"/>
              <w:rPr>
                <w:sz w:val="20"/>
                <w:szCs w:val="20"/>
                <w:color w:val="auto"/>
              </w:rPr>
            </w:pPr>
            <w:r>
              <w:rPr>
                <w:rFonts w:ascii="Arial" w:cs="Arial" w:eastAsia="Arial" w:hAnsi="Arial"/>
                <w:sz w:val="14"/>
                <w:szCs w:val="14"/>
                <w:color w:val="auto"/>
              </w:rPr>
              <w:t>Name</w:t>
            </w:r>
          </w:p>
        </w:tc>
        <w:tc>
          <w:tcPr>
            <w:tcW w:w="400" w:type="dxa"/>
            <w:vAlign w:val="bottom"/>
          </w:tcPr>
          <w:p>
            <w:pPr>
              <w:spacing w:after="0"/>
              <w:rPr>
                <w:sz w:val="13"/>
                <w:szCs w:val="13"/>
                <w:color w:val="auto"/>
              </w:rPr>
            </w:pPr>
          </w:p>
        </w:tc>
        <w:tc>
          <w:tcPr>
            <w:tcW w:w="4500" w:type="dxa"/>
            <w:vAlign w:val="bottom"/>
            <w:tcBorders>
              <w:bottom w:val="single" w:sz="8" w:color="auto"/>
            </w:tcBorders>
          </w:tcPr>
          <w:p>
            <w:pPr>
              <w:ind w:left="1900"/>
              <w:spacing w:after="0" w:line="157" w:lineRule="exact"/>
              <w:rPr>
                <w:sz w:val="20"/>
                <w:szCs w:val="20"/>
                <w:color w:val="auto"/>
              </w:rPr>
            </w:pPr>
            <w:r>
              <w:rPr>
                <w:rFonts w:ascii="Arial" w:cs="Arial" w:eastAsia="Arial" w:hAnsi="Arial"/>
                <w:sz w:val="14"/>
                <w:szCs w:val="14"/>
                <w:color w:val="auto"/>
              </w:rPr>
              <w:t>Plan Name</w:t>
            </w:r>
          </w:p>
        </w:tc>
        <w:tc>
          <w:tcPr>
            <w:tcW w:w="400" w:type="dxa"/>
            <w:vAlign w:val="bottom"/>
          </w:tcPr>
          <w:p>
            <w:pPr>
              <w:spacing w:after="0"/>
              <w:rPr>
                <w:sz w:val="13"/>
                <w:szCs w:val="13"/>
                <w:color w:val="auto"/>
              </w:rPr>
            </w:pPr>
          </w:p>
        </w:tc>
        <w:tc>
          <w:tcPr>
            <w:tcW w:w="1760" w:type="dxa"/>
            <w:vAlign w:val="bottom"/>
            <w:tcBorders>
              <w:bottom w:val="single" w:sz="8" w:color="auto"/>
            </w:tcBorders>
          </w:tcPr>
          <w:p>
            <w:pPr>
              <w:jc w:val="right"/>
              <w:ind w:right="468"/>
              <w:spacing w:after="0" w:line="157" w:lineRule="exact"/>
              <w:rPr>
                <w:sz w:val="20"/>
                <w:szCs w:val="20"/>
                <w:color w:val="auto"/>
              </w:rPr>
            </w:pPr>
            <w:r>
              <w:rPr>
                <w:rFonts w:ascii="Arial" w:cs="Arial" w:eastAsia="Arial" w:hAnsi="Arial"/>
                <w:sz w:val="14"/>
                <w:szCs w:val="14"/>
                <w:color w:val="auto"/>
              </w:rPr>
              <w:t>Service (#)</w:t>
            </w:r>
          </w:p>
        </w:tc>
        <w:tc>
          <w:tcPr>
            <w:tcW w:w="380" w:type="dxa"/>
            <w:vAlign w:val="bottom"/>
          </w:tcPr>
          <w:p>
            <w:pPr>
              <w:spacing w:after="0"/>
              <w:rPr>
                <w:sz w:val="13"/>
                <w:szCs w:val="13"/>
                <w:color w:val="auto"/>
              </w:rPr>
            </w:pPr>
          </w:p>
        </w:tc>
        <w:tc>
          <w:tcPr>
            <w:tcW w:w="19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Accumulated Benefit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Joseph L. Rotunda</w:t>
            </w:r>
          </w:p>
        </w:tc>
        <w:tc>
          <w:tcPr>
            <w:tcW w:w="4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Executive Retirement Plan</w:t>
            </w:r>
          </w:p>
        </w:tc>
        <w:tc>
          <w:tcPr>
            <w:tcW w:w="2160" w:type="dxa"/>
            <w:vAlign w:val="bottom"/>
            <w:gridSpan w:val="2"/>
            <w:shd w:val="clear" w:color="auto" w:fill="CCEEFF"/>
          </w:tcPr>
          <w:p>
            <w:pPr>
              <w:jc w:val="right"/>
              <w:ind w:right="648"/>
              <w:spacing w:after="0" w:line="196" w:lineRule="exact"/>
              <w:rPr>
                <w:sz w:val="20"/>
                <w:szCs w:val="20"/>
                <w:color w:val="auto"/>
              </w:rPr>
            </w:pPr>
            <w:r>
              <w:rPr>
                <w:rFonts w:ascii="Arial" w:cs="Arial" w:eastAsia="Arial" w:hAnsi="Arial"/>
                <w:sz w:val="18"/>
                <w:szCs w:val="18"/>
                <w:color w:val="auto"/>
              </w:rPr>
              <w:t>8.6</w:t>
            </w:r>
          </w:p>
        </w:tc>
        <w:tc>
          <w:tcPr>
            <w:tcW w:w="2340" w:type="dxa"/>
            <w:vAlign w:val="bottom"/>
            <w:gridSpan w:val="2"/>
            <w:shd w:val="clear" w:color="auto" w:fill="CCEEFF"/>
          </w:tcPr>
          <w:p>
            <w:pPr>
              <w:jc w:val="right"/>
              <w:ind w:right="568"/>
              <w:spacing w:after="0" w:line="196" w:lineRule="exact"/>
              <w:rPr>
                <w:sz w:val="20"/>
                <w:szCs w:val="20"/>
                <w:color w:val="auto"/>
              </w:rPr>
            </w:pPr>
            <w:r>
              <w:rPr>
                <w:rFonts w:ascii="Arial" w:cs="Arial" w:eastAsia="Arial" w:hAnsi="Arial"/>
                <w:sz w:val="18"/>
                <w:szCs w:val="18"/>
                <w:color w:val="auto"/>
              </w:rPr>
              <w:t>331,034</w:t>
            </w:r>
          </w:p>
        </w:tc>
        <w:tc>
          <w:tcPr>
            <w:tcW w:w="0" w:type="dxa"/>
            <w:vAlign w:val="bottom"/>
          </w:tcPr>
          <w:p>
            <w:pPr>
              <w:spacing w:after="0"/>
              <w:rPr>
                <w:sz w:val="1"/>
                <w:szCs w:val="1"/>
                <w:color w:val="auto"/>
              </w:rPr>
            </w:pPr>
          </w:p>
        </w:tc>
      </w:tr>
      <w:tr>
        <w:trPr>
          <w:trHeight w:val="419"/>
        </w:trPr>
        <w:tc>
          <w:tcPr>
            <w:tcW w:w="2020" w:type="dxa"/>
            <w:vAlign w:val="bottom"/>
            <w:gridSpan w:val="2"/>
          </w:tcPr>
          <w:p>
            <w:pPr>
              <w:spacing w:after="0"/>
              <w:rPr>
                <w:sz w:val="20"/>
                <w:szCs w:val="20"/>
                <w:color w:val="auto"/>
              </w:rPr>
            </w:pPr>
            <w:r>
              <w:rPr>
                <w:rFonts w:ascii="Arial" w:cs="Arial" w:eastAsia="Arial" w:hAnsi="Arial"/>
                <w:sz w:val="18"/>
                <w:szCs w:val="18"/>
                <w:color w:val="auto"/>
              </w:rPr>
              <w:t>Sterling B. Brinkley</w:t>
            </w:r>
          </w:p>
        </w:tc>
        <w:tc>
          <w:tcPr>
            <w:tcW w:w="4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Supplemental Executive Retirement Plan</w:t>
            </w:r>
          </w:p>
        </w:tc>
        <w:tc>
          <w:tcPr>
            <w:tcW w:w="2160" w:type="dxa"/>
            <w:vAlign w:val="bottom"/>
            <w:gridSpan w:val="2"/>
          </w:tcPr>
          <w:p>
            <w:pPr>
              <w:jc w:val="right"/>
              <w:ind w:right="648"/>
              <w:spacing w:after="0"/>
              <w:rPr>
                <w:sz w:val="20"/>
                <w:szCs w:val="20"/>
                <w:color w:val="auto"/>
              </w:rPr>
            </w:pPr>
            <w:r>
              <w:rPr>
                <w:rFonts w:ascii="Arial" w:cs="Arial" w:eastAsia="Arial" w:hAnsi="Arial"/>
                <w:sz w:val="18"/>
                <w:szCs w:val="18"/>
                <w:color w:val="auto"/>
              </w:rPr>
              <w:t>17.7</w:t>
            </w:r>
          </w:p>
        </w:tc>
        <w:tc>
          <w:tcPr>
            <w:tcW w:w="2340" w:type="dxa"/>
            <w:vAlign w:val="bottom"/>
            <w:gridSpan w:val="2"/>
          </w:tcPr>
          <w:p>
            <w:pPr>
              <w:jc w:val="right"/>
              <w:ind w:right="568"/>
              <w:spacing w:after="0"/>
              <w:rPr>
                <w:sz w:val="20"/>
                <w:szCs w:val="20"/>
                <w:color w:val="auto"/>
              </w:rPr>
            </w:pPr>
            <w:r>
              <w:rPr>
                <w:rFonts w:ascii="Arial" w:cs="Arial" w:eastAsia="Arial" w:hAnsi="Arial"/>
                <w:sz w:val="18"/>
                <w:szCs w:val="18"/>
                <w:color w:val="auto"/>
              </w:rPr>
              <w:t>205,129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N. Tonissen</w:t>
            </w:r>
          </w:p>
        </w:tc>
        <w:tc>
          <w:tcPr>
            <w:tcW w:w="4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Executive Retirement Plan</w:t>
            </w:r>
          </w:p>
        </w:tc>
        <w:tc>
          <w:tcPr>
            <w:tcW w:w="216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14.1</w:t>
            </w:r>
          </w:p>
        </w:tc>
        <w:tc>
          <w:tcPr>
            <w:tcW w:w="23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104,476</w:t>
            </w:r>
          </w:p>
        </w:tc>
        <w:tc>
          <w:tcPr>
            <w:tcW w:w="0" w:type="dxa"/>
            <w:vAlign w:val="bottom"/>
          </w:tcPr>
          <w:p>
            <w:pPr>
              <w:spacing w:after="0"/>
              <w:rPr>
                <w:sz w:val="1"/>
                <w:szCs w:val="1"/>
                <w:color w:val="auto"/>
              </w:rPr>
            </w:pPr>
          </w:p>
        </w:tc>
      </w:tr>
      <w:tr>
        <w:trPr>
          <w:trHeight w:val="419"/>
        </w:trPr>
        <w:tc>
          <w:tcPr>
            <w:tcW w:w="2020" w:type="dxa"/>
            <w:vAlign w:val="bottom"/>
            <w:gridSpan w:val="2"/>
          </w:tcPr>
          <w:p>
            <w:pPr>
              <w:spacing w:after="0"/>
              <w:rPr>
                <w:sz w:val="20"/>
                <w:szCs w:val="20"/>
                <w:color w:val="auto"/>
              </w:rPr>
            </w:pPr>
            <w:r>
              <w:rPr>
                <w:rFonts w:ascii="Arial" w:cs="Arial" w:eastAsia="Arial" w:hAnsi="Arial"/>
                <w:sz w:val="18"/>
                <w:szCs w:val="18"/>
                <w:color w:val="auto"/>
              </w:rPr>
              <w:t>Robert Kasenter</w:t>
            </w:r>
          </w:p>
        </w:tc>
        <w:tc>
          <w:tcPr>
            <w:tcW w:w="4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Supplemental Executive Retirement Plan</w:t>
            </w:r>
          </w:p>
        </w:tc>
        <w:tc>
          <w:tcPr>
            <w:tcW w:w="2160" w:type="dxa"/>
            <w:vAlign w:val="bottom"/>
            <w:gridSpan w:val="2"/>
          </w:tcPr>
          <w:p>
            <w:pPr>
              <w:jc w:val="right"/>
              <w:ind w:right="648"/>
              <w:spacing w:after="0"/>
              <w:rPr>
                <w:sz w:val="20"/>
                <w:szCs w:val="20"/>
                <w:color w:val="auto"/>
              </w:rPr>
            </w:pPr>
            <w:r>
              <w:rPr>
                <w:rFonts w:ascii="Arial" w:cs="Arial" w:eastAsia="Arial" w:hAnsi="Arial"/>
                <w:sz w:val="18"/>
                <w:szCs w:val="18"/>
                <w:color w:val="auto"/>
              </w:rPr>
              <w:t>5.2</w:t>
            </w:r>
          </w:p>
        </w:tc>
        <w:tc>
          <w:tcPr>
            <w:tcW w:w="2340" w:type="dxa"/>
            <w:vAlign w:val="bottom"/>
            <w:gridSpan w:val="2"/>
          </w:tcPr>
          <w:p>
            <w:pPr>
              <w:jc w:val="right"/>
              <w:ind w:right="568"/>
              <w:spacing w:after="0"/>
              <w:rPr>
                <w:sz w:val="20"/>
                <w:szCs w:val="20"/>
                <w:color w:val="auto"/>
              </w:rPr>
            </w:pPr>
            <w:r>
              <w:rPr>
                <w:rFonts w:ascii="Arial" w:cs="Arial" w:eastAsia="Arial" w:hAnsi="Arial"/>
                <w:sz w:val="18"/>
                <w:szCs w:val="18"/>
                <w:color w:val="auto"/>
              </w:rPr>
              <w:t>94,601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4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Executive Retirement Plan</w:t>
            </w:r>
          </w:p>
        </w:tc>
        <w:tc>
          <w:tcPr>
            <w:tcW w:w="216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4.0</w:t>
            </w:r>
          </w:p>
        </w:tc>
        <w:tc>
          <w:tcPr>
            <w:tcW w:w="23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48,567</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900" w:type="dxa"/>
            <w:vAlign w:val="bottom"/>
            <w:gridSpan w:val="2"/>
          </w:tcPr>
          <w:p>
            <w:pPr>
              <w:jc w:val="right"/>
              <w:ind w:right="973"/>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2008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 stock awards vested in fiscal 2008. The following table shows the number and value of stock acquired on exercise of options in 2008: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20" w:type="dxa"/>
            <w:vAlign w:val="bottom"/>
            <w:tcBorders>
              <w:bottom w:val="single" w:sz="8" w:color="auto"/>
            </w:tcBorders>
            <w:gridSpan w:val="3"/>
          </w:tcPr>
          <w:p>
            <w:pPr>
              <w:ind w:left="2320"/>
              <w:spacing w:after="0"/>
              <w:rPr>
                <w:sz w:val="20"/>
                <w:szCs w:val="20"/>
                <w:color w:val="auto"/>
              </w:rPr>
            </w:pPr>
            <w:r>
              <w:rPr>
                <w:rFonts w:ascii="Arial" w:cs="Arial" w:eastAsia="Arial" w:hAnsi="Arial"/>
                <w:sz w:val="14"/>
                <w:szCs w:val="14"/>
                <w:b w:val="1"/>
                <w:bCs w:val="1"/>
                <w:color w:val="auto"/>
              </w:rPr>
              <w:t>Option Awards</w:t>
            </w:r>
          </w:p>
        </w:tc>
        <w:tc>
          <w:tcPr>
            <w:tcW w:w="2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auto"/>
            </w:tcBorders>
          </w:tcPr>
          <w:p>
            <w:pPr>
              <w:ind w:left="2500"/>
              <w:spacing w:after="0" w:line="155" w:lineRule="exact"/>
              <w:rPr>
                <w:sz w:val="20"/>
                <w:szCs w:val="20"/>
                <w:color w:val="auto"/>
              </w:rPr>
            </w:pPr>
            <w:r>
              <w:rPr>
                <w:rFonts w:ascii="Arial" w:cs="Arial" w:eastAsia="Arial" w:hAnsi="Arial"/>
                <w:sz w:val="14"/>
                <w:szCs w:val="14"/>
                <w:color w:val="auto"/>
              </w:rPr>
              <w:t>Name</w:t>
            </w:r>
          </w:p>
        </w:tc>
        <w:tc>
          <w:tcPr>
            <w:tcW w:w="360" w:type="dxa"/>
            <w:vAlign w:val="bottom"/>
          </w:tcPr>
          <w:p>
            <w:pPr>
              <w:spacing w:after="0"/>
              <w:rPr>
                <w:sz w:val="13"/>
                <w:szCs w:val="13"/>
                <w:color w:val="auto"/>
              </w:rPr>
            </w:pPr>
          </w:p>
        </w:tc>
        <w:tc>
          <w:tcPr>
            <w:tcW w:w="2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Number of Shares Acquired on Exercise (#)</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Value Realized on Exercise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Joseph L. Rotunda</w:t>
            </w:r>
          </w:p>
        </w:tc>
        <w:tc>
          <w:tcPr>
            <w:tcW w:w="3420" w:type="dxa"/>
            <w:vAlign w:val="bottom"/>
            <w:gridSpan w:val="3"/>
            <w:shd w:val="clear" w:color="auto" w:fill="CCEEFF"/>
          </w:tcPr>
          <w:p>
            <w:pPr>
              <w:jc w:val="right"/>
              <w:ind w:right="1660"/>
              <w:spacing w:after="0" w:line="196" w:lineRule="exact"/>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75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780" w:type="dxa"/>
            <w:vAlign w:val="bottom"/>
            <w:gridSpan w:val="3"/>
          </w:tcPr>
          <w:p>
            <w:pPr>
              <w:spacing w:after="0"/>
              <w:rPr>
                <w:sz w:val="20"/>
                <w:szCs w:val="20"/>
                <w:color w:val="auto"/>
              </w:rPr>
            </w:pPr>
            <w:r>
              <w:rPr>
                <w:rFonts w:ascii="Arial" w:cs="Arial" w:eastAsia="Arial" w:hAnsi="Arial"/>
                <w:sz w:val="18"/>
                <w:szCs w:val="18"/>
                <w:color w:val="auto"/>
              </w:rPr>
              <w:t>Sterling B. Brinkley</w:t>
            </w:r>
          </w:p>
        </w:tc>
        <w:tc>
          <w:tcPr>
            <w:tcW w:w="3420" w:type="dxa"/>
            <w:vAlign w:val="bottom"/>
            <w:gridSpan w:val="3"/>
          </w:tcPr>
          <w:p>
            <w:pPr>
              <w:jc w:val="right"/>
              <w:ind w:right="166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7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Daniel N. Tonissen</w:t>
            </w:r>
          </w:p>
        </w:tc>
        <w:tc>
          <w:tcPr>
            <w:tcW w:w="3420" w:type="dxa"/>
            <w:vAlign w:val="bottom"/>
            <w:gridSpan w:val="3"/>
            <w:shd w:val="clear" w:color="auto" w:fill="CCEEFF"/>
          </w:tcPr>
          <w:p>
            <w:pPr>
              <w:jc w:val="right"/>
              <w:ind w:right="1660"/>
              <w:spacing w:after="0" w:line="202" w:lineRule="exact"/>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75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9"/>
        </w:trPr>
        <w:tc>
          <w:tcPr>
            <w:tcW w:w="5780" w:type="dxa"/>
            <w:vAlign w:val="bottom"/>
            <w:gridSpan w:val="3"/>
          </w:tcPr>
          <w:p>
            <w:pPr>
              <w:spacing w:after="0"/>
              <w:rPr>
                <w:sz w:val="20"/>
                <w:szCs w:val="20"/>
                <w:color w:val="auto"/>
              </w:rPr>
            </w:pPr>
            <w:r>
              <w:rPr>
                <w:rFonts w:ascii="Arial" w:cs="Arial" w:eastAsia="Arial" w:hAnsi="Arial"/>
                <w:sz w:val="18"/>
                <w:szCs w:val="18"/>
                <w:color w:val="auto"/>
              </w:rPr>
              <w:t>Robert Kasenter</w:t>
            </w:r>
          </w:p>
        </w:tc>
        <w:tc>
          <w:tcPr>
            <w:tcW w:w="2940" w:type="dxa"/>
            <w:vAlign w:val="bottom"/>
          </w:tcPr>
          <w:p>
            <w:pPr>
              <w:jc w:val="right"/>
              <w:ind w:right="1095"/>
              <w:spacing w:after="0"/>
              <w:rPr>
                <w:sz w:val="20"/>
                <w:szCs w:val="20"/>
                <w:color w:val="auto"/>
              </w:rPr>
            </w:pPr>
            <w:r>
              <w:rPr>
                <w:rFonts w:ascii="Arial" w:cs="Arial" w:eastAsia="Arial" w:hAnsi="Arial"/>
                <w:sz w:val="18"/>
                <w:szCs w:val="18"/>
                <w:color w:val="auto"/>
              </w:rPr>
              <w:t>15,000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jc w:val="right"/>
              <w:ind w:right="753"/>
              <w:spacing w:after="0"/>
              <w:rPr>
                <w:sz w:val="20"/>
                <w:szCs w:val="20"/>
                <w:color w:val="auto"/>
              </w:rPr>
            </w:pPr>
            <w:r>
              <w:rPr>
                <w:rFonts w:ascii="Arial" w:cs="Arial" w:eastAsia="Arial" w:hAnsi="Arial"/>
                <w:sz w:val="18"/>
                <w:szCs w:val="18"/>
                <w:color w:val="auto"/>
              </w:rPr>
              <w:t>147,400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2940" w:type="dxa"/>
            <w:vAlign w:val="bottom"/>
            <w:shd w:val="clear" w:color="auto" w:fill="CCEEFF"/>
          </w:tcPr>
          <w:p>
            <w:pPr>
              <w:jc w:val="right"/>
              <w:ind w:right="1095"/>
              <w:spacing w:after="0" w:line="202" w:lineRule="exact"/>
              <w:rPr>
                <w:sz w:val="20"/>
                <w:szCs w:val="20"/>
                <w:color w:val="auto"/>
              </w:rPr>
            </w:pPr>
            <w:r>
              <w:rPr>
                <w:rFonts w:ascii="Arial" w:cs="Arial" w:eastAsia="Arial" w:hAnsi="Arial"/>
                <w:sz w:val="18"/>
                <w:szCs w:val="18"/>
                <w:color w:val="auto"/>
              </w:rPr>
              <w:t>24,000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jc w:val="right"/>
              <w:ind w:right="753"/>
              <w:spacing w:after="0" w:line="202" w:lineRule="exact"/>
              <w:rPr>
                <w:sz w:val="20"/>
                <w:szCs w:val="20"/>
                <w:color w:val="auto"/>
              </w:rPr>
            </w:pPr>
            <w:r>
              <w:rPr>
                <w:rFonts w:ascii="Arial" w:cs="Arial" w:eastAsia="Arial" w:hAnsi="Arial"/>
                <w:sz w:val="18"/>
                <w:szCs w:val="18"/>
                <w:color w:val="auto"/>
              </w:rPr>
              <w:t>311,920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each component of the All Other Compensation column in the Summary Compensation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4"/>
                <w:szCs w:val="14"/>
                <w:color w:val="auto"/>
              </w:rPr>
              <w:t>Company</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4"/>
                <w:szCs w:val="14"/>
                <w:color w:val="auto"/>
              </w:rPr>
              <w:t>Value of Supplemental</w:t>
            </w:r>
          </w:p>
        </w:tc>
        <w:tc>
          <w:tcPr>
            <w:tcW w:w="1860" w:type="dxa"/>
            <w:vAlign w:val="bottom"/>
            <w:gridSpan w:val="2"/>
          </w:tcPr>
          <w:p>
            <w:pPr>
              <w:jc w:val="center"/>
              <w:ind w:right="560"/>
              <w:spacing w:after="0"/>
              <w:rPr>
                <w:sz w:val="20"/>
                <w:szCs w:val="20"/>
                <w:color w:val="auto"/>
              </w:rPr>
            </w:pPr>
            <w:r>
              <w:rPr>
                <w:rFonts w:ascii="Arial" w:cs="Arial" w:eastAsia="Arial" w:hAnsi="Arial"/>
                <w:sz w:val="14"/>
                <w:szCs w:val="14"/>
                <w:color w:val="auto"/>
              </w:rPr>
              <w:t>Contributions to</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color w:val="auto"/>
              </w:rPr>
              <w:t>Other Benefits</w:t>
            </w:r>
          </w:p>
        </w:tc>
        <w:tc>
          <w:tcPr>
            <w:tcW w:w="26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color w:val="auto"/>
              </w:rPr>
              <w:t>Life Insurance</w:t>
            </w: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color w:val="auto"/>
              </w:rPr>
              <w:t>Defined Contribution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20" w:type="dxa"/>
            <w:vAlign w:val="bottom"/>
            <w:tcBorders>
              <w:bottom w:val="single" w:sz="8" w:color="auto"/>
            </w:tcBorders>
          </w:tcPr>
          <w:p>
            <w:pPr>
              <w:ind w:left="1620"/>
              <w:spacing w:after="0" w:line="157" w:lineRule="exact"/>
              <w:rPr>
                <w:sz w:val="20"/>
                <w:szCs w:val="20"/>
                <w:color w:val="auto"/>
              </w:rPr>
            </w:pPr>
            <w:r>
              <w:rPr>
                <w:rFonts w:ascii="Arial" w:cs="Arial" w:eastAsia="Arial" w:hAnsi="Arial"/>
                <w:sz w:val="14"/>
                <w:szCs w:val="14"/>
                <w:color w:val="auto"/>
              </w:rPr>
              <w:t>Name</w:t>
            </w:r>
          </w:p>
        </w:tc>
        <w:tc>
          <w:tcPr>
            <w:tcW w:w="440" w:type="dxa"/>
            <w:vAlign w:val="bottom"/>
          </w:tcPr>
          <w:p>
            <w:pPr>
              <w:spacing w:after="0"/>
              <w:rPr>
                <w:sz w:val="13"/>
                <w:szCs w:val="13"/>
                <w:color w:val="auto"/>
              </w:rPr>
            </w:pPr>
          </w:p>
        </w:tc>
        <w:tc>
          <w:tcPr>
            <w:tcW w:w="62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Year</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ind w:right="179"/>
              <w:spacing w:after="0" w:line="157" w:lineRule="exact"/>
              <w:rPr>
                <w:sz w:val="20"/>
                <w:szCs w:val="20"/>
                <w:color w:val="auto"/>
              </w:rPr>
            </w:pPr>
            <w:r>
              <w:rPr>
                <w:rFonts w:ascii="Arial" w:cs="Arial" w:eastAsia="Arial" w:hAnsi="Arial"/>
                <w:sz w:val="14"/>
                <w:szCs w:val="14"/>
                <w:color w:val="auto"/>
              </w:rPr>
              <w:t>($) (1)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Premiums ($) (2)</w:t>
            </w:r>
          </w:p>
        </w:tc>
        <w:tc>
          <w:tcPr>
            <w:tcW w:w="540" w:type="dxa"/>
            <w:vAlign w:val="bottom"/>
          </w:tcPr>
          <w:p>
            <w:pPr>
              <w:spacing w:after="0"/>
              <w:rPr>
                <w:sz w:val="13"/>
                <w:szCs w:val="13"/>
                <w:color w:val="auto"/>
              </w:rPr>
            </w:pPr>
          </w:p>
        </w:tc>
        <w:tc>
          <w:tcPr>
            <w:tcW w:w="13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Plans ($) (3)</w:t>
            </w:r>
          </w:p>
        </w:tc>
        <w:tc>
          <w:tcPr>
            <w:tcW w:w="560" w:type="dxa"/>
            <w:vAlign w:val="bottom"/>
          </w:tcPr>
          <w:p>
            <w:pPr>
              <w:spacing w:after="0"/>
              <w:rPr>
                <w:sz w:val="13"/>
                <w:szCs w:val="13"/>
                <w:color w:val="auto"/>
              </w:rPr>
            </w:pPr>
          </w:p>
        </w:tc>
        <w:tc>
          <w:tcPr>
            <w:tcW w:w="78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Total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Joseph L. Rotunda</w:t>
            </w:r>
          </w:p>
        </w:tc>
        <w:tc>
          <w:tcPr>
            <w:tcW w:w="1340" w:type="dxa"/>
            <w:vAlign w:val="bottom"/>
            <w:gridSpan w:val="3"/>
            <w:shd w:val="clear" w:color="auto" w:fill="CCEEFF"/>
          </w:tcPr>
          <w:p>
            <w:pPr>
              <w:jc w:val="right"/>
              <w:ind w:right="280"/>
              <w:spacing w:after="0" w:line="195" w:lineRule="exact"/>
              <w:rPr>
                <w:sz w:val="20"/>
                <w:szCs w:val="20"/>
                <w:color w:val="auto"/>
              </w:rPr>
            </w:pPr>
            <w:r>
              <w:rPr>
                <w:rFonts w:ascii="Arial" w:cs="Arial" w:eastAsia="Arial" w:hAnsi="Arial"/>
                <w:sz w:val="18"/>
                <w:szCs w:val="18"/>
                <w:color w:val="auto"/>
              </w:rPr>
              <w:t>2008</w:t>
            </w:r>
          </w:p>
        </w:tc>
        <w:tc>
          <w:tcPr>
            <w:tcW w:w="1460" w:type="dxa"/>
            <w:vAlign w:val="bottom"/>
            <w:gridSpan w:val="3"/>
            <w:shd w:val="clear" w:color="auto" w:fill="CCEEFF"/>
          </w:tcPr>
          <w:p>
            <w:pPr>
              <w:jc w:val="right"/>
              <w:ind w:right="280"/>
              <w:spacing w:after="0" w:line="195" w:lineRule="exact"/>
              <w:rPr>
                <w:sz w:val="20"/>
                <w:szCs w:val="20"/>
                <w:color w:val="auto"/>
              </w:rPr>
            </w:pPr>
            <w:r>
              <w:rPr>
                <w:rFonts w:ascii="Arial" w:cs="Arial" w:eastAsia="Arial" w:hAnsi="Arial"/>
                <w:sz w:val="18"/>
                <w:szCs w:val="18"/>
                <w:color w:val="auto"/>
              </w:rPr>
              <w:t>39,600</w:t>
            </w:r>
          </w:p>
        </w:tc>
        <w:tc>
          <w:tcPr>
            <w:tcW w:w="2240" w:type="dxa"/>
            <w:vAlign w:val="bottom"/>
            <w:gridSpan w:val="3"/>
            <w:shd w:val="clear" w:color="auto" w:fill="CCEEFF"/>
          </w:tcPr>
          <w:p>
            <w:pPr>
              <w:jc w:val="right"/>
              <w:ind w:right="540"/>
              <w:spacing w:after="0" w:line="195" w:lineRule="exact"/>
              <w:rPr>
                <w:sz w:val="20"/>
                <w:szCs w:val="20"/>
                <w:color w:val="auto"/>
              </w:rPr>
            </w:pPr>
            <w:r>
              <w:rPr>
                <w:rFonts w:ascii="Arial" w:cs="Arial" w:eastAsia="Arial" w:hAnsi="Arial"/>
                <w:sz w:val="18"/>
                <w:szCs w:val="18"/>
                <w:color w:val="auto"/>
              </w:rPr>
              <w:t>3,372</w:t>
            </w:r>
          </w:p>
        </w:tc>
        <w:tc>
          <w:tcPr>
            <w:tcW w:w="13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144,709</w:t>
            </w:r>
          </w:p>
        </w:tc>
        <w:tc>
          <w:tcPr>
            <w:tcW w:w="5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8"/>
                <w:szCs w:val="18"/>
                <w:color w:val="auto"/>
              </w:rPr>
              <w:t>187,681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2007</w:t>
            </w:r>
          </w:p>
        </w:tc>
        <w:tc>
          <w:tcPr>
            <w:tcW w:w="146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40,424</w:t>
            </w:r>
          </w:p>
        </w:tc>
        <w:tc>
          <w:tcPr>
            <w:tcW w:w="2240" w:type="dxa"/>
            <w:vAlign w:val="bottom"/>
            <w:gridSpan w:val="3"/>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3,600</w:t>
            </w: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126,799</w:t>
            </w: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170,823</w:t>
            </w:r>
          </w:p>
        </w:tc>
        <w:tc>
          <w:tcPr>
            <w:tcW w:w="0" w:type="dxa"/>
            <w:vAlign w:val="bottom"/>
          </w:tcPr>
          <w:p>
            <w:pPr>
              <w:spacing w:after="0"/>
              <w:rPr>
                <w:sz w:val="1"/>
                <w:szCs w:val="1"/>
                <w:color w:val="auto"/>
              </w:rPr>
            </w:pPr>
          </w:p>
        </w:tc>
      </w:tr>
      <w:tr>
        <w:trPr>
          <w:trHeight w:val="404"/>
        </w:trPr>
        <w:tc>
          <w:tcPr>
            <w:tcW w:w="3640" w:type="dxa"/>
            <w:vAlign w:val="bottom"/>
            <w:gridSpan w:val="2"/>
          </w:tcPr>
          <w:p>
            <w:pPr>
              <w:spacing w:after="0"/>
              <w:rPr>
                <w:sz w:val="20"/>
                <w:szCs w:val="20"/>
                <w:color w:val="auto"/>
              </w:rPr>
            </w:pPr>
            <w:r>
              <w:rPr>
                <w:rFonts w:ascii="Arial" w:cs="Arial" w:eastAsia="Arial" w:hAnsi="Arial"/>
                <w:sz w:val="18"/>
                <w:szCs w:val="18"/>
                <w:color w:val="auto"/>
              </w:rPr>
              <w:t>Sterling B. Brinkley</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39,600</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3,372</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84,375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2007</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39,600</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3,600</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54,426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97,626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Daniel N. Tonissen</w:t>
            </w:r>
          </w:p>
        </w:tc>
        <w:tc>
          <w:tcPr>
            <w:tcW w:w="13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2008</w:t>
            </w:r>
          </w:p>
        </w:tc>
        <w:tc>
          <w:tcPr>
            <w:tcW w:w="146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18,000</w:t>
            </w:r>
          </w:p>
        </w:tc>
        <w:tc>
          <w:tcPr>
            <w:tcW w:w="2240" w:type="dxa"/>
            <w:vAlign w:val="bottom"/>
            <w:gridSpan w:val="3"/>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3,372</w:t>
            </w:r>
          </w:p>
        </w:tc>
        <w:tc>
          <w:tcPr>
            <w:tcW w:w="18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46,575</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67,947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2007</w:t>
            </w:r>
          </w:p>
        </w:tc>
        <w:tc>
          <w:tcPr>
            <w:tcW w:w="146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18,000</w:t>
            </w:r>
          </w:p>
        </w:tc>
        <w:tc>
          <w:tcPr>
            <w:tcW w:w="2240" w:type="dxa"/>
            <w:vAlign w:val="bottom"/>
            <w:gridSpan w:val="3"/>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3,488</w:t>
            </w:r>
          </w:p>
        </w:tc>
        <w:tc>
          <w:tcPr>
            <w:tcW w:w="18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44,950</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66,438</w:t>
            </w:r>
          </w:p>
        </w:tc>
        <w:tc>
          <w:tcPr>
            <w:tcW w:w="0" w:type="dxa"/>
            <w:vAlign w:val="bottom"/>
          </w:tcPr>
          <w:p>
            <w:pPr>
              <w:spacing w:after="0"/>
              <w:rPr>
                <w:sz w:val="1"/>
                <w:szCs w:val="1"/>
                <w:color w:val="auto"/>
              </w:rPr>
            </w:pPr>
          </w:p>
        </w:tc>
      </w:tr>
      <w:tr>
        <w:trPr>
          <w:trHeight w:val="404"/>
        </w:trPr>
        <w:tc>
          <w:tcPr>
            <w:tcW w:w="3640" w:type="dxa"/>
            <w:vAlign w:val="bottom"/>
            <w:gridSpan w:val="2"/>
          </w:tcPr>
          <w:p>
            <w:pPr>
              <w:spacing w:after="0"/>
              <w:rPr>
                <w:sz w:val="20"/>
                <w:szCs w:val="20"/>
                <w:color w:val="auto"/>
              </w:rPr>
            </w:pPr>
            <w:r>
              <w:rPr>
                <w:rFonts w:ascii="Arial" w:cs="Arial" w:eastAsia="Arial" w:hAnsi="Arial"/>
                <w:sz w:val="18"/>
                <w:szCs w:val="18"/>
                <w:color w:val="auto"/>
              </w:rPr>
              <w:t>Robert Kasenter</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18,000</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2,529</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34,632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2007</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18,000</w:t>
            </w:r>
          </w:p>
        </w:tc>
        <w:tc>
          <w:tcPr>
            <w:tcW w:w="2240" w:type="dxa"/>
            <w:vAlign w:val="bottom"/>
            <w:gridSpan w:val="3"/>
          </w:tcPr>
          <w:p>
            <w:pPr>
              <w:jc w:val="right"/>
              <w:ind w:right="540"/>
              <w:spacing w:after="0"/>
              <w:rPr>
                <w:sz w:val="20"/>
                <w:szCs w:val="20"/>
                <w:color w:val="auto"/>
              </w:rPr>
            </w:pPr>
            <w:r>
              <w:rPr>
                <w:rFonts w:ascii="Arial" w:cs="Arial" w:eastAsia="Arial" w:hAnsi="Arial"/>
                <w:sz w:val="18"/>
                <w:szCs w:val="18"/>
                <w:color w:val="auto"/>
              </w:rPr>
              <w:t>2,592</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33,337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53,929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Eric Fosse</w:t>
            </w:r>
          </w:p>
        </w:tc>
        <w:tc>
          <w:tcPr>
            <w:tcW w:w="13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2008</w:t>
            </w:r>
          </w:p>
        </w:tc>
        <w:tc>
          <w:tcPr>
            <w:tcW w:w="146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19,500</w:t>
            </w:r>
          </w:p>
        </w:tc>
        <w:tc>
          <w:tcPr>
            <w:tcW w:w="2240" w:type="dxa"/>
            <w:vAlign w:val="bottom"/>
            <w:gridSpan w:val="3"/>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2,453</w:t>
            </w:r>
          </w:p>
        </w:tc>
        <w:tc>
          <w:tcPr>
            <w:tcW w:w="18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34,566</w:t>
            </w:r>
          </w:p>
        </w:tc>
        <w:tc>
          <w:tcPr>
            <w:tcW w:w="8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56,519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2007</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2240" w:type="dxa"/>
            <w:vAlign w:val="bottom"/>
            <w:gridSpan w:val="3"/>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2,236</w:t>
            </w:r>
          </w:p>
        </w:tc>
        <w:tc>
          <w:tcPr>
            <w:tcW w:w="18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13,053</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Other Benefits Table for additional information.</w:t>
      </w:r>
    </w:p>
    <w:p>
      <w:pPr>
        <w:spacing w:after="0" w:line="63" w:lineRule="exact"/>
        <w:rPr>
          <w:rFonts w:ascii="Arial" w:cs="Arial" w:eastAsia="Arial" w:hAnsi="Arial"/>
          <w:sz w:val="18"/>
          <w:szCs w:val="18"/>
          <w:color w:val="auto"/>
        </w:rPr>
      </w:pPr>
    </w:p>
    <w:p>
      <w:pPr>
        <w:ind w:left="460" w:right="460" w:hanging="452"/>
        <w:spacing w:after="0" w:line="24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taxable group life insurance premiums paid on behalf of the named executives. The benefit provides Life and Accidental Death and Dismemberment coverage at 3 times the named executive’s annual salary up to a maximum of $1 million.</w:t>
      </w:r>
    </w:p>
    <w:p>
      <w:pPr>
        <w:spacing w:after="0" w:line="48" w:lineRule="exact"/>
        <w:rPr>
          <w:rFonts w:ascii="Arial" w:cs="Arial" w:eastAsia="Arial" w:hAnsi="Arial"/>
          <w:sz w:val="18"/>
          <w:szCs w:val="18"/>
          <w:color w:val="auto"/>
        </w:rPr>
      </w:pPr>
    </w:p>
    <w:p>
      <w:pPr>
        <w:ind w:left="460" w:right="1020" w:hanging="452"/>
        <w:spacing w:after="0" w:line="24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company contribution to the supplemental executive retirement plan, as presented in the Non-Qualified Deferred Compensation table below.</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Table for 2008</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describes other benefits and our cost in providing them. The total amount of these other benefits is included above in the All Other Compensation Table for each named executive officer.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Automobile Allowance and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37"/>
              <w:spacing w:after="0"/>
              <w:rPr>
                <w:sz w:val="20"/>
                <w:szCs w:val="20"/>
                <w:color w:val="auto"/>
              </w:rPr>
            </w:pPr>
            <w:r>
              <w:rPr>
                <w:rFonts w:ascii="Arial" w:cs="Arial" w:eastAsia="Arial" w:hAnsi="Arial"/>
                <w:sz w:val="14"/>
                <w:szCs w:val="14"/>
                <w:color w:val="auto"/>
              </w:rPr>
              <w:t>County Club</w:t>
            </w:r>
          </w:p>
        </w:tc>
        <w:tc>
          <w:tcPr>
            <w:tcW w:w="4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Associated</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20" w:type="dxa"/>
            <w:vAlign w:val="bottom"/>
            <w:tcBorders>
              <w:bottom w:val="single" w:sz="8" w:color="auto"/>
            </w:tcBorders>
          </w:tcPr>
          <w:p>
            <w:pPr>
              <w:ind w:left="2660"/>
              <w:spacing w:after="0" w:line="157" w:lineRule="exact"/>
              <w:rPr>
                <w:sz w:val="20"/>
                <w:szCs w:val="20"/>
                <w:color w:val="auto"/>
              </w:rPr>
            </w:pPr>
            <w:r>
              <w:rPr>
                <w:rFonts w:ascii="Arial" w:cs="Arial" w:eastAsia="Arial" w:hAnsi="Arial"/>
                <w:sz w:val="14"/>
                <w:szCs w:val="14"/>
                <w:color w:val="auto"/>
              </w:rPr>
              <w:t>Name</w:t>
            </w:r>
          </w:p>
        </w:tc>
        <w:tc>
          <w:tcPr>
            <w:tcW w:w="460" w:type="dxa"/>
            <w:vAlign w:val="bottom"/>
          </w:tcPr>
          <w:p>
            <w:pPr>
              <w:spacing w:after="0"/>
              <w:rPr>
                <w:sz w:val="13"/>
                <w:szCs w:val="13"/>
                <w:color w:val="auto"/>
              </w:rPr>
            </w:pPr>
          </w:p>
        </w:tc>
        <w:tc>
          <w:tcPr>
            <w:tcW w:w="1220" w:type="dxa"/>
            <w:vAlign w:val="bottom"/>
            <w:tcBorders>
              <w:bottom w:val="single" w:sz="8" w:color="auto"/>
            </w:tcBorders>
          </w:tcPr>
          <w:p>
            <w:pPr>
              <w:jc w:val="right"/>
              <w:ind w:right="257"/>
              <w:spacing w:after="0" w:line="157" w:lineRule="exact"/>
              <w:rPr>
                <w:sz w:val="20"/>
                <w:szCs w:val="20"/>
                <w:color w:val="auto"/>
              </w:rPr>
            </w:pPr>
            <w:r>
              <w:rPr>
                <w:rFonts w:ascii="Arial" w:cs="Arial" w:eastAsia="Arial" w:hAnsi="Arial"/>
                <w:sz w:val="14"/>
                <w:szCs w:val="14"/>
                <w:color w:val="auto"/>
              </w:rPr>
              <w:t>Dues ($)</w:t>
            </w:r>
          </w:p>
        </w:tc>
        <w:tc>
          <w:tcPr>
            <w:tcW w:w="440" w:type="dxa"/>
            <w:vAlign w:val="bottom"/>
          </w:tcPr>
          <w:p>
            <w:pPr>
              <w:spacing w:after="0"/>
              <w:rPr>
                <w:sz w:val="13"/>
                <w:szCs w:val="13"/>
                <w:color w:val="auto"/>
              </w:rPr>
            </w:pPr>
          </w:p>
        </w:tc>
        <w:tc>
          <w:tcPr>
            <w:tcW w:w="20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Expenses ($)</w:t>
            </w:r>
          </w:p>
        </w:tc>
        <w:tc>
          <w:tcPr>
            <w:tcW w:w="440" w:type="dxa"/>
            <w:vAlign w:val="bottom"/>
          </w:tcPr>
          <w:p>
            <w:pPr>
              <w:spacing w:after="0"/>
              <w:rPr>
                <w:sz w:val="13"/>
                <w:szCs w:val="13"/>
                <w:color w:val="auto"/>
              </w:rPr>
            </w:pPr>
          </w:p>
        </w:tc>
        <w:tc>
          <w:tcPr>
            <w:tcW w:w="1100" w:type="dxa"/>
            <w:vAlign w:val="bottom"/>
            <w:tcBorders>
              <w:bottom w:val="single" w:sz="8" w:color="auto"/>
            </w:tcBorders>
          </w:tcPr>
          <w:p>
            <w:pPr>
              <w:ind w:left="300"/>
              <w:spacing w:after="0" w:line="157" w:lineRule="exact"/>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Joseph L. Rotunda</w:t>
            </w:r>
          </w:p>
        </w:tc>
        <w:tc>
          <w:tcPr>
            <w:tcW w:w="1680" w:type="dxa"/>
            <w:vAlign w:val="bottom"/>
            <w:gridSpan w:val="2"/>
            <w:shd w:val="clear" w:color="auto" w:fill="CCEEFF"/>
          </w:tcPr>
          <w:p>
            <w:pPr>
              <w:jc w:val="right"/>
              <w:ind w:right="257"/>
              <w:spacing w:after="0" w:line="196" w:lineRule="exact"/>
              <w:rPr>
                <w:sz w:val="20"/>
                <w:szCs w:val="20"/>
                <w:color w:val="auto"/>
              </w:rPr>
            </w:pPr>
            <w:r>
              <w:rPr>
                <w:rFonts w:ascii="Arial" w:cs="Arial" w:eastAsia="Arial" w:hAnsi="Arial"/>
                <w:sz w:val="18"/>
                <w:szCs w:val="18"/>
                <w:color w:val="auto"/>
              </w:rPr>
              <w:t>13,200</w:t>
            </w:r>
          </w:p>
        </w:tc>
        <w:tc>
          <w:tcPr>
            <w:tcW w:w="2460" w:type="dxa"/>
            <w:vAlign w:val="bottom"/>
            <w:gridSpan w:val="2"/>
            <w:shd w:val="clear" w:color="auto" w:fill="CCEEFF"/>
          </w:tcPr>
          <w:p>
            <w:pPr>
              <w:jc w:val="center"/>
              <w:ind w:left="370"/>
              <w:spacing w:after="0" w:line="196" w:lineRule="exact"/>
              <w:rPr>
                <w:sz w:val="20"/>
                <w:szCs w:val="20"/>
                <w:color w:val="auto"/>
              </w:rPr>
            </w:pPr>
            <w:r>
              <w:rPr>
                <w:rFonts w:ascii="Arial" w:cs="Arial" w:eastAsia="Arial" w:hAnsi="Arial"/>
                <w:sz w:val="18"/>
                <w:szCs w:val="18"/>
                <w:color w:val="auto"/>
              </w:rPr>
              <w:t>26,400</w:t>
            </w:r>
          </w:p>
        </w:tc>
        <w:tc>
          <w:tcPr>
            <w:tcW w:w="154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39,600</w:t>
            </w:r>
          </w:p>
        </w:tc>
        <w:tc>
          <w:tcPr>
            <w:tcW w:w="0" w:type="dxa"/>
            <w:vAlign w:val="bottom"/>
          </w:tcPr>
          <w:p>
            <w:pPr>
              <w:spacing w:after="0"/>
              <w:rPr>
                <w:sz w:val="1"/>
                <w:szCs w:val="1"/>
                <w:color w:val="auto"/>
              </w:rPr>
            </w:pPr>
          </w:p>
        </w:tc>
      </w:tr>
      <w:tr>
        <w:trPr>
          <w:trHeight w:val="419"/>
        </w:trPr>
        <w:tc>
          <w:tcPr>
            <w:tcW w:w="5740" w:type="dxa"/>
            <w:vAlign w:val="bottom"/>
            <w:gridSpan w:val="2"/>
          </w:tcPr>
          <w:p>
            <w:pPr>
              <w:spacing w:after="0"/>
              <w:rPr>
                <w:sz w:val="20"/>
                <w:szCs w:val="20"/>
                <w:color w:val="auto"/>
              </w:rPr>
            </w:pPr>
            <w:r>
              <w:rPr>
                <w:rFonts w:ascii="Arial" w:cs="Arial" w:eastAsia="Arial" w:hAnsi="Arial"/>
                <w:sz w:val="18"/>
                <w:szCs w:val="18"/>
                <w:color w:val="auto"/>
              </w:rPr>
              <w:t>Sterling B. Brinkley</w:t>
            </w:r>
          </w:p>
        </w:tc>
        <w:tc>
          <w:tcPr>
            <w:tcW w:w="1680" w:type="dxa"/>
            <w:vAlign w:val="bottom"/>
            <w:gridSpan w:val="2"/>
          </w:tcPr>
          <w:p>
            <w:pPr>
              <w:jc w:val="right"/>
              <w:ind w:right="257"/>
              <w:spacing w:after="0"/>
              <w:rPr>
                <w:sz w:val="20"/>
                <w:szCs w:val="20"/>
                <w:color w:val="auto"/>
              </w:rPr>
            </w:pPr>
            <w:r>
              <w:rPr>
                <w:rFonts w:ascii="Arial" w:cs="Arial" w:eastAsia="Arial" w:hAnsi="Arial"/>
                <w:sz w:val="18"/>
                <w:szCs w:val="18"/>
                <w:color w:val="auto"/>
              </w:rPr>
              <w:t>13,200</w:t>
            </w:r>
          </w:p>
        </w:tc>
        <w:tc>
          <w:tcPr>
            <w:tcW w:w="2460" w:type="dxa"/>
            <w:vAlign w:val="bottom"/>
            <w:gridSpan w:val="2"/>
          </w:tcPr>
          <w:p>
            <w:pPr>
              <w:jc w:val="center"/>
              <w:ind w:left="370"/>
              <w:spacing w:after="0"/>
              <w:rPr>
                <w:sz w:val="20"/>
                <w:szCs w:val="20"/>
                <w:color w:val="auto"/>
              </w:rPr>
            </w:pPr>
            <w:r>
              <w:rPr>
                <w:rFonts w:ascii="Arial" w:cs="Arial" w:eastAsia="Arial" w:hAnsi="Arial"/>
                <w:sz w:val="18"/>
                <w:szCs w:val="18"/>
                <w:color w:val="auto"/>
              </w:rPr>
              <w:t>26,400</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39,600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N. Tonissen</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rPr>
              <w:t>18,000</w:t>
            </w:r>
          </w:p>
        </w:tc>
        <w:tc>
          <w:tcPr>
            <w:tcW w:w="15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419"/>
        </w:trPr>
        <w:tc>
          <w:tcPr>
            <w:tcW w:w="5740" w:type="dxa"/>
            <w:vAlign w:val="bottom"/>
            <w:gridSpan w:val="2"/>
          </w:tcPr>
          <w:p>
            <w:pPr>
              <w:spacing w:after="0"/>
              <w:rPr>
                <w:sz w:val="20"/>
                <w:szCs w:val="20"/>
                <w:color w:val="auto"/>
              </w:rPr>
            </w:pPr>
            <w:r>
              <w:rPr>
                <w:rFonts w:ascii="Arial" w:cs="Arial" w:eastAsia="Arial" w:hAnsi="Arial"/>
                <w:sz w:val="18"/>
                <w:szCs w:val="18"/>
                <w:color w:val="auto"/>
              </w:rPr>
              <w:t>Robert Kasenter</w:t>
            </w:r>
          </w:p>
        </w:tc>
        <w:tc>
          <w:tcPr>
            <w:tcW w:w="460" w:type="dxa"/>
            <w:vAlign w:val="bottom"/>
          </w:tcPr>
          <w:p>
            <w:pPr>
              <w:spacing w:after="0"/>
              <w:rPr>
                <w:sz w:val="24"/>
                <w:szCs w:val="24"/>
                <w:color w:val="auto"/>
              </w:rPr>
            </w:pPr>
          </w:p>
        </w:tc>
        <w:tc>
          <w:tcPr>
            <w:tcW w:w="122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center"/>
              <w:ind w:left="370"/>
              <w:spacing w:after="0"/>
              <w:rPr>
                <w:sz w:val="20"/>
                <w:szCs w:val="20"/>
                <w:color w:val="auto"/>
              </w:rPr>
            </w:pPr>
            <w:r>
              <w:rPr>
                <w:rFonts w:ascii="Arial" w:cs="Arial" w:eastAsia="Arial" w:hAnsi="Arial"/>
                <w:sz w:val="18"/>
                <w:szCs w:val="18"/>
                <w:color w:val="auto"/>
              </w:rPr>
              <w:t>18,000</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 (1)</w:t>
            </w:r>
          </w:p>
        </w:tc>
        <w:tc>
          <w:tcPr>
            <w:tcW w:w="4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7"/>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center"/>
              <w:ind w:left="370"/>
              <w:spacing w:after="0" w:line="202" w:lineRule="exact"/>
              <w:rPr>
                <w:sz w:val="20"/>
                <w:szCs w:val="20"/>
                <w:color w:val="auto"/>
              </w:rPr>
            </w:pPr>
            <w:r>
              <w:rPr>
                <w:rFonts w:ascii="Arial" w:cs="Arial" w:eastAsia="Arial" w:hAnsi="Arial"/>
                <w:sz w:val="18"/>
                <w:szCs w:val="18"/>
                <w:color w:val="auto"/>
              </w:rPr>
              <w:t>19,500</w:t>
            </w:r>
          </w:p>
        </w:tc>
        <w:tc>
          <w:tcPr>
            <w:tcW w:w="15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$1,500 auto allowance for the month of September 2007 paid in fiscal 2008.</w:t>
      </w:r>
    </w:p>
    <w:p>
      <w:pPr>
        <w:spacing w:after="0" w:line="104"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Beginning in fiscal 2009, we discontinued any executive compensation for country club dues and automobile allowances or associated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Table for 2008</w:t>
      </w:r>
    </w:p>
    <w:p>
      <w:pPr>
        <w:spacing w:after="0" w:line="126"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The following table presents data regarding our Supplemental Executive Retirement Plan, which is our only non-qualified deferred compensation plan. Information regarding this plan is also presented in the Pension Benefits table above. No contributions were made by named executive officers, and no withdrawals or distributions were made to them in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Registrant</w:t>
            </w:r>
          </w:p>
        </w:tc>
        <w:tc>
          <w:tcPr>
            <w:tcW w:w="480" w:type="dxa"/>
            <w:vAlign w:val="bottom"/>
          </w:tcPr>
          <w:p>
            <w:pPr>
              <w:spacing w:after="0"/>
              <w:rPr>
                <w:sz w:val="14"/>
                <w:szCs w:val="14"/>
                <w:color w:val="auto"/>
              </w:rPr>
            </w:pP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Aggregate</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Contributions in</w:t>
            </w:r>
          </w:p>
        </w:tc>
        <w:tc>
          <w:tcPr>
            <w:tcW w:w="4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Earnings in</w:t>
            </w:r>
          </w:p>
        </w:tc>
        <w:tc>
          <w:tcPr>
            <w:tcW w:w="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40" w:type="dxa"/>
            <w:vAlign w:val="bottom"/>
            <w:tcBorders>
              <w:bottom w:val="single" w:sz="8" w:color="auto"/>
            </w:tcBorders>
          </w:tcPr>
          <w:p>
            <w:pPr>
              <w:ind w:left="2760"/>
              <w:spacing w:after="0" w:line="157" w:lineRule="exact"/>
              <w:rPr>
                <w:sz w:val="20"/>
                <w:szCs w:val="20"/>
                <w:color w:val="auto"/>
              </w:rPr>
            </w:pPr>
            <w:r>
              <w:rPr>
                <w:rFonts w:ascii="Arial" w:cs="Arial" w:eastAsia="Arial" w:hAnsi="Arial"/>
                <w:sz w:val="14"/>
                <w:szCs w:val="14"/>
                <w:color w:val="auto"/>
              </w:rPr>
              <w:t>Name</w:t>
            </w:r>
          </w:p>
        </w:tc>
        <w:tc>
          <w:tcPr>
            <w:tcW w:w="16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Last FY ($)</w:t>
            </w:r>
          </w:p>
        </w:tc>
        <w:tc>
          <w:tcPr>
            <w:tcW w:w="480" w:type="dxa"/>
            <w:vAlign w:val="bottom"/>
          </w:tcPr>
          <w:p>
            <w:pPr>
              <w:spacing w:after="0"/>
              <w:rPr>
                <w:sz w:val="13"/>
                <w:szCs w:val="13"/>
                <w:color w:val="auto"/>
              </w:rPr>
            </w:pPr>
          </w:p>
        </w:tc>
        <w:tc>
          <w:tcPr>
            <w:tcW w:w="12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Last FY ($)</w:t>
            </w:r>
          </w:p>
        </w:tc>
        <w:tc>
          <w:tcPr>
            <w:tcW w:w="46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Last FYE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Joseph L. Rotunda</w:t>
            </w:r>
          </w:p>
        </w:tc>
        <w:tc>
          <w:tcPr>
            <w:tcW w:w="3580" w:type="dxa"/>
            <w:vAlign w:val="bottom"/>
            <w:gridSpan w:val="3"/>
            <w:shd w:val="clear" w:color="auto" w:fill="CCEEFF"/>
          </w:tcPr>
          <w:p>
            <w:pPr>
              <w:jc w:val="right"/>
              <w:ind w:right="348"/>
              <w:spacing w:after="0" w:line="196" w:lineRule="exact"/>
              <w:rPr>
                <w:sz w:val="20"/>
                <w:szCs w:val="20"/>
                <w:color w:val="auto"/>
              </w:rPr>
            </w:pPr>
            <w:r>
              <w:rPr>
                <w:rFonts w:ascii="Arial" w:cs="Arial" w:eastAsia="Arial" w:hAnsi="Arial"/>
                <w:sz w:val="18"/>
                <w:szCs w:val="18"/>
                <w:color w:val="auto"/>
              </w:rPr>
              <w:t>144,000</w:t>
            </w:r>
          </w:p>
        </w:tc>
        <w:tc>
          <w:tcPr>
            <w:tcW w:w="168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(44,508)</w:t>
            </w:r>
          </w:p>
        </w:tc>
        <w:tc>
          <w:tcPr>
            <w:tcW w:w="1800" w:type="dxa"/>
            <w:vAlign w:val="bottom"/>
            <w:gridSpan w:val="2"/>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331,034</w:t>
            </w:r>
          </w:p>
        </w:tc>
        <w:tc>
          <w:tcPr>
            <w:tcW w:w="0" w:type="dxa"/>
            <w:vAlign w:val="bottom"/>
          </w:tcPr>
          <w:p>
            <w:pPr>
              <w:spacing w:after="0"/>
              <w:rPr>
                <w:sz w:val="1"/>
                <w:szCs w:val="1"/>
                <w:color w:val="auto"/>
              </w:rPr>
            </w:pPr>
          </w:p>
        </w:tc>
      </w:tr>
      <w:tr>
        <w:trPr>
          <w:trHeight w:val="419"/>
        </w:trPr>
        <w:tc>
          <w:tcPr>
            <w:tcW w:w="4360" w:type="dxa"/>
            <w:vAlign w:val="bottom"/>
            <w:gridSpan w:val="2"/>
          </w:tcPr>
          <w:p>
            <w:pPr>
              <w:spacing w:after="0"/>
              <w:rPr>
                <w:sz w:val="20"/>
                <w:szCs w:val="20"/>
                <w:color w:val="auto"/>
              </w:rPr>
            </w:pPr>
            <w:r>
              <w:rPr>
                <w:rFonts w:ascii="Arial" w:cs="Arial" w:eastAsia="Arial" w:hAnsi="Arial"/>
                <w:sz w:val="18"/>
                <w:szCs w:val="18"/>
                <w:color w:val="auto"/>
              </w:rPr>
              <w:t>Sterling B. Brinkley</w:t>
            </w:r>
          </w:p>
        </w:tc>
        <w:tc>
          <w:tcPr>
            <w:tcW w:w="3580" w:type="dxa"/>
            <w:vAlign w:val="bottom"/>
            <w:gridSpan w:val="3"/>
          </w:tcPr>
          <w:p>
            <w:pPr>
              <w:jc w:val="right"/>
              <w:ind w:right="348"/>
              <w:spacing w:after="0"/>
              <w:rPr>
                <w:sz w:val="20"/>
                <w:szCs w:val="20"/>
                <w:color w:val="auto"/>
              </w:rPr>
            </w:pPr>
            <w:r>
              <w:rPr>
                <w:rFonts w:ascii="Arial" w:cs="Arial" w:eastAsia="Arial" w:hAnsi="Arial"/>
                <w:sz w:val="18"/>
                <w:szCs w:val="18"/>
                <w:color w:val="auto"/>
              </w:rPr>
              <w:t>84,375</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(38,353)</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205,129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N. Tonissen</w:t>
            </w:r>
          </w:p>
        </w:tc>
        <w:tc>
          <w:tcPr>
            <w:tcW w:w="3580" w:type="dxa"/>
            <w:vAlign w:val="bottom"/>
            <w:gridSpan w:val="3"/>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45,225</w:t>
            </w:r>
          </w:p>
        </w:tc>
        <w:tc>
          <w:tcPr>
            <w:tcW w:w="16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(30,777)</w:t>
            </w:r>
          </w:p>
        </w:tc>
        <w:tc>
          <w:tcPr>
            <w:tcW w:w="1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104,476</w:t>
            </w:r>
          </w:p>
        </w:tc>
        <w:tc>
          <w:tcPr>
            <w:tcW w:w="0" w:type="dxa"/>
            <w:vAlign w:val="bottom"/>
          </w:tcPr>
          <w:p>
            <w:pPr>
              <w:spacing w:after="0"/>
              <w:rPr>
                <w:sz w:val="1"/>
                <w:szCs w:val="1"/>
                <w:color w:val="auto"/>
              </w:rPr>
            </w:pPr>
          </w:p>
        </w:tc>
      </w:tr>
      <w:tr>
        <w:trPr>
          <w:trHeight w:val="419"/>
        </w:trPr>
        <w:tc>
          <w:tcPr>
            <w:tcW w:w="4360" w:type="dxa"/>
            <w:vAlign w:val="bottom"/>
            <w:gridSpan w:val="2"/>
          </w:tcPr>
          <w:p>
            <w:pPr>
              <w:spacing w:after="0"/>
              <w:rPr>
                <w:sz w:val="20"/>
                <w:szCs w:val="20"/>
                <w:color w:val="auto"/>
              </w:rPr>
            </w:pPr>
            <w:r>
              <w:rPr>
                <w:rFonts w:ascii="Arial" w:cs="Arial" w:eastAsia="Arial" w:hAnsi="Arial"/>
                <w:sz w:val="18"/>
                <w:szCs w:val="18"/>
                <w:color w:val="auto"/>
              </w:rPr>
              <w:t>Robert Kasenter</w:t>
            </w:r>
          </w:p>
        </w:tc>
        <w:tc>
          <w:tcPr>
            <w:tcW w:w="3580" w:type="dxa"/>
            <w:vAlign w:val="bottom"/>
            <w:gridSpan w:val="3"/>
          </w:tcPr>
          <w:p>
            <w:pPr>
              <w:jc w:val="right"/>
              <w:ind w:right="348"/>
              <w:spacing w:after="0"/>
              <w:rPr>
                <w:sz w:val="20"/>
                <w:szCs w:val="20"/>
                <w:color w:val="auto"/>
              </w:rPr>
            </w:pPr>
            <w:r>
              <w:rPr>
                <w:rFonts w:ascii="Arial" w:cs="Arial" w:eastAsia="Arial" w:hAnsi="Arial"/>
                <w:sz w:val="18"/>
                <w:szCs w:val="18"/>
                <w:color w:val="auto"/>
              </w:rPr>
              <w:t>33,750</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(14,937)</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94,601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Eric Fosse</w:t>
            </w:r>
          </w:p>
        </w:tc>
        <w:tc>
          <w:tcPr>
            <w:tcW w:w="3580" w:type="dxa"/>
            <w:vAlign w:val="bottom"/>
            <w:gridSpan w:val="3"/>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33,120</w:t>
            </w:r>
          </w:p>
        </w:tc>
        <w:tc>
          <w:tcPr>
            <w:tcW w:w="1680" w:type="dxa"/>
            <w:vAlign w:val="bottom"/>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(6,951)</w:t>
            </w:r>
          </w:p>
        </w:tc>
        <w:tc>
          <w:tcPr>
            <w:tcW w:w="180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48,567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c>
          <w:tcPr>
            <w:tcW w:w="16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compensation paid to our non-employee directors in fiscal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Fees Earned or</w:t>
            </w:r>
          </w:p>
        </w:tc>
        <w:tc>
          <w:tcPr>
            <w:tcW w:w="48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Arial" w:cs="Arial" w:eastAsia="Arial" w:hAnsi="Arial"/>
                <w:sz w:val="14"/>
                <w:szCs w:val="14"/>
                <w:color w:val="auto"/>
              </w:rPr>
              <w:t>Option Awards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Borders>
              <w:bottom w:val="single" w:sz="8" w:color="auto"/>
            </w:tcBorders>
          </w:tcPr>
          <w:p>
            <w:pPr>
              <w:ind w:left="2820"/>
              <w:spacing w:after="0" w:line="157" w:lineRule="exact"/>
              <w:rPr>
                <w:sz w:val="20"/>
                <w:szCs w:val="20"/>
                <w:color w:val="auto"/>
              </w:rPr>
            </w:pPr>
            <w:r>
              <w:rPr>
                <w:rFonts w:ascii="Arial" w:cs="Arial" w:eastAsia="Arial" w:hAnsi="Arial"/>
                <w:sz w:val="14"/>
                <w:szCs w:val="14"/>
                <w:color w:val="auto"/>
              </w:rPr>
              <w:t>Name</w:t>
            </w:r>
          </w:p>
        </w:tc>
        <w:tc>
          <w:tcPr>
            <w:tcW w:w="460" w:type="dxa"/>
            <w:vAlign w:val="bottom"/>
          </w:tcPr>
          <w:p>
            <w:pPr>
              <w:spacing w:after="0"/>
              <w:rPr>
                <w:sz w:val="13"/>
                <w:szCs w:val="13"/>
                <w:color w:val="auto"/>
              </w:rPr>
            </w:pPr>
          </w:p>
        </w:tc>
        <w:tc>
          <w:tcPr>
            <w:tcW w:w="14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Paid in Cash ($)</w:t>
            </w:r>
          </w:p>
        </w:tc>
        <w:tc>
          <w:tcPr>
            <w:tcW w:w="480" w:type="dxa"/>
            <w:vAlign w:val="bottom"/>
          </w:tcPr>
          <w:p>
            <w:pPr>
              <w:spacing w:after="0"/>
              <w:rPr>
                <w:sz w:val="13"/>
                <w:szCs w:val="13"/>
                <w:color w:val="auto"/>
              </w:rPr>
            </w:pPr>
          </w:p>
        </w:tc>
        <w:tc>
          <w:tcPr>
            <w:tcW w:w="13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 (1)</w:t>
            </w:r>
          </w:p>
        </w:tc>
        <w:tc>
          <w:tcPr>
            <w:tcW w:w="480" w:type="dxa"/>
            <w:vAlign w:val="bottom"/>
          </w:tcPr>
          <w:p>
            <w:pPr>
              <w:spacing w:after="0"/>
              <w:rPr>
                <w:sz w:val="13"/>
                <w:szCs w:val="13"/>
                <w:color w:val="auto"/>
              </w:rPr>
            </w:pPr>
          </w:p>
        </w:tc>
        <w:tc>
          <w:tcPr>
            <w:tcW w:w="1120" w:type="dxa"/>
            <w:vAlign w:val="bottom"/>
            <w:tcBorders>
              <w:bottom w:val="single" w:sz="8" w:color="auto"/>
            </w:tcBorders>
          </w:tcPr>
          <w:p>
            <w:pPr>
              <w:ind w:left="300"/>
              <w:spacing w:after="0" w:line="157" w:lineRule="exact"/>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Richard M. Edwards</w:t>
            </w:r>
          </w:p>
        </w:tc>
        <w:tc>
          <w:tcPr>
            <w:tcW w:w="1900" w:type="dxa"/>
            <w:vAlign w:val="bottom"/>
            <w:gridSpan w:val="2"/>
            <w:shd w:val="clear" w:color="auto" w:fill="CCEEFF"/>
          </w:tcPr>
          <w:p>
            <w:pPr>
              <w:jc w:val="center"/>
              <w:ind w:left="390"/>
              <w:spacing w:after="0" w:line="196" w:lineRule="exact"/>
              <w:rPr>
                <w:sz w:val="20"/>
                <w:szCs w:val="20"/>
                <w:color w:val="auto"/>
              </w:rPr>
            </w:pPr>
            <w:r>
              <w:rPr>
                <w:rFonts w:ascii="Arial" w:cs="Arial" w:eastAsia="Arial" w:hAnsi="Arial"/>
                <w:sz w:val="18"/>
                <w:szCs w:val="18"/>
                <w:color w:val="auto"/>
                <w:w w:val="98"/>
              </w:rPr>
              <w:t>60,000</w:t>
            </w:r>
          </w:p>
        </w:tc>
        <w:tc>
          <w:tcPr>
            <w:tcW w:w="1840" w:type="dxa"/>
            <w:vAlign w:val="bottom"/>
            <w:gridSpan w:val="2"/>
            <w:shd w:val="clear" w:color="auto" w:fill="CCEEFF"/>
          </w:tcPr>
          <w:p>
            <w:pPr>
              <w:jc w:val="center"/>
              <w:ind w:left="410"/>
              <w:spacing w:after="0" w:line="196" w:lineRule="exact"/>
              <w:rPr>
                <w:sz w:val="20"/>
                <w:szCs w:val="20"/>
                <w:color w:val="auto"/>
              </w:rPr>
            </w:pPr>
            <w:r>
              <w:rPr>
                <w:rFonts w:ascii="Arial" w:cs="Arial" w:eastAsia="Arial" w:hAnsi="Arial"/>
                <w:sz w:val="18"/>
                <w:szCs w:val="18"/>
                <w:color w:val="auto"/>
                <w:w w:val="98"/>
              </w:rPr>
              <w:t>23,298</w:t>
            </w:r>
          </w:p>
        </w:tc>
        <w:tc>
          <w:tcPr>
            <w:tcW w:w="1600" w:type="dxa"/>
            <w:vAlign w:val="bottom"/>
            <w:gridSpan w:val="2"/>
            <w:shd w:val="clear" w:color="auto" w:fill="CCEEFF"/>
          </w:tcPr>
          <w:p>
            <w:pPr>
              <w:ind w:left="760"/>
              <w:spacing w:after="0" w:line="196" w:lineRule="exact"/>
              <w:rPr>
                <w:sz w:val="20"/>
                <w:szCs w:val="20"/>
                <w:color w:val="auto"/>
              </w:rPr>
            </w:pPr>
            <w:r>
              <w:rPr>
                <w:rFonts w:ascii="Arial" w:cs="Arial" w:eastAsia="Arial" w:hAnsi="Arial"/>
                <w:sz w:val="18"/>
                <w:szCs w:val="18"/>
                <w:color w:val="auto"/>
              </w:rPr>
              <w:t>83,298</w:t>
            </w:r>
          </w:p>
        </w:tc>
        <w:tc>
          <w:tcPr>
            <w:tcW w:w="0" w:type="dxa"/>
            <w:vAlign w:val="bottom"/>
          </w:tcPr>
          <w:p>
            <w:pPr>
              <w:spacing w:after="0"/>
              <w:rPr>
                <w:sz w:val="1"/>
                <w:szCs w:val="1"/>
                <w:color w:val="auto"/>
              </w:rPr>
            </w:pPr>
          </w:p>
        </w:tc>
      </w:tr>
      <w:tr>
        <w:trPr>
          <w:trHeight w:val="419"/>
        </w:trPr>
        <w:tc>
          <w:tcPr>
            <w:tcW w:w="6080" w:type="dxa"/>
            <w:vAlign w:val="bottom"/>
            <w:gridSpan w:val="2"/>
          </w:tcPr>
          <w:p>
            <w:pPr>
              <w:spacing w:after="0"/>
              <w:rPr>
                <w:sz w:val="20"/>
                <w:szCs w:val="20"/>
                <w:color w:val="auto"/>
              </w:rPr>
            </w:pPr>
            <w:r>
              <w:rPr>
                <w:rFonts w:ascii="Arial" w:cs="Arial" w:eastAsia="Arial" w:hAnsi="Arial"/>
                <w:sz w:val="18"/>
                <w:szCs w:val="18"/>
                <w:color w:val="auto"/>
              </w:rPr>
              <w:t>Gary Matzner</w:t>
            </w:r>
          </w:p>
        </w:tc>
        <w:tc>
          <w:tcPr>
            <w:tcW w:w="1900" w:type="dxa"/>
            <w:vAlign w:val="bottom"/>
            <w:gridSpan w:val="2"/>
          </w:tcPr>
          <w:p>
            <w:pPr>
              <w:jc w:val="center"/>
              <w:ind w:left="390"/>
              <w:spacing w:after="0"/>
              <w:rPr>
                <w:sz w:val="20"/>
                <w:szCs w:val="20"/>
                <w:color w:val="auto"/>
              </w:rPr>
            </w:pPr>
            <w:r>
              <w:rPr>
                <w:rFonts w:ascii="Arial" w:cs="Arial" w:eastAsia="Arial" w:hAnsi="Arial"/>
                <w:sz w:val="18"/>
                <w:szCs w:val="18"/>
                <w:color w:val="auto"/>
                <w:w w:val="98"/>
              </w:rPr>
              <w:t>60,000</w:t>
            </w:r>
          </w:p>
        </w:tc>
        <w:tc>
          <w:tcPr>
            <w:tcW w:w="1840" w:type="dxa"/>
            <w:vAlign w:val="bottom"/>
            <w:gridSpan w:val="2"/>
          </w:tcPr>
          <w:p>
            <w:pPr>
              <w:jc w:val="center"/>
              <w:ind w:left="410"/>
              <w:spacing w:after="0"/>
              <w:rPr>
                <w:sz w:val="20"/>
                <w:szCs w:val="20"/>
                <w:color w:val="auto"/>
              </w:rPr>
            </w:pPr>
            <w:r>
              <w:rPr>
                <w:rFonts w:ascii="Arial" w:cs="Arial" w:eastAsia="Arial" w:hAnsi="Arial"/>
                <w:sz w:val="18"/>
                <w:szCs w:val="18"/>
                <w:color w:val="auto"/>
                <w:w w:val="98"/>
              </w:rPr>
              <w:t>17,742</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77,742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Thomas C. Roberts</w:t>
            </w:r>
          </w:p>
        </w:tc>
        <w:tc>
          <w:tcPr>
            <w:tcW w:w="1900" w:type="dxa"/>
            <w:vAlign w:val="bottom"/>
            <w:gridSpan w:val="2"/>
            <w:shd w:val="clear" w:color="auto" w:fill="CCEEFF"/>
          </w:tcPr>
          <w:p>
            <w:pPr>
              <w:jc w:val="center"/>
              <w:ind w:left="390"/>
              <w:spacing w:after="0" w:line="202" w:lineRule="exact"/>
              <w:rPr>
                <w:sz w:val="20"/>
                <w:szCs w:val="20"/>
                <w:color w:val="auto"/>
              </w:rPr>
            </w:pPr>
            <w:r>
              <w:rPr>
                <w:rFonts w:ascii="Arial" w:cs="Arial" w:eastAsia="Arial" w:hAnsi="Arial"/>
                <w:sz w:val="18"/>
                <w:szCs w:val="18"/>
                <w:color w:val="auto"/>
                <w:w w:val="98"/>
              </w:rPr>
              <w:t>70,000</w:t>
            </w:r>
          </w:p>
        </w:tc>
        <w:tc>
          <w:tcPr>
            <w:tcW w:w="1840" w:type="dxa"/>
            <w:vAlign w:val="bottom"/>
            <w:gridSpan w:val="2"/>
            <w:shd w:val="clear" w:color="auto" w:fill="CCEEFF"/>
          </w:tcPr>
          <w:p>
            <w:pPr>
              <w:jc w:val="center"/>
              <w:ind w:left="410"/>
              <w:spacing w:after="0" w:line="202" w:lineRule="exact"/>
              <w:rPr>
                <w:sz w:val="20"/>
                <w:szCs w:val="20"/>
                <w:color w:val="auto"/>
              </w:rPr>
            </w:pPr>
            <w:r>
              <w:rPr>
                <w:rFonts w:ascii="Arial" w:cs="Arial" w:eastAsia="Arial" w:hAnsi="Arial"/>
                <w:sz w:val="18"/>
                <w:szCs w:val="18"/>
                <w:color w:val="auto"/>
                <w:w w:val="98"/>
              </w:rPr>
              <w:t>17,739</w:t>
            </w:r>
          </w:p>
        </w:tc>
        <w:tc>
          <w:tcPr>
            <w:tcW w:w="160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87,739</w:t>
            </w:r>
          </w:p>
        </w:tc>
        <w:tc>
          <w:tcPr>
            <w:tcW w:w="0" w:type="dxa"/>
            <w:vAlign w:val="bottom"/>
          </w:tcPr>
          <w:p>
            <w:pPr>
              <w:spacing w:after="0"/>
              <w:rPr>
                <w:sz w:val="1"/>
                <w:szCs w:val="1"/>
                <w:color w:val="auto"/>
              </w:rPr>
            </w:pPr>
          </w:p>
        </w:tc>
      </w:tr>
      <w:tr>
        <w:trPr>
          <w:trHeight w:val="419"/>
        </w:trPr>
        <w:tc>
          <w:tcPr>
            <w:tcW w:w="6080" w:type="dxa"/>
            <w:vAlign w:val="bottom"/>
            <w:gridSpan w:val="2"/>
          </w:tcPr>
          <w:p>
            <w:pPr>
              <w:spacing w:after="0"/>
              <w:rPr>
                <w:sz w:val="20"/>
                <w:szCs w:val="20"/>
                <w:color w:val="auto"/>
              </w:rPr>
            </w:pPr>
            <w:r>
              <w:rPr>
                <w:rFonts w:ascii="Arial" w:cs="Arial" w:eastAsia="Arial" w:hAnsi="Arial"/>
                <w:sz w:val="18"/>
                <w:szCs w:val="18"/>
                <w:color w:val="auto"/>
              </w:rPr>
              <w:t>Richard D. Sage</w:t>
            </w:r>
          </w:p>
        </w:tc>
        <w:tc>
          <w:tcPr>
            <w:tcW w:w="1900" w:type="dxa"/>
            <w:vAlign w:val="bottom"/>
            <w:gridSpan w:val="2"/>
          </w:tcPr>
          <w:p>
            <w:pPr>
              <w:jc w:val="center"/>
              <w:ind w:left="390"/>
              <w:spacing w:after="0"/>
              <w:rPr>
                <w:sz w:val="20"/>
                <w:szCs w:val="20"/>
                <w:color w:val="auto"/>
              </w:rPr>
            </w:pPr>
            <w:r>
              <w:rPr>
                <w:rFonts w:ascii="Arial" w:cs="Arial" w:eastAsia="Arial" w:hAnsi="Arial"/>
                <w:sz w:val="18"/>
                <w:szCs w:val="18"/>
                <w:color w:val="auto"/>
                <w:w w:val="98"/>
              </w:rPr>
              <w:t>67,000</w:t>
            </w:r>
          </w:p>
        </w:tc>
        <w:tc>
          <w:tcPr>
            <w:tcW w:w="1840" w:type="dxa"/>
            <w:vAlign w:val="bottom"/>
            <w:gridSpan w:val="2"/>
          </w:tcPr>
          <w:p>
            <w:pPr>
              <w:jc w:val="center"/>
              <w:ind w:left="410"/>
              <w:spacing w:after="0"/>
              <w:rPr>
                <w:sz w:val="20"/>
                <w:szCs w:val="20"/>
                <w:color w:val="auto"/>
              </w:rPr>
            </w:pPr>
            <w:r>
              <w:rPr>
                <w:rFonts w:ascii="Arial" w:cs="Arial" w:eastAsia="Arial" w:hAnsi="Arial"/>
                <w:sz w:val="18"/>
                <w:szCs w:val="18"/>
                <w:color w:val="auto"/>
                <w:w w:val="98"/>
              </w:rPr>
              <w:t>17,742</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84,742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3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the Option Awards column reflect the dollar amount we have recognized for financial statement reporting purposes (excluding estimated forfeitures), in accordance with SFAS No. 123(R) of stock option awards, including awards granted in and prior to the current fiscal year being reported. Assumptions used in the calculation of these amounts are included in the footnotes to our audited financial statements included in this annual report.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2120"/>
        <w:spacing w:after="0" w:line="372"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b w:val="1"/>
          <w:bCs w:val="1"/>
          <w:i w:val="1"/>
          <w:iCs w:val="1"/>
          <w:color w:val="auto"/>
        </w:rPr>
        <w:t>Security Ownership of Management and Principal Stockholders</w:t>
      </w:r>
    </w:p>
    <w:p>
      <w:pPr>
        <w:spacing w:after="0" w:line="2" w:lineRule="exact"/>
        <w:rPr>
          <w:sz w:val="20"/>
          <w:szCs w:val="20"/>
          <w:color w:val="auto"/>
        </w:rPr>
      </w:pPr>
    </w:p>
    <w:p>
      <w:pPr>
        <w:jc w:val="both"/>
        <w:ind w:right="200"/>
        <w:spacing w:after="0" w:line="234" w:lineRule="auto"/>
        <w:rPr>
          <w:sz w:val="20"/>
          <w:szCs w:val="20"/>
          <w:color w:val="auto"/>
        </w:rPr>
      </w:pPr>
      <w:r>
        <w:rPr>
          <w:rFonts w:ascii="Arial" w:cs="Arial" w:eastAsia="Arial" w:hAnsi="Arial"/>
          <w:sz w:val="18"/>
          <w:szCs w:val="18"/>
          <w:color w:val="auto"/>
        </w:rPr>
        <w:t>Phillip Ean Cohen indirectly controls EZCORP through his ownership of all of the issued and outstanding stock of MS Pawn Corporation, the sole general partner of MS Pawn Limited Partnership (“MS Pawn”), which owns 100% of our Class B Voting Common Stock. The table below presents information regarding the beneficial ownership of our Common Stock as of October 31, 2008 for (i) each of our current directors,</w:t>
      </w:r>
    </w:p>
    <w:p>
      <w:pPr>
        <w:spacing w:after="0" w:line="2" w:lineRule="exact"/>
        <w:rPr>
          <w:sz w:val="20"/>
          <w:szCs w:val="20"/>
          <w:color w:val="auto"/>
        </w:rPr>
      </w:pPr>
    </w:p>
    <w:p>
      <w:pPr>
        <w:ind w:right="120" w:firstLine="8"/>
        <w:spacing w:after="0" w:line="246" w:lineRule="auto"/>
        <w:tabs>
          <w:tab w:leader="none" w:pos="2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 named executive officers, (iii) beneficial owners known to the registrant to own more than five percent of any class of our voting securities, and (iv) all current officers and directors as a group.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3"/>
          </w:tcPr>
          <w:p>
            <w:pPr>
              <w:jc w:val="center"/>
              <w:ind w:left="694"/>
              <w:spacing w:after="0"/>
              <w:rPr>
                <w:sz w:val="20"/>
                <w:szCs w:val="20"/>
                <w:color w:val="auto"/>
              </w:rPr>
            </w:pPr>
            <w:r>
              <w:rPr>
                <w:rFonts w:ascii="Arial" w:cs="Arial" w:eastAsia="Arial" w:hAnsi="Arial"/>
                <w:sz w:val="14"/>
                <w:szCs w:val="14"/>
                <w:color w:val="auto"/>
              </w:rPr>
              <w:t>Class A Non-Voting</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3"/>
          </w:tcPr>
          <w:p>
            <w:pPr>
              <w:ind w:left="880"/>
              <w:spacing w:after="0"/>
              <w:rPr>
                <w:sz w:val="20"/>
                <w:szCs w:val="20"/>
                <w:color w:val="auto"/>
              </w:rPr>
            </w:pPr>
            <w:r>
              <w:rPr>
                <w:rFonts w:ascii="Arial" w:cs="Arial" w:eastAsia="Arial" w:hAnsi="Arial"/>
                <w:sz w:val="14"/>
                <w:szCs w:val="14"/>
                <w:color w:val="auto"/>
              </w:rPr>
              <w:t>Class B Voting</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60" w:type="dxa"/>
            <w:vAlign w:val="bottom"/>
            <w:gridSpan w:val="2"/>
          </w:tcPr>
          <w:p>
            <w:pPr>
              <w:jc w:val="center"/>
              <w:ind w:right="440"/>
              <w:spacing w:after="0" w:line="157" w:lineRule="exact"/>
              <w:rPr>
                <w:sz w:val="20"/>
                <w:szCs w:val="20"/>
                <w:color w:val="auto"/>
              </w:rPr>
            </w:pPr>
            <w:r>
              <w:rPr>
                <w:rFonts w:ascii="Arial" w:cs="Arial" w:eastAsia="Arial" w:hAnsi="Arial"/>
                <w:sz w:val="14"/>
                <w:szCs w:val="14"/>
                <w:color w:val="auto"/>
              </w:rPr>
              <w:t>Name and Address of the</w:t>
            </w:r>
          </w:p>
        </w:tc>
        <w:tc>
          <w:tcPr>
            <w:tcW w:w="2060" w:type="dxa"/>
            <w:vAlign w:val="bottom"/>
            <w:tcBorders>
              <w:bottom w:val="single" w:sz="8" w:color="auto"/>
            </w:tcBorders>
            <w:gridSpan w:val="3"/>
          </w:tcPr>
          <w:p>
            <w:pPr>
              <w:jc w:val="center"/>
              <w:ind w:left="694"/>
              <w:spacing w:after="0" w:line="157" w:lineRule="exact"/>
              <w:rPr>
                <w:sz w:val="20"/>
                <w:szCs w:val="20"/>
                <w:color w:val="auto"/>
              </w:rPr>
            </w:pPr>
            <w:r>
              <w:rPr>
                <w:rFonts w:ascii="Arial" w:cs="Arial" w:eastAsia="Arial" w:hAnsi="Arial"/>
                <w:sz w:val="14"/>
                <w:szCs w:val="14"/>
                <w:color w:val="auto"/>
              </w:rPr>
              <w:t>Common Stock</w:t>
            </w:r>
          </w:p>
        </w:tc>
        <w:tc>
          <w:tcPr>
            <w:tcW w:w="78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Borders>
              <w:bottom w:val="single" w:sz="8" w:color="auto"/>
            </w:tcBorders>
            <w:gridSpan w:val="3"/>
          </w:tcPr>
          <w:p>
            <w:pPr>
              <w:ind w:left="840"/>
              <w:spacing w:after="0" w:line="157" w:lineRule="exact"/>
              <w:rPr>
                <w:sz w:val="20"/>
                <w:szCs w:val="20"/>
                <w:color w:val="auto"/>
              </w:rPr>
            </w:pPr>
            <w:r>
              <w:rPr>
                <w:rFonts w:ascii="Arial" w:cs="Arial" w:eastAsia="Arial" w:hAnsi="Arial"/>
                <w:sz w:val="14"/>
                <w:szCs w:val="14"/>
                <w:color w:val="auto"/>
              </w:rPr>
              <w:t>Common Stock</w:t>
            </w:r>
          </w:p>
        </w:tc>
        <w:tc>
          <w:tcPr>
            <w:tcW w:w="7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Voting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Beneficial Owners (a)</w:t>
            </w:r>
          </w:p>
        </w:tc>
        <w:tc>
          <w:tcPr>
            <w:tcW w:w="440" w:type="dxa"/>
            <w:vAlign w:val="bottom"/>
          </w:tcPr>
          <w:p>
            <w:pPr>
              <w:spacing w:after="0"/>
              <w:rPr>
                <w:sz w:val="13"/>
                <w:szCs w:val="13"/>
                <w:color w:val="auto"/>
              </w:rPr>
            </w:pPr>
          </w:p>
        </w:tc>
        <w:tc>
          <w:tcPr>
            <w:tcW w:w="14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Number</w:t>
            </w:r>
          </w:p>
        </w:tc>
        <w:tc>
          <w:tcPr>
            <w:tcW w:w="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Percent</w:t>
            </w:r>
          </w:p>
        </w:tc>
        <w:tc>
          <w:tcPr>
            <w:tcW w:w="420" w:type="dxa"/>
            <w:vAlign w:val="bottom"/>
          </w:tcPr>
          <w:p>
            <w:pPr>
              <w:spacing w:after="0"/>
              <w:rPr>
                <w:sz w:val="13"/>
                <w:szCs w:val="13"/>
                <w:color w:val="auto"/>
              </w:rPr>
            </w:pPr>
          </w:p>
        </w:tc>
        <w:tc>
          <w:tcPr>
            <w:tcW w:w="13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color w:val="auto"/>
              </w:rPr>
              <w:t>Number</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Percent</w:t>
            </w:r>
          </w:p>
        </w:tc>
        <w:tc>
          <w:tcPr>
            <w:tcW w:w="440" w:type="dxa"/>
            <w:vAlign w:val="bottom"/>
          </w:tcPr>
          <w:p>
            <w:pPr>
              <w:spacing w:after="0"/>
              <w:rPr>
                <w:sz w:val="13"/>
                <w:szCs w:val="13"/>
                <w:color w:val="auto"/>
              </w:rPr>
            </w:pPr>
          </w:p>
        </w:tc>
        <w:tc>
          <w:tcPr>
            <w:tcW w:w="880" w:type="dxa"/>
            <w:vAlign w:val="bottom"/>
            <w:tcBorders>
              <w:bottom w:val="single" w:sz="8" w:color="auto"/>
            </w:tcBorders>
          </w:tcPr>
          <w:p>
            <w:pPr>
              <w:jc w:val="right"/>
              <w:ind w:right="113"/>
              <w:spacing w:after="0" w:line="155"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MS Pawn Limited Partnership (b) (g)</w:t>
            </w:r>
          </w:p>
        </w:tc>
        <w:tc>
          <w:tcPr>
            <w:tcW w:w="2060" w:type="dxa"/>
            <w:vAlign w:val="bottom"/>
            <w:gridSpan w:val="3"/>
            <w:shd w:val="clear" w:color="auto" w:fill="CCEEFF"/>
          </w:tcPr>
          <w:p>
            <w:pPr>
              <w:jc w:val="right"/>
              <w:ind w:right="760"/>
              <w:spacing w:after="0" w:line="195" w:lineRule="exact"/>
              <w:rPr>
                <w:sz w:val="20"/>
                <w:szCs w:val="20"/>
                <w:color w:val="auto"/>
              </w:rPr>
            </w:pPr>
            <w:r>
              <w:rPr>
                <w:rFonts w:ascii="Arial" w:cs="Arial" w:eastAsia="Arial" w:hAnsi="Arial"/>
                <w:sz w:val="18"/>
                <w:szCs w:val="18"/>
                <w:color w:val="auto"/>
              </w:rPr>
              <w:t>2,998,548(h)</w:t>
            </w:r>
          </w:p>
        </w:tc>
        <w:tc>
          <w:tcPr>
            <w:tcW w:w="78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w w:val="98"/>
              </w:rPr>
              <w:t>6.93%(h)</w:t>
            </w:r>
          </w:p>
        </w:tc>
        <w:tc>
          <w:tcPr>
            <w:tcW w:w="1780" w:type="dxa"/>
            <w:vAlign w:val="bottom"/>
            <w:gridSpan w:val="2"/>
            <w:shd w:val="clear" w:color="auto" w:fill="CCEEFF"/>
          </w:tcPr>
          <w:p>
            <w:pPr>
              <w:jc w:val="right"/>
              <w:ind w:right="174"/>
              <w:spacing w:after="0" w:line="195" w:lineRule="exact"/>
              <w:rPr>
                <w:sz w:val="20"/>
                <w:szCs w:val="20"/>
                <w:color w:val="auto"/>
              </w:rPr>
            </w:pPr>
            <w:r>
              <w:rPr>
                <w:rFonts w:ascii="Arial" w:cs="Arial" w:eastAsia="Arial" w:hAnsi="Arial"/>
                <w:sz w:val="18"/>
                <w:szCs w:val="18"/>
                <w:color w:val="auto"/>
              </w:rPr>
              <w:t>2,982,393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1"/>
              <w:spacing w:after="0" w:line="195" w:lineRule="exact"/>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53"/>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MS Pawn Corporation</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Phillip Ean Cohen</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Austin, Texas 78746</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gridSpan w:val="3"/>
          </w:tcPr>
          <w:p>
            <w:pPr>
              <w:spacing w:after="0"/>
              <w:rPr>
                <w:sz w:val="20"/>
                <w:szCs w:val="20"/>
                <w:color w:val="auto"/>
              </w:rPr>
            </w:pPr>
            <w:r>
              <w:rPr>
                <w:rFonts w:ascii="Arial" w:cs="Arial" w:eastAsia="Arial" w:hAnsi="Arial"/>
                <w:sz w:val="18"/>
                <w:szCs w:val="18"/>
                <w:color w:val="auto"/>
              </w:rPr>
              <w:t>Sterling B. Brinkley (c)</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1,565,240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3.78%</w:t>
            </w:r>
          </w:p>
        </w:tc>
        <w:tc>
          <w:tcPr>
            <w:tcW w:w="420" w:type="dxa"/>
            <w:vAlign w:val="bottom"/>
          </w:tcPr>
          <w:p>
            <w:pPr>
              <w:spacing w:after="0"/>
              <w:rPr>
                <w:sz w:val="24"/>
                <w:szCs w:val="2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9 Morgan Lane</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gridSpan w:val="3"/>
          </w:tcPr>
          <w:p>
            <w:pPr>
              <w:spacing w:after="0"/>
              <w:rPr>
                <w:sz w:val="20"/>
                <w:szCs w:val="20"/>
                <w:color w:val="auto"/>
              </w:rPr>
            </w:pPr>
            <w:r>
              <w:rPr>
                <w:rFonts w:ascii="Arial" w:cs="Arial" w:eastAsia="Arial" w:hAnsi="Arial"/>
                <w:sz w:val="18"/>
                <w:szCs w:val="18"/>
                <w:color w:val="auto"/>
              </w:rPr>
              <w:t>Locust Valley, New York 11560</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Joseph L. Rotunda (d)</w:t>
            </w:r>
          </w:p>
        </w:tc>
        <w:tc>
          <w:tcPr>
            <w:tcW w:w="1400" w:type="dxa"/>
            <w:vAlign w:val="bottom"/>
            <w:shd w:val="clear" w:color="auto" w:fill="CCEEFF"/>
          </w:tcPr>
          <w:p>
            <w:pPr>
              <w:jc w:val="right"/>
              <w:ind w:right="234"/>
              <w:spacing w:after="0" w:line="201" w:lineRule="exact"/>
              <w:rPr>
                <w:sz w:val="20"/>
                <w:szCs w:val="20"/>
                <w:color w:val="auto"/>
              </w:rPr>
            </w:pPr>
            <w:r>
              <w:rPr>
                <w:rFonts w:ascii="Arial" w:cs="Arial" w:eastAsia="Arial" w:hAnsi="Arial"/>
                <w:sz w:val="18"/>
                <w:szCs w:val="18"/>
                <w:color w:val="auto"/>
              </w:rPr>
              <w:t>583,630</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Austin, TX 78746</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gridSpan w:val="3"/>
          </w:tcPr>
          <w:p>
            <w:pPr>
              <w:spacing w:after="0"/>
              <w:rPr>
                <w:sz w:val="20"/>
                <w:szCs w:val="20"/>
                <w:color w:val="auto"/>
              </w:rPr>
            </w:pPr>
            <w:r>
              <w:rPr>
                <w:rFonts w:ascii="Arial" w:cs="Arial" w:eastAsia="Arial" w:hAnsi="Arial"/>
                <w:sz w:val="18"/>
                <w:szCs w:val="18"/>
                <w:color w:val="auto"/>
              </w:rPr>
              <w:t>Dan N. Tonissen (e)</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440,210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gridSpan w:val="3"/>
          </w:tcPr>
          <w:p>
            <w:pPr>
              <w:spacing w:after="0"/>
              <w:rPr>
                <w:sz w:val="20"/>
                <w:szCs w:val="20"/>
                <w:color w:val="auto"/>
              </w:rPr>
            </w:pPr>
            <w:r>
              <w:rPr>
                <w:rFonts w:ascii="Arial" w:cs="Arial" w:eastAsia="Arial" w:hAnsi="Arial"/>
                <w:sz w:val="18"/>
                <w:szCs w:val="18"/>
                <w:color w:val="auto"/>
              </w:rPr>
              <w:t>Austin, Texas 78746</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Gary C. Matzner (k)</w:t>
            </w:r>
          </w:p>
        </w:tc>
        <w:tc>
          <w:tcPr>
            <w:tcW w:w="1400" w:type="dxa"/>
            <w:vAlign w:val="bottom"/>
            <w:shd w:val="clear" w:color="auto" w:fill="CCEEFF"/>
          </w:tcPr>
          <w:p>
            <w:pPr>
              <w:jc w:val="right"/>
              <w:ind w:right="234"/>
              <w:spacing w:after="0" w:line="201" w:lineRule="exact"/>
              <w:rPr>
                <w:sz w:val="20"/>
                <w:szCs w:val="20"/>
                <w:color w:val="auto"/>
              </w:rPr>
            </w:pPr>
            <w:r>
              <w:rPr>
                <w:rFonts w:ascii="Arial" w:cs="Arial" w:eastAsia="Arial" w:hAnsi="Arial"/>
                <w:sz w:val="18"/>
                <w:szCs w:val="18"/>
                <w:color w:val="auto"/>
              </w:rPr>
              <w:t>24,000</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2601 S. Bayshore Dr.</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Miami, Florida 33133</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gridSpan w:val="3"/>
          </w:tcPr>
          <w:p>
            <w:pPr>
              <w:spacing w:after="0"/>
              <w:rPr>
                <w:sz w:val="20"/>
                <w:szCs w:val="20"/>
                <w:color w:val="auto"/>
              </w:rPr>
            </w:pPr>
            <w:r>
              <w:rPr>
                <w:rFonts w:ascii="Arial" w:cs="Arial" w:eastAsia="Arial" w:hAnsi="Arial"/>
                <w:sz w:val="18"/>
                <w:szCs w:val="18"/>
                <w:color w:val="auto"/>
              </w:rPr>
              <w:t>Thomas C. Roberts (m)</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30,000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0.07%</w:t>
            </w:r>
          </w:p>
        </w:tc>
        <w:tc>
          <w:tcPr>
            <w:tcW w:w="420" w:type="dxa"/>
            <w:vAlign w:val="bottom"/>
          </w:tcPr>
          <w:p>
            <w:pPr>
              <w:spacing w:after="0"/>
              <w:rPr>
                <w:sz w:val="24"/>
                <w:szCs w:val="2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gridSpan w:val="3"/>
          </w:tcPr>
          <w:p>
            <w:pPr>
              <w:spacing w:after="0"/>
              <w:rPr>
                <w:sz w:val="20"/>
                <w:szCs w:val="20"/>
                <w:color w:val="auto"/>
              </w:rPr>
            </w:pPr>
            <w:r>
              <w:rPr>
                <w:rFonts w:ascii="Arial" w:cs="Arial" w:eastAsia="Arial" w:hAnsi="Arial"/>
                <w:sz w:val="18"/>
                <w:szCs w:val="18"/>
                <w:color w:val="auto"/>
              </w:rPr>
              <w:t>Austin, Texas 78746</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D. Sage (l)</w:t>
            </w:r>
          </w:p>
        </w:tc>
        <w:tc>
          <w:tcPr>
            <w:tcW w:w="1400" w:type="dxa"/>
            <w:vAlign w:val="bottom"/>
            <w:shd w:val="clear" w:color="auto" w:fill="CCEEFF"/>
          </w:tcPr>
          <w:p>
            <w:pPr>
              <w:jc w:val="right"/>
              <w:ind w:right="234"/>
              <w:spacing w:after="0" w:line="201" w:lineRule="exact"/>
              <w:rPr>
                <w:sz w:val="20"/>
                <w:szCs w:val="20"/>
                <w:color w:val="auto"/>
              </w:rPr>
            </w:pPr>
            <w:r>
              <w:rPr>
                <w:rFonts w:ascii="Arial" w:cs="Arial" w:eastAsia="Arial" w:hAnsi="Arial"/>
                <w:sz w:val="18"/>
                <w:szCs w:val="18"/>
                <w:color w:val="auto"/>
              </w:rPr>
              <w:t>20,493</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13636 Deering Bay Drive</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Coral Gables, Florida 33158</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gridSpan w:val="3"/>
          </w:tcPr>
          <w:p>
            <w:pPr>
              <w:spacing w:after="0"/>
              <w:rPr>
                <w:sz w:val="20"/>
                <w:szCs w:val="20"/>
                <w:color w:val="auto"/>
              </w:rPr>
            </w:pPr>
            <w:r>
              <w:rPr>
                <w:rFonts w:ascii="Arial" w:cs="Arial" w:eastAsia="Arial" w:hAnsi="Arial"/>
                <w:sz w:val="18"/>
                <w:szCs w:val="18"/>
                <w:color w:val="auto"/>
              </w:rPr>
              <w:t>Richard M. Edwards (n)</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1,666</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24"/>
                <w:szCs w:val="2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gridSpan w:val="3"/>
          </w:tcPr>
          <w:p>
            <w:pPr>
              <w:spacing w:after="0"/>
              <w:rPr>
                <w:sz w:val="20"/>
                <w:szCs w:val="20"/>
                <w:color w:val="auto"/>
              </w:rPr>
            </w:pPr>
            <w:r>
              <w:rPr>
                <w:rFonts w:ascii="Arial" w:cs="Arial" w:eastAsia="Arial" w:hAnsi="Arial"/>
                <w:sz w:val="18"/>
                <w:szCs w:val="18"/>
                <w:color w:val="auto"/>
              </w:rPr>
              <w:t>Austin, Texas 78746</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A. Kasenter (i)</w:t>
            </w:r>
          </w:p>
        </w:tc>
        <w:tc>
          <w:tcPr>
            <w:tcW w:w="1400" w:type="dxa"/>
            <w:vAlign w:val="bottom"/>
            <w:shd w:val="clear" w:color="auto" w:fill="CCEEFF"/>
          </w:tcPr>
          <w:p>
            <w:pPr>
              <w:jc w:val="right"/>
              <w:ind w:right="234"/>
              <w:spacing w:after="0" w:line="201" w:lineRule="exact"/>
              <w:rPr>
                <w:sz w:val="20"/>
                <w:szCs w:val="20"/>
                <w:color w:val="auto"/>
              </w:rPr>
            </w:pPr>
            <w:r>
              <w:rPr>
                <w:rFonts w:ascii="Arial" w:cs="Arial" w:eastAsia="Arial" w:hAnsi="Arial"/>
                <w:sz w:val="18"/>
                <w:szCs w:val="18"/>
                <w:color w:val="auto"/>
              </w:rPr>
              <w:t>30,237</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0.08%</w:t>
            </w:r>
          </w:p>
        </w:tc>
        <w:tc>
          <w:tcPr>
            <w:tcW w:w="42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1"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3"/>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Austin, Texas 78746</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gridSpan w:val="3"/>
          </w:tcPr>
          <w:p>
            <w:pPr>
              <w:spacing w:after="0"/>
              <w:rPr>
                <w:sz w:val="20"/>
                <w:szCs w:val="20"/>
                <w:color w:val="auto"/>
              </w:rPr>
            </w:pPr>
            <w:r>
              <w:rPr>
                <w:rFonts w:ascii="Arial" w:cs="Arial" w:eastAsia="Arial" w:hAnsi="Arial"/>
                <w:sz w:val="18"/>
                <w:szCs w:val="18"/>
                <w:color w:val="auto"/>
              </w:rPr>
              <w:t>Eric Fosse (j)</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24"/>
                <w:szCs w:val="2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1901 Capital Parkway</w:t>
            </w: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80" w:type="dxa"/>
            <w:vAlign w:val="bottom"/>
            <w:gridSpan w:val="3"/>
          </w:tcPr>
          <w:p>
            <w:pPr>
              <w:spacing w:after="0"/>
              <w:rPr>
                <w:sz w:val="20"/>
                <w:szCs w:val="20"/>
                <w:color w:val="auto"/>
              </w:rPr>
            </w:pPr>
            <w:r>
              <w:rPr>
                <w:rFonts w:ascii="Arial" w:cs="Arial" w:eastAsia="Arial" w:hAnsi="Arial"/>
                <w:sz w:val="18"/>
                <w:szCs w:val="18"/>
                <w:color w:val="auto"/>
              </w:rPr>
              <w:t>Austin, Texas 78746</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officers and directors as a group (b) (f)</w:t>
            </w:r>
          </w:p>
        </w:tc>
        <w:tc>
          <w:tcPr>
            <w:tcW w:w="140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2,955,702</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7.00%</w:t>
            </w:r>
          </w:p>
        </w:tc>
        <w:tc>
          <w:tcPr>
            <w:tcW w:w="420" w:type="dxa"/>
            <w:vAlign w:val="bottom"/>
            <w:shd w:val="clear" w:color="auto" w:fill="CCEEFF"/>
          </w:tcPr>
          <w:p>
            <w:pPr>
              <w:spacing w:after="0"/>
              <w:rPr>
                <w:sz w:val="17"/>
                <w:szCs w:val="17"/>
                <w:color w:val="auto"/>
              </w:rPr>
            </w:pPr>
          </w:p>
        </w:tc>
        <w:tc>
          <w:tcPr>
            <w:tcW w:w="190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4" w:lineRule="exact"/>
        <w:rPr>
          <w:sz w:val="20"/>
          <w:szCs w:val="20"/>
          <w:color w:val="auto"/>
        </w:rPr>
      </w:pPr>
    </w:p>
    <w:p>
      <w:pPr>
        <w:ind w:left="660" w:hanging="652"/>
        <w:spacing w:after="0"/>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indicated in the footnotes to this table, the persons named in the table have sole voting and/or investment power with respect to all shares of Class A and B Common Stock shown as beneficially owned by them, subject to community property laws where applicable.</w:t>
      </w:r>
    </w:p>
    <w:p>
      <w:pPr>
        <w:spacing w:after="0" w:line="54" w:lineRule="exact"/>
        <w:rPr>
          <w:rFonts w:ascii="Arial" w:cs="Arial" w:eastAsia="Arial" w:hAnsi="Arial"/>
          <w:sz w:val="18"/>
          <w:szCs w:val="18"/>
          <w:color w:val="auto"/>
        </w:rPr>
      </w:pPr>
    </w:p>
    <w:p>
      <w:pPr>
        <w:ind w:left="660" w:right="60" w:hanging="652"/>
        <w:spacing w:after="0" w:line="275" w:lineRule="auto"/>
        <w:tabs>
          <w:tab w:leader="none" w:pos="458" w:val="left"/>
        </w:tabs>
        <w:numPr>
          <w:ilvl w:val="0"/>
          <w:numId w:val="43"/>
        </w:numPr>
        <w:rPr>
          <w:rFonts w:ascii="Arial" w:cs="Arial" w:eastAsia="Arial" w:hAnsi="Arial"/>
          <w:sz w:val="17"/>
          <w:szCs w:val="17"/>
          <w:color w:val="auto"/>
        </w:rPr>
      </w:pPr>
      <w:r>
        <w:rPr>
          <w:rFonts w:ascii="Arial" w:cs="Arial" w:eastAsia="Arial" w:hAnsi="Arial"/>
          <w:sz w:val="17"/>
          <w:szCs w:val="17"/>
          <w:color w:val="auto"/>
        </w:rPr>
        <w:t>MS Pawn Corporation is the general partner of MS Pawn and has the sole right to vote its shares of Class B Common Stock and to direct their disposition. Mr. Cohen is the sole stockholder of MS Pawn Corporation. See “Certain Relationships and Related Transactions.”</w:t>
      </w:r>
    </w:p>
    <w:p>
      <w:pPr>
        <w:spacing w:after="0" w:line="24" w:lineRule="exact"/>
        <w:rPr>
          <w:rFonts w:ascii="Arial" w:cs="Arial" w:eastAsia="Arial" w:hAnsi="Arial"/>
          <w:sz w:val="17"/>
          <w:szCs w:val="17"/>
          <w:color w:val="auto"/>
        </w:rPr>
      </w:pPr>
    </w:p>
    <w:p>
      <w:pPr>
        <w:ind w:left="660" w:right="100" w:hanging="652"/>
        <w:spacing w:after="0"/>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warrants to acquire 3,573 shares of Class A Common Stock at $2.06 per share, options to acquire 1,050,000 shares of Class A Common Stock (exercised in October 2008) at $3.33 per share and 135,000 shares of restricted stock (vested in October 2008). Does not include 540,000 shares of restricted stock.</w:t>
      </w:r>
    </w:p>
    <w:p>
      <w:pPr>
        <w:spacing w:after="0" w:line="54"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189,000 shares of restricted stock (vested in October 2008). Does not include 876,000 shares of restricted stock.</w:t>
      </w:r>
    </w:p>
    <w:p>
      <w:pPr>
        <w:spacing w:after="0" w:line="58"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options to acquire 300,000 shares of Class A Common Stock (exercised in October 2008) at $3.33 per share. Does not include</w:t>
      </w:r>
    </w:p>
    <w:p>
      <w:pPr>
        <w:ind w:left="660" w:right="380"/>
        <w:spacing w:after="0" w:line="246" w:lineRule="auto"/>
        <w:rPr>
          <w:rFonts w:ascii="Arial" w:cs="Arial" w:eastAsia="Arial" w:hAnsi="Arial"/>
          <w:sz w:val="18"/>
          <w:szCs w:val="18"/>
          <w:color w:val="auto"/>
        </w:rPr>
      </w:pPr>
      <w:r>
        <w:rPr>
          <w:rFonts w:ascii="Arial" w:cs="Arial" w:eastAsia="Arial" w:hAnsi="Arial"/>
          <w:sz w:val="18"/>
          <w:szCs w:val="18"/>
          <w:color w:val="auto"/>
        </w:rPr>
        <w:t>120,000 shares of Class A Common Stock at $3.26 per share that are not currently exercisable. Does not include 40,000 shares of restricted stock.</w:t>
      </w:r>
    </w:p>
    <w:p>
      <w:pPr>
        <w:spacing w:after="0" w:line="48" w:lineRule="exact"/>
        <w:rPr>
          <w:rFonts w:ascii="Arial" w:cs="Arial" w:eastAsia="Arial" w:hAnsi="Arial"/>
          <w:sz w:val="18"/>
          <w:szCs w:val="18"/>
          <w:color w:val="auto"/>
        </w:rPr>
      </w:pPr>
    </w:p>
    <w:p>
      <w:pPr>
        <w:ind w:left="660" w:right="320" w:hanging="652"/>
        <w:spacing w:after="0" w:line="246" w:lineRule="auto"/>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14 persons’ options to acquire 1,640,866 shares of Class A Common Stock at prices ranging from $0.67 to $15.05 per share, warrants to acquire 3,666 shares of Class A Common Stock at $2.06 per share and 324,000 shares of restricted stock.</w:t>
      </w:r>
    </w:p>
    <w:p>
      <w:pPr>
        <w:spacing w:after="0" w:line="48" w:lineRule="exact"/>
        <w:rPr>
          <w:rFonts w:ascii="Arial" w:cs="Arial" w:eastAsia="Arial" w:hAnsi="Arial"/>
          <w:sz w:val="18"/>
          <w:szCs w:val="18"/>
          <w:color w:val="auto"/>
        </w:rPr>
      </w:pPr>
    </w:p>
    <w:p>
      <w:pPr>
        <w:ind w:left="660" w:right="80" w:hanging="652"/>
        <w:spacing w:after="0" w:line="246" w:lineRule="auto"/>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warrants for 12,279 shares of Class A Common Stock, warrants for 12,222 shares of Class B Common Stock held by MS Pawn, and warrants for 3,876 shares of Class A Common Stock held by Mr. Cohen.</w:t>
      </w:r>
    </w:p>
    <w:p>
      <w:pPr>
        <w:spacing w:after="0" w:line="48" w:lineRule="exact"/>
        <w:rPr>
          <w:rFonts w:ascii="Arial" w:cs="Arial" w:eastAsia="Arial" w:hAnsi="Arial"/>
          <w:sz w:val="18"/>
          <w:szCs w:val="18"/>
          <w:color w:val="auto"/>
        </w:rPr>
      </w:pPr>
    </w:p>
    <w:p>
      <w:pPr>
        <w:ind w:left="660" w:right="260" w:hanging="652"/>
        <w:spacing w:after="0" w:line="246" w:lineRule="auto"/>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and percentage reflect Class A Common Stock and warrants, inclusive of Class B Common Stock and warrants, which are convertible to Class A Common Stock.</w:t>
      </w:r>
    </w:p>
    <w:p>
      <w:pPr>
        <w:spacing w:after="0" w:line="48" w:lineRule="exact"/>
        <w:rPr>
          <w:rFonts w:ascii="Arial" w:cs="Arial" w:eastAsia="Arial" w:hAnsi="Arial"/>
          <w:sz w:val="18"/>
          <w:szCs w:val="18"/>
          <w:color w:val="auto"/>
        </w:rPr>
      </w:pPr>
    </w:p>
    <w:p>
      <w:pPr>
        <w:ind w:left="660" w:right="280" w:hanging="652"/>
        <w:spacing w:after="0"/>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options to acquire 15,000 shares of Class A Common Stock at $1.41 per share. Does not include options to acquire 120,000 shares of Class A Common Stock at $3.26 per share that are not currently exercisable. Does not include 40,000 shares of restricted stock.</w:t>
      </w:r>
    </w:p>
    <w:p>
      <w:pPr>
        <w:spacing w:after="0" w:line="54" w:lineRule="exact"/>
        <w:rPr>
          <w:rFonts w:ascii="Arial" w:cs="Arial" w:eastAsia="Arial" w:hAnsi="Arial"/>
          <w:sz w:val="18"/>
          <w:szCs w:val="18"/>
          <w:color w:val="auto"/>
        </w:rPr>
      </w:pPr>
    </w:p>
    <w:p>
      <w:pPr>
        <w:ind w:left="660" w:right="140" w:hanging="652"/>
        <w:spacing w:after="0" w:line="246" w:lineRule="auto"/>
        <w:tabs>
          <w:tab w:leader="none" w:pos="4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Does not include options to acquire 12,000 shares of Class A Common Stock at $2.89 per share that are not currently exercisable. Does not include 27,000 shares of restricted stock.</w:t>
      </w:r>
    </w:p>
    <w:p>
      <w:pPr>
        <w:spacing w:after="0" w:line="43"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options to acquire 3,600 shares of Class A Common Stock at $0.86 per share and 15,000 shares of Class A Common Stock at</w:t>
      </w:r>
    </w:p>
    <w:p>
      <w:pPr>
        <w:ind w:left="660"/>
        <w:spacing w:after="0"/>
        <w:rPr>
          <w:sz w:val="20"/>
          <w:szCs w:val="20"/>
          <w:color w:val="auto"/>
        </w:rPr>
      </w:pPr>
      <w:r>
        <w:rPr>
          <w:rFonts w:ascii="Arial" w:cs="Arial" w:eastAsia="Arial" w:hAnsi="Arial"/>
          <w:sz w:val="18"/>
          <w:szCs w:val="18"/>
          <w:color w:val="auto"/>
        </w:rPr>
        <w:t>$12.60 per share. Does not include 9,000 shares of restricted stock.</w:t>
      </w:r>
    </w:p>
    <w:p>
      <w:pPr>
        <w:spacing w:after="0" w:line="63" w:lineRule="exact"/>
        <w:rPr>
          <w:sz w:val="20"/>
          <w:szCs w:val="20"/>
          <w:color w:val="auto"/>
        </w:rPr>
      </w:pPr>
    </w:p>
    <w:p>
      <w:pPr>
        <w:ind w:left="660" w:right="100" w:hanging="652"/>
        <w:spacing w:after="0"/>
        <w:tabs>
          <w:tab w:leader="none" w:pos="4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options to acquire 1,800 shares of Class A Common Stock at $0.67 per share, 3,600 shares of Class A Common Stock at $0.86 per share, 15,000 shares of Class A Common Stock at $12.60 per share and warrants to acquire 93 shares of Class A Common Stock at $2.06 per share. Does not include 9,000 shares of restricted stock.</w:t>
      </w:r>
    </w:p>
    <w:p>
      <w:pPr>
        <w:spacing w:after="0" w:line="54" w:lineRule="exact"/>
        <w:rPr>
          <w:rFonts w:ascii="Arial" w:cs="Arial" w:eastAsia="Arial" w:hAnsi="Arial"/>
          <w:sz w:val="18"/>
          <w:szCs w:val="18"/>
          <w:color w:val="auto"/>
        </w:rPr>
      </w:pPr>
    </w:p>
    <w:p>
      <w:pPr>
        <w:ind w:left="660" w:right="100" w:hanging="652"/>
        <w:spacing w:after="0" w:line="246" w:lineRule="auto"/>
        <w:tabs>
          <w:tab w:leader="none" w:pos="4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options to acquire 15,000 shares of Class A Common Stock at $5.35 per share and 15,000 shares of Class A Common Stock at $12.60 per share. Does not include 9,000 shares of restricted stock.</w:t>
      </w:r>
    </w:p>
    <w:p>
      <w:pPr>
        <w:spacing w:after="0" w:line="48" w:lineRule="exact"/>
        <w:rPr>
          <w:rFonts w:ascii="Arial" w:cs="Arial" w:eastAsia="Arial" w:hAnsi="Arial"/>
          <w:sz w:val="18"/>
          <w:szCs w:val="18"/>
          <w:color w:val="auto"/>
        </w:rPr>
      </w:pPr>
    </w:p>
    <w:p>
      <w:pPr>
        <w:ind w:left="660" w:right="460" w:hanging="652"/>
        <w:spacing w:after="0" w:line="246" w:lineRule="auto"/>
        <w:tabs>
          <w:tab w:leader="none" w:pos="4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options to acquire 1,666 shares of Class A Common Stock at $15.05 per share. Does not include 9,000 shares of restricted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fiscal 2006 and 2007, we had a financial advisory services agreement with Madison Park, L.L.C. (“Madison Park”), an affiliate of the controlling stockholder. The agreement required Madison Park to provide ongoing advice and consultation with respect to mergers, acquisitions, divestitures, strategic planning, corporate development, investor relations, treasury and other advisory services. The monthly fee, inclusive of most expenses, was $100,000. In fiscal 2006 and 2007, total payments to Madison Park amounted to $1,200,000 annually.</w:t>
      </w:r>
    </w:p>
    <w:p>
      <w:pPr>
        <w:spacing w:after="0" w:line="9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Madison Park agreement for fiscal 2006 and 2007 had a three-year term that expired September 30, 2007. Prior to entering the agreement with Madison Park, our Audit Committee obtained a fairness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opinion from a qualified, independent financial advisory firm. The fairness opinion supported the fees for the services to be rendered based on the terms of the agreement and our strategic plan.</w:t>
      </w:r>
    </w:p>
    <w:p>
      <w:pPr>
        <w:spacing w:after="0" w:line="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Effective October 1, 2007, we entered a new financial advisory services agreement with Madison Park with a one-year term that expired September 30, 2008. Either party could terminate the agreement at any time on thirty days written notice, but neither party elected to do so. The agreement required Madison Park to provide advice on our business and long-term strategic plan including, but not limited to, acquisitions and strategic alliances, operating and strategic objectives, investor relations, relations with investment bankers and other members of the financial services industry, international business development and strategic investment opportunities, and financial matters. The monthly fee for the services was $150,000, and total payments to Madison Park in fiscal 2008 amounted to $1,800,000. Philip E. Cohen is a principal in Madison Park and the general partner of the controlling stockholder.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1, 2008, we entered a new financial advisory services agreement with Madison Park with a one-year term that expires September 30, 2009. The terms of the agreement are substantially the same as those in the fiscal 2008 agreement described above, except for the monthly fee of $200,000.</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approving the Madison Park agreements that became effective October 1, 2007 and 2008, the Board of Directors appointed a special committee comprised of its independent members to review our relationship with Madison Park. This included a review of the advisory services provided by Madison Park during fiscal 2008, a determination whether to continue utilizing Madison Park’s services, and a determination whether to enter into a new advisory services agreement with Madison Park. As part of the review, the independent directors retained a qualified, independent financial advisory firm to evaluate the agreement and render a fairness opinion, from a financial point of view, of the fee to be paid to Madison Park relative to the reasonable market rates for the services contemplated in the agreement. Based on the independent directors’ findings and conclusions, they elected to negotiate and approve the terms of the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Fees for professional services provided by BDO Seidman, LLP during the years ended September 30, 2007 and 2008 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Years Ended 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640" w:type="dxa"/>
            <w:vAlign w:val="bottom"/>
            <w:gridSpan w:val="2"/>
          </w:tcPr>
          <w:p>
            <w:pPr>
              <w:ind w:left="1100"/>
              <w:spacing w:after="0" w:line="155"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3"/>
                <w:szCs w:val="13"/>
                <w:color w:val="auto"/>
              </w:rPr>
            </w:pPr>
          </w:p>
        </w:tc>
        <w:tc>
          <w:tcPr>
            <w:tcW w:w="78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8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200"/>
              <w:spacing w:after="0" w:line="202" w:lineRule="exact"/>
              <w:rPr>
                <w:sz w:val="20"/>
                <w:szCs w:val="20"/>
                <w:color w:val="auto"/>
              </w:rPr>
            </w:pPr>
            <w:r>
              <w:rPr>
                <w:rFonts w:ascii="Arial" w:cs="Arial" w:eastAsia="Arial" w:hAnsi="Arial"/>
                <w:sz w:val="18"/>
                <w:szCs w:val="18"/>
                <w:color w:val="auto"/>
              </w:rPr>
              <w:t>Audit of financial statements and audit pursuant to section 404 of the Sarbanes-Oxley Act</w:t>
            </w:r>
          </w:p>
        </w:tc>
        <w:tc>
          <w:tcPr>
            <w:tcW w:w="232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$449,044</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$505,529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Quarterly reviews and other audit fees</w:t>
            </w:r>
          </w:p>
        </w:tc>
        <w:tc>
          <w:tcPr>
            <w:tcW w:w="232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77,479</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ind w:left="200"/>
              <w:spacing w:after="0" w:line="202" w:lineRule="exact"/>
              <w:rPr>
                <w:sz w:val="20"/>
                <w:szCs w:val="20"/>
                <w:color w:val="auto"/>
              </w:rPr>
            </w:pPr>
            <w:r>
              <w:rPr>
                <w:rFonts w:ascii="Arial" w:cs="Arial" w:eastAsia="Arial" w:hAnsi="Arial"/>
                <w:sz w:val="18"/>
                <w:szCs w:val="18"/>
                <w:color w:val="auto"/>
              </w:rPr>
              <w:t>Fees related to registration statements</w:t>
            </w:r>
          </w:p>
        </w:tc>
        <w:tc>
          <w:tcPr>
            <w:tcW w:w="880" w:type="dxa"/>
            <w:vAlign w:val="bottom"/>
          </w:tcPr>
          <w:p>
            <w:pPr>
              <w:spacing w:after="0"/>
              <w:rPr>
                <w:sz w:val="17"/>
                <w:szCs w:val="17"/>
                <w:color w:val="auto"/>
              </w:rPr>
            </w:pP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audit fees</w:t>
            </w:r>
          </w:p>
        </w:tc>
        <w:tc>
          <w:tcPr>
            <w:tcW w:w="8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526,523</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671,692</w:t>
            </w:r>
          </w:p>
        </w:tc>
        <w:tc>
          <w:tcPr>
            <w:tcW w:w="0" w:type="dxa"/>
            <w:vAlign w:val="bottom"/>
          </w:tcPr>
          <w:p>
            <w:pPr>
              <w:spacing w:after="0"/>
              <w:rPr>
                <w:sz w:val="1"/>
                <w:szCs w:val="1"/>
                <w:color w:val="auto"/>
              </w:rPr>
            </w:pPr>
          </w:p>
        </w:tc>
      </w:tr>
      <w:tr>
        <w:trPr>
          <w:trHeight w:val="405"/>
        </w:trPr>
        <w:tc>
          <w:tcPr>
            <w:tcW w:w="8220" w:type="dxa"/>
            <w:vAlign w:val="bottom"/>
            <w:gridSpan w:val="2"/>
          </w:tcPr>
          <w:p>
            <w:pPr>
              <w:spacing w:after="0"/>
              <w:rPr>
                <w:sz w:val="20"/>
                <w:szCs w:val="20"/>
                <w:color w:val="auto"/>
              </w:rPr>
            </w:pPr>
            <w:r>
              <w:rPr>
                <w:rFonts w:ascii="Arial" w:cs="Arial" w:eastAsia="Arial" w:hAnsi="Arial"/>
                <w:sz w:val="18"/>
                <w:szCs w:val="18"/>
                <w:color w:val="auto"/>
              </w:rPr>
              <w:t>Audit related fees</w:t>
            </w:r>
          </w:p>
        </w:tc>
        <w:tc>
          <w:tcPr>
            <w:tcW w:w="2320" w:type="dxa"/>
            <w:vAlign w:val="bottom"/>
            <w:gridSpan w:val="3"/>
          </w:tcPr>
          <w:p>
            <w:pPr>
              <w:jc w:val="right"/>
              <w:ind w:right="680"/>
              <w:spacing w:after="0"/>
              <w:rPr>
                <w:sz w:val="20"/>
                <w:szCs w:val="20"/>
                <w:color w:val="auto"/>
              </w:rPr>
            </w:pPr>
            <w:r>
              <w:rPr>
                <w:rFonts w:ascii="Arial" w:cs="Arial" w:eastAsia="Arial" w:hAnsi="Arial"/>
                <w:sz w:val="18"/>
                <w:szCs w:val="18"/>
                <w:color w:val="auto"/>
              </w:rPr>
              <w:t>16,591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8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880" w:type="dxa"/>
            <w:vAlign w:val="bottom"/>
          </w:tcPr>
          <w:p>
            <w:pPr>
              <w:spacing w:after="0"/>
              <w:rPr>
                <w:sz w:val="17"/>
                <w:szCs w:val="17"/>
                <w:color w:val="auto"/>
              </w:rPr>
            </w:pP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8,264</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15,926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fees for services</w:t>
            </w:r>
          </w:p>
        </w:tc>
        <w:tc>
          <w:tcPr>
            <w:tcW w:w="232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551,378</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At September 30, 2007, we estimated the total costs expected for our financial statement and section 404 audits for the above disclosure, as total billings had not yet been received by the time we filed our 2007 annual report. Included in the 2008 figures above is $38,054 related to the 2007 audit of financial statements and $5,475 related to the 2007 section 404 audit. Also included in the 2008 figures is our estimated total cost for the 2008 audits, as final billings have not yet been received for those audits.</w:t>
      </w:r>
    </w:p>
    <w:p>
      <w:pPr>
        <w:spacing w:after="0" w:line="9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Audit related fees consist of fees for the audit of our 401(k) retirement savings plan. All other fees are comprised of fees for research and consultations on general accounting policies.</w:t>
      </w:r>
    </w:p>
    <w:p>
      <w:pPr>
        <w:spacing w:after="0" w:line="8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Audit Committee of our Board of Directors has adopted a policy of pre-approving all fees to be paid to our independent audit firm, regardless of the type of service. All non-audit services were reviewed with the Audit Committee, which concluded that the provision of such services by BDO Seidman, LLP, as appropriate, was compatible with the maintenance of that firm’s independence in the conduct of its auditing functions.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(a)(1) The following consolidated financial statements of EZCORP, Inc. and subsidiaries are included in Item 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Balance Sheets as of September 30, 2007 and 2008</w:t>
      </w:r>
    </w:p>
    <w:p>
      <w:pPr>
        <w:spacing w:after="0" w:line="117" w:lineRule="exact"/>
        <w:rPr>
          <w:sz w:val="20"/>
          <w:szCs w:val="20"/>
          <w:color w:val="auto"/>
        </w:rPr>
      </w:pPr>
    </w:p>
    <w:p>
      <w:pPr>
        <w:ind w:left="560" w:right="1420"/>
        <w:spacing w:after="0" w:line="375" w:lineRule="auto"/>
        <w:rPr>
          <w:sz w:val="20"/>
          <w:szCs w:val="20"/>
          <w:color w:val="auto"/>
        </w:rPr>
      </w:pPr>
      <w:r>
        <w:rPr>
          <w:rFonts w:ascii="Arial" w:cs="Arial" w:eastAsia="Arial" w:hAnsi="Arial"/>
          <w:sz w:val="18"/>
          <w:szCs w:val="18"/>
          <w:color w:val="auto"/>
        </w:rPr>
        <w:t>Consolidated Statements of Operations for each of the three years in the period ended September 30, 2008 Consolidated Statements of Cash Flows for each of the three years in the period ended September 30, 2008 Consolidated Statements of Stockholders’ Equity for each of the three years in the period ended September 30, 2008 Notes to Consolidated Financial Statements.</w:t>
      </w:r>
    </w:p>
    <w:p>
      <w:pPr>
        <w:spacing w:after="0" w:line="3" w:lineRule="exact"/>
        <w:rPr>
          <w:sz w:val="20"/>
          <w:szCs w:val="20"/>
          <w:color w:val="auto"/>
        </w:rPr>
      </w:pPr>
    </w:p>
    <w:p>
      <w:pPr>
        <w:ind w:left="560" w:right="5740" w:hanging="552"/>
        <w:spacing w:after="0" w:line="375"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Financial Statement Schedule is included herein: Schedule II-Valuation Accounts</w:t>
      </w:r>
    </w:p>
    <w:p>
      <w:pPr>
        <w:spacing w:after="0" w:line="1" w:lineRule="exact"/>
        <w:rPr>
          <w:rFonts w:ascii="Arial" w:cs="Arial" w:eastAsia="Arial" w:hAnsi="Arial"/>
          <w:sz w:val="18"/>
          <w:szCs w:val="18"/>
          <w:color w:val="auto"/>
        </w:rPr>
      </w:pPr>
    </w:p>
    <w:p>
      <w:pPr>
        <w:ind w:left="560"/>
        <w:spacing w:after="0" w:line="246" w:lineRule="auto"/>
        <w:rPr>
          <w:rFonts w:ascii="Arial" w:cs="Arial" w:eastAsia="Arial" w:hAnsi="Arial"/>
          <w:sz w:val="18"/>
          <w:szCs w:val="18"/>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02" w:lineRule="exact"/>
        <w:rPr>
          <w:rFonts w:ascii="Arial" w:cs="Arial" w:eastAsia="Arial" w:hAnsi="Arial"/>
          <w:sz w:val="18"/>
          <w:szCs w:val="18"/>
          <w:color w:val="auto"/>
        </w:rPr>
      </w:pPr>
    </w:p>
    <w:p>
      <w:pPr>
        <w:ind w:left="560" w:hanging="55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Listing of Exhibits (see Exhibit Index immediately following the signature page)</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Accounts</w:t>
      </w: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920" w:type="dxa"/>
            <w:vAlign w:val="bottom"/>
            <w:gridSpan w:val="4"/>
          </w:tcPr>
          <w:p>
            <w:pPr>
              <w:ind w:left="560"/>
              <w:spacing w:after="0"/>
              <w:rPr>
                <w:sz w:val="20"/>
                <w:szCs w:val="20"/>
                <w:color w:val="auto"/>
              </w:rPr>
            </w:pPr>
            <w:r>
              <w:rPr>
                <w:rFonts w:ascii="Arial" w:cs="Arial" w:eastAsia="Arial" w:hAnsi="Arial"/>
                <w:sz w:val="14"/>
                <w:szCs w:val="14"/>
                <w:color w:val="auto"/>
              </w:rPr>
              <w:t>Balance at</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DDITIONS</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color w:val="auto"/>
              </w:rPr>
              <w:t>Beginning</w:t>
            </w:r>
          </w:p>
        </w:tc>
        <w:tc>
          <w:tcPr>
            <w:tcW w:w="740" w:type="dxa"/>
            <w:vAlign w:val="bottom"/>
            <w:gridSpan w:val="3"/>
          </w:tcPr>
          <w:p>
            <w:pPr>
              <w:spacing w:after="0"/>
              <w:rPr>
                <w:sz w:val="20"/>
                <w:szCs w:val="20"/>
                <w:color w:val="auto"/>
              </w:rPr>
            </w:pPr>
            <w:r>
              <w:rPr>
                <w:rFonts w:ascii="Arial" w:cs="Arial" w:eastAsia="Arial" w:hAnsi="Arial"/>
                <w:sz w:val="14"/>
                <w:szCs w:val="14"/>
                <w:color w:val="auto"/>
              </w:rPr>
              <w:t>Charged to</w:t>
            </w:r>
          </w:p>
        </w:tc>
        <w:tc>
          <w:tcPr>
            <w:tcW w:w="64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Charged to</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color w:val="auto"/>
              </w:rPr>
              <w:t>at End</w:t>
            </w:r>
          </w:p>
        </w:tc>
        <w:tc>
          <w:tcPr>
            <w:tcW w:w="0" w:type="dxa"/>
            <w:vAlign w:val="bottom"/>
          </w:tcPr>
          <w:p>
            <w:pPr>
              <w:spacing w:after="0"/>
              <w:rPr>
                <w:sz w:val="1"/>
                <w:szCs w:val="1"/>
                <w:color w:val="auto"/>
              </w:rPr>
            </w:pPr>
          </w:p>
        </w:tc>
      </w:tr>
      <w:tr>
        <w:trPr>
          <w:trHeight w:val="157"/>
        </w:trPr>
        <w:tc>
          <w:tcPr>
            <w:tcW w:w="4520" w:type="dxa"/>
            <w:vAlign w:val="bottom"/>
            <w:gridSpan w:val="2"/>
          </w:tcPr>
          <w:p>
            <w:pPr>
              <w:spacing w:after="0" w:line="157" w:lineRule="exact"/>
              <w:rPr>
                <w:sz w:val="20"/>
                <w:szCs w:val="20"/>
                <w:color w:val="auto"/>
              </w:rPr>
            </w:pPr>
            <w:r>
              <w:rPr>
                <w:rFonts w:ascii="Arial" w:cs="Arial" w:eastAsia="Arial" w:hAnsi="Arial"/>
                <w:sz w:val="14"/>
                <w:szCs w:val="14"/>
                <w:color w:val="auto"/>
              </w:rPr>
              <w:t>Description</w:t>
            </w:r>
          </w:p>
        </w:tc>
        <w:tc>
          <w:tcPr>
            <w:tcW w:w="560" w:type="dxa"/>
            <w:vAlign w:val="bottom"/>
          </w:tcPr>
          <w:p>
            <w:pPr>
              <w:spacing w:after="0"/>
              <w:rPr>
                <w:sz w:val="13"/>
                <w:szCs w:val="13"/>
                <w:color w:val="auto"/>
              </w:rPr>
            </w:pPr>
          </w:p>
        </w:tc>
        <w:tc>
          <w:tcPr>
            <w:tcW w:w="136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of Period</w:t>
            </w: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Expense</w:t>
            </w:r>
          </w:p>
        </w:tc>
        <w:tc>
          <w:tcPr>
            <w:tcW w:w="2060" w:type="dxa"/>
            <w:vAlign w:val="bottom"/>
            <w:gridSpan w:val="4"/>
          </w:tcPr>
          <w:p>
            <w:pPr>
              <w:ind w:left="640"/>
              <w:spacing w:after="0" w:line="157" w:lineRule="exact"/>
              <w:rPr>
                <w:sz w:val="20"/>
                <w:szCs w:val="20"/>
                <w:color w:val="auto"/>
              </w:rPr>
            </w:pPr>
            <w:r>
              <w:rPr>
                <w:rFonts w:ascii="Arial" w:cs="Arial" w:eastAsia="Arial" w:hAnsi="Arial"/>
                <w:sz w:val="14"/>
                <w:szCs w:val="14"/>
                <w:color w:val="auto"/>
              </w:rPr>
              <w:t>Other Accts</w:t>
            </w:r>
          </w:p>
        </w:tc>
        <w:tc>
          <w:tcPr>
            <w:tcW w:w="1060" w:type="dxa"/>
            <w:vAlign w:val="bottom"/>
            <w:gridSpan w:val="3"/>
          </w:tcPr>
          <w:p>
            <w:pPr>
              <w:spacing w:after="0" w:line="157" w:lineRule="exact"/>
              <w:rPr>
                <w:sz w:val="20"/>
                <w:szCs w:val="20"/>
                <w:color w:val="auto"/>
              </w:rPr>
            </w:pPr>
            <w:r>
              <w:rPr>
                <w:rFonts w:ascii="Arial" w:cs="Arial" w:eastAsia="Arial" w:hAnsi="Arial"/>
                <w:sz w:val="14"/>
                <w:szCs w:val="14"/>
                <w:color w:val="auto"/>
              </w:rPr>
              <w:t>Deductions</w:t>
            </w:r>
          </w:p>
        </w:tc>
        <w:tc>
          <w:tcPr>
            <w:tcW w:w="340" w:type="dxa"/>
            <w:vAlign w:val="bottom"/>
          </w:tcPr>
          <w:p>
            <w:pPr>
              <w:spacing w:after="0"/>
              <w:rPr>
                <w:sz w:val="13"/>
                <w:szCs w:val="13"/>
                <w:color w:val="auto"/>
              </w:rPr>
            </w:pPr>
          </w:p>
        </w:tc>
        <w:tc>
          <w:tcPr>
            <w:tcW w:w="78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rPr>
              <w:t>of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valuation of inventory:</w:t>
            </w:r>
          </w:p>
        </w:tc>
        <w:tc>
          <w:tcPr>
            <w:tcW w:w="5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Year ended September 30, 2006</w:t>
            </w:r>
          </w:p>
        </w:tc>
        <w:tc>
          <w:tcPr>
            <w:tcW w:w="5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68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40" w:type="dxa"/>
            <w:vAlign w:val="bottom"/>
          </w:tcPr>
          <w:p>
            <w:pPr>
              <w:spacing w:after="0"/>
              <w:rPr>
                <w:sz w:val="17"/>
                <w:szCs w:val="17"/>
                <w:color w:val="auto"/>
              </w:rPr>
            </w:pPr>
          </w:p>
        </w:tc>
        <w:tc>
          <w:tcPr>
            <w:tcW w:w="9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September 30, 2007</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Year ended September 30, 2008</w:t>
            </w:r>
          </w:p>
        </w:tc>
        <w:tc>
          <w:tcPr>
            <w:tcW w:w="5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uncollectible pawn service charges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receivable:</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Year ended September 30, 2006</w:t>
            </w:r>
          </w:p>
        </w:tc>
        <w:tc>
          <w:tcPr>
            <w:tcW w:w="5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68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2.9</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September 30, 2007</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Year ended September 30, 2008</w:t>
            </w:r>
          </w:p>
        </w:tc>
        <w:tc>
          <w:tcPr>
            <w:tcW w:w="5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losses on payday loans: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Year ended September 30, 2006</w:t>
            </w:r>
          </w:p>
        </w:tc>
        <w:tc>
          <w:tcPr>
            <w:tcW w:w="5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68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9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September 30, 2007</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Year ended September 30, 2008</w:t>
            </w:r>
          </w:p>
        </w:tc>
        <w:tc>
          <w:tcPr>
            <w:tcW w:w="5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valuation of deferred tax assets: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line="202" w:lineRule="exact"/>
              <w:rPr>
                <w:sz w:val="20"/>
                <w:szCs w:val="20"/>
                <w:color w:val="auto"/>
              </w:rPr>
            </w:pPr>
            <w:r>
              <w:rPr>
                <w:rFonts w:ascii="Arial" w:cs="Arial" w:eastAsia="Arial" w:hAnsi="Arial"/>
                <w:sz w:val="18"/>
                <w:szCs w:val="18"/>
                <w:color w:val="auto"/>
              </w:rPr>
              <w:t>Year ended September 30, 2006</w:t>
            </w:r>
          </w:p>
        </w:tc>
        <w:tc>
          <w:tcPr>
            <w:tcW w:w="56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0.4</w:t>
            </w:r>
          </w:p>
        </w:tc>
        <w:tc>
          <w:tcPr>
            <w:tcW w:w="9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September 30, 2007</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Year ended September 30, 2008</w:t>
            </w:r>
          </w:p>
        </w:tc>
        <w:tc>
          <w:tcPr>
            <w:tcW w:w="5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2008</w:t>
      </w:r>
    </w:p>
    <w:p>
      <w:pPr>
        <w:spacing w:after="0" w:line="234"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L. Rotunda</w:t>
      </w:r>
    </w:p>
    <w:p>
      <w:pPr>
        <w:spacing w:after="0" w:line="235" w:lineRule="auto"/>
        <w:rPr>
          <w:sz w:val="20"/>
          <w:szCs w:val="20"/>
          <w:color w:val="auto"/>
        </w:rPr>
      </w:pPr>
      <w:r>
        <w:rPr>
          <w:rFonts w:ascii="Arial" w:cs="Arial" w:eastAsia="Arial" w:hAnsi="Arial"/>
          <w:sz w:val="18"/>
          <w:szCs w:val="18"/>
          <w:color w:val="auto"/>
        </w:rPr>
        <w:t>(Joseph L. Rotunda)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&amp; Director)</w:t>
      </w:r>
    </w:p>
    <w:p>
      <w:pPr>
        <w:spacing w:after="0" w:line="1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ind w:left="1780"/>
              <w:spacing w:after="0"/>
              <w:rPr>
                <w:sz w:val="20"/>
                <w:szCs w:val="20"/>
                <w:color w:val="auto"/>
              </w:rPr>
            </w:pPr>
            <w:r>
              <w:rPr>
                <w:rFonts w:ascii="Arial" w:cs="Arial" w:eastAsia="Arial" w:hAnsi="Arial"/>
                <w:sz w:val="14"/>
                <w:szCs w:val="14"/>
                <w:color w:val="auto"/>
              </w:rPr>
              <w:t>Signature</w:t>
            </w:r>
          </w:p>
        </w:tc>
        <w:tc>
          <w:tcPr>
            <w:tcW w:w="4800" w:type="dxa"/>
            <w:vAlign w:val="bottom"/>
          </w:tcPr>
          <w:p>
            <w:pPr>
              <w:ind w:left="2300"/>
              <w:spacing w:after="0"/>
              <w:rPr>
                <w:sz w:val="20"/>
                <w:szCs w:val="20"/>
                <w:color w:val="auto"/>
              </w:rPr>
            </w:pPr>
            <w:r>
              <w:rPr>
                <w:rFonts w:ascii="Arial" w:cs="Arial" w:eastAsia="Arial" w:hAnsi="Arial"/>
                <w:sz w:val="14"/>
                <w:szCs w:val="14"/>
                <w:color w:val="auto"/>
              </w:rPr>
              <w:t>Title</w:t>
            </w:r>
          </w:p>
        </w:tc>
        <w:tc>
          <w:tcPr>
            <w:tcW w:w="2460" w:type="dxa"/>
            <w:vAlign w:val="bottom"/>
          </w:tcPr>
          <w:p>
            <w:pPr>
              <w:jc w:val="center"/>
              <w:spacing w:after="0"/>
              <w:rPr>
                <w:sz w:val="20"/>
                <w:szCs w:val="20"/>
                <w:color w:val="auto"/>
              </w:rPr>
            </w:pPr>
            <w:r>
              <w:rPr>
                <w:rFonts w:ascii="Arial" w:cs="Arial" w:eastAsia="Arial" w:hAnsi="Arial"/>
                <w:sz w:val="14"/>
                <w:szCs w:val="14"/>
                <w:color w:val="auto"/>
              </w:rPr>
              <w:t>Date</w:t>
            </w:r>
          </w:p>
        </w:tc>
      </w:tr>
      <w:tr>
        <w:trPr>
          <w:trHeight w:val="390"/>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Sterling B. Brinkley</w:t>
            </w:r>
          </w:p>
        </w:tc>
        <w:tc>
          <w:tcPr>
            <w:tcW w:w="4800" w:type="dxa"/>
            <w:vAlign w:val="bottom"/>
          </w:tcPr>
          <w:p>
            <w:pPr>
              <w:ind w:left="360"/>
              <w:spacing w:after="0"/>
              <w:rPr>
                <w:sz w:val="20"/>
                <w:szCs w:val="20"/>
                <w:color w:val="auto"/>
              </w:rPr>
            </w:pPr>
            <w:r>
              <w:rPr>
                <w:rFonts w:ascii="Arial" w:cs="Arial" w:eastAsia="Arial" w:hAnsi="Arial"/>
                <w:sz w:val="18"/>
                <w:szCs w:val="18"/>
                <w:color w:val="auto"/>
              </w:rPr>
              <w:t>Chairman of the Board</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Sterling B. Brinkley</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4800" w:type="dxa"/>
            <w:vAlign w:val="bottom"/>
          </w:tcPr>
          <w:p>
            <w:pPr>
              <w:ind w:left="360"/>
              <w:spacing w:after="0"/>
              <w:rPr>
                <w:sz w:val="20"/>
                <w:szCs w:val="20"/>
                <w:color w:val="auto"/>
              </w:rPr>
            </w:pPr>
            <w:r>
              <w:rPr>
                <w:rFonts w:ascii="Arial" w:cs="Arial" w:eastAsia="Arial" w:hAnsi="Arial"/>
                <w:sz w:val="18"/>
                <w:szCs w:val="18"/>
                <w:color w:val="auto"/>
              </w:rPr>
              <w:t>President, Chief Executive Officer &amp; 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4"/>
        </w:trPr>
        <w:tc>
          <w:tcPr>
            <w:tcW w:w="4160" w:type="dxa"/>
            <w:vAlign w:val="bottom"/>
          </w:tcPr>
          <w:p>
            <w:pPr>
              <w:ind w:left="260"/>
              <w:spacing w:after="0"/>
              <w:rPr>
                <w:sz w:val="20"/>
                <w:szCs w:val="20"/>
                <w:color w:val="auto"/>
              </w:rPr>
            </w:pPr>
            <w:r>
              <w:rPr>
                <w:rFonts w:ascii="Arial" w:cs="Arial" w:eastAsia="Arial" w:hAnsi="Arial"/>
                <w:sz w:val="18"/>
                <w:szCs w:val="18"/>
                <w:color w:val="auto"/>
              </w:rPr>
              <w:t>Joseph L. Rotunda</w:t>
            </w:r>
          </w:p>
        </w:tc>
        <w:tc>
          <w:tcPr>
            <w:tcW w:w="4800" w:type="dxa"/>
            <w:vAlign w:val="bottom"/>
          </w:tcPr>
          <w:p>
            <w:pPr>
              <w:ind w:left="360"/>
              <w:spacing w:after="0" w:line="197" w:lineRule="exact"/>
              <w:rPr>
                <w:sz w:val="20"/>
                <w:szCs w:val="20"/>
                <w:color w:val="auto"/>
              </w:rPr>
            </w:pPr>
            <w:r>
              <w:rPr>
                <w:rFonts w:ascii="Arial" w:cs="Arial" w:eastAsia="Arial" w:hAnsi="Arial"/>
                <w:sz w:val="18"/>
                <w:szCs w:val="18"/>
                <w:color w:val="auto"/>
              </w:rPr>
              <w:t>(Principal Executive Officer)</w:t>
            </w:r>
          </w:p>
        </w:tc>
        <w:tc>
          <w:tcPr>
            <w:tcW w:w="2460" w:type="dxa"/>
            <w:vAlign w:val="bottom"/>
          </w:tcPr>
          <w:p>
            <w:pPr>
              <w:spacing w:after="0"/>
              <w:rPr>
                <w:sz w:val="19"/>
                <w:szCs w:val="19"/>
                <w:color w:val="auto"/>
              </w:rPr>
            </w:pPr>
          </w:p>
        </w:tc>
      </w:tr>
      <w:tr>
        <w:trPr>
          <w:trHeight w:val="39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N. Tonissen</w:t>
            </w:r>
          </w:p>
        </w:tc>
        <w:tc>
          <w:tcPr>
            <w:tcW w:w="4800" w:type="dxa"/>
            <w:vAlign w:val="bottom"/>
          </w:tcPr>
          <w:p>
            <w:pPr>
              <w:ind w:left="360"/>
              <w:spacing w:after="0"/>
              <w:rPr>
                <w:sz w:val="20"/>
                <w:szCs w:val="20"/>
                <w:color w:val="auto"/>
              </w:rPr>
            </w:pPr>
            <w:r>
              <w:rPr>
                <w:rFonts w:ascii="Arial" w:cs="Arial" w:eastAsia="Arial" w:hAnsi="Arial"/>
                <w:sz w:val="18"/>
                <w:szCs w:val="18"/>
                <w:color w:val="auto"/>
              </w:rPr>
              <w:t>Senior Vice President, Chief Financial Officer,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183"/>
        </w:trPr>
        <w:tc>
          <w:tcPr>
            <w:tcW w:w="4160" w:type="dxa"/>
            <w:vAlign w:val="bottom"/>
          </w:tcPr>
          <w:p>
            <w:pPr>
              <w:ind w:left="260"/>
              <w:spacing w:after="0" w:line="182" w:lineRule="exact"/>
              <w:rPr>
                <w:sz w:val="20"/>
                <w:szCs w:val="20"/>
                <w:color w:val="auto"/>
              </w:rPr>
            </w:pPr>
            <w:r>
              <w:rPr>
                <w:rFonts w:ascii="Arial" w:cs="Arial" w:eastAsia="Arial" w:hAnsi="Arial"/>
                <w:sz w:val="18"/>
                <w:szCs w:val="18"/>
                <w:color w:val="auto"/>
              </w:rPr>
              <w:t>Dan N. Tonissen</w:t>
            </w:r>
          </w:p>
        </w:tc>
        <w:tc>
          <w:tcPr>
            <w:tcW w:w="4800" w:type="dxa"/>
            <w:vAlign w:val="bottom"/>
          </w:tcPr>
          <w:p>
            <w:pPr>
              <w:ind w:left="360"/>
              <w:spacing w:after="0" w:line="182" w:lineRule="exact"/>
              <w:rPr>
                <w:sz w:val="20"/>
                <w:szCs w:val="20"/>
                <w:color w:val="auto"/>
              </w:rPr>
            </w:pPr>
            <w:r>
              <w:rPr>
                <w:rFonts w:ascii="Arial" w:cs="Arial" w:eastAsia="Arial" w:hAnsi="Arial"/>
                <w:sz w:val="18"/>
                <w:szCs w:val="18"/>
                <w:color w:val="auto"/>
              </w:rPr>
              <w:t>Assistant Secretary &amp; Director (Principal Financial</w:t>
            </w:r>
          </w:p>
        </w:tc>
        <w:tc>
          <w:tcPr>
            <w:tcW w:w="2460" w:type="dxa"/>
            <w:vAlign w:val="bottom"/>
          </w:tcPr>
          <w:p>
            <w:pPr>
              <w:spacing w:after="0"/>
              <w:rPr>
                <w:sz w:val="15"/>
                <w:szCs w:val="15"/>
                <w:color w:val="auto"/>
              </w:rPr>
            </w:pPr>
          </w:p>
        </w:tc>
      </w:tr>
      <w:tr>
        <w:trPr>
          <w:trHeight w:val="217"/>
        </w:trPr>
        <w:tc>
          <w:tcPr>
            <w:tcW w:w="4160" w:type="dxa"/>
            <w:vAlign w:val="bottom"/>
          </w:tcPr>
          <w:p>
            <w:pPr>
              <w:spacing w:after="0"/>
              <w:rPr>
                <w:sz w:val="18"/>
                <w:szCs w:val="18"/>
                <w:color w:val="auto"/>
              </w:rPr>
            </w:pPr>
          </w:p>
        </w:tc>
        <w:tc>
          <w:tcPr>
            <w:tcW w:w="4800" w:type="dxa"/>
            <w:vAlign w:val="bottom"/>
          </w:tcPr>
          <w:p>
            <w:pPr>
              <w:ind w:left="360"/>
              <w:spacing w:after="0"/>
              <w:rPr>
                <w:sz w:val="20"/>
                <w:szCs w:val="20"/>
                <w:color w:val="auto"/>
              </w:rPr>
            </w:pPr>
            <w:r>
              <w:rPr>
                <w:rFonts w:ascii="Arial" w:cs="Arial" w:eastAsia="Arial" w:hAnsi="Arial"/>
                <w:sz w:val="18"/>
                <w:szCs w:val="18"/>
                <w:color w:val="auto"/>
              </w:rPr>
              <w:t>and Accounting Officer)</w:t>
            </w:r>
          </w:p>
        </w:tc>
        <w:tc>
          <w:tcPr>
            <w:tcW w:w="2460" w:type="dxa"/>
            <w:vAlign w:val="bottom"/>
          </w:tcPr>
          <w:p>
            <w:pPr>
              <w:spacing w:after="0"/>
              <w:rPr>
                <w:sz w:val="18"/>
                <w:szCs w:val="18"/>
                <w:color w:val="auto"/>
              </w:rPr>
            </w:pPr>
          </w:p>
        </w:tc>
      </w:tr>
      <w:tr>
        <w:trPr>
          <w:trHeight w:val="39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C. Matzner</w:t>
            </w:r>
          </w:p>
        </w:tc>
        <w:tc>
          <w:tcPr>
            <w:tcW w:w="48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Gary C. Matzner</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Sage</w:t>
            </w:r>
          </w:p>
        </w:tc>
        <w:tc>
          <w:tcPr>
            <w:tcW w:w="48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Richard D. Sage</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Roberts</w:t>
            </w:r>
          </w:p>
        </w:tc>
        <w:tc>
          <w:tcPr>
            <w:tcW w:w="48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Thomas C. Roberts</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Edwards</w:t>
            </w:r>
          </w:p>
        </w:tc>
        <w:tc>
          <w:tcPr>
            <w:tcW w:w="48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Richard M. Edwards</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2"/>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Love</w:t>
            </w:r>
          </w:p>
        </w:tc>
        <w:tc>
          <w:tcPr>
            <w:tcW w:w="48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December 12, 2008</w:t>
            </w:r>
          </w:p>
        </w:tc>
      </w:tr>
      <w:tr>
        <w:trPr>
          <w:trHeight w:val="223"/>
        </w:trPr>
        <w:tc>
          <w:tcPr>
            <w:tcW w:w="4160" w:type="dxa"/>
            <w:vAlign w:val="bottom"/>
          </w:tcPr>
          <w:p>
            <w:pPr>
              <w:ind w:left="260"/>
              <w:spacing w:after="0"/>
              <w:rPr>
                <w:sz w:val="20"/>
                <w:szCs w:val="20"/>
                <w:color w:val="auto"/>
              </w:rPr>
            </w:pPr>
            <w:r>
              <w:rPr>
                <w:rFonts w:ascii="Arial" w:cs="Arial" w:eastAsia="Arial" w:hAnsi="Arial"/>
                <w:sz w:val="18"/>
                <w:szCs w:val="18"/>
                <w:color w:val="auto"/>
              </w:rPr>
              <w:t>William C. Love</w:t>
            </w:r>
          </w:p>
        </w:tc>
        <w:tc>
          <w:tcPr>
            <w:tcW w:w="48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92"/>
        </w:trPr>
        <w:tc>
          <w:tcPr>
            <w:tcW w:w="4160" w:type="dxa"/>
            <w:vAlign w:val="bottom"/>
          </w:tcPr>
          <w:p>
            <w:pPr>
              <w:spacing w:after="0"/>
              <w:rPr>
                <w:sz w:val="24"/>
                <w:szCs w:val="24"/>
                <w:color w:val="auto"/>
              </w:rPr>
            </w:pPr>
          </w:p>
        </w:tc>
        <w:tc>
          <w:tcPr>
            <w:tcW w:w="4800" w:type="dxa"/>
            <w:vAlign w:val="bottom"/>
          </w:tcPr>
          <w:p>
            <w:pPr>
              <w:ind w:left="1400"/>
              <w:spacing w:after="0"/>
              <w:rPr>
                <w:sz w:val="20"/>
                <w:szCs w:val="20"/>
                <w:color w:val="auto"/>
              </w:rPr>
            </w:pPr>
            <w:r>
              <w:rPr>
                <w:rFonts w:ascii="Arial" w:cs="Arial" w:eastAsia="Arial" w:hAnsi="Arial"/>
                <w:sz w:val="18"/>
                <w:szCs w:val="18"/>
                <w:color w:val="auto"/>
              </w:rPr>
              <w:t>113</w:t>
            </w:r>
          </w:p>
        </w:tc>
        <w:tc>
          <w:tcPr>
            <w:tcW w:w="2460" w:type="dxa"/>
            <w:vAlign w:val="bottom"/>
          </w:tcPr>
          <w:p>
            <w:pPr>
              <w:spacing w:after="0"/>
              <w:rPr>
                <w:sz w:val="24"/>
                <w:szCs w:val="24"/>
                <w:color w:val="auto"/>
              </w:rPr>
            </w:pPr>
          </w:p>
        </w:tc>
      </w:tr>
      <w:tr>
        <w:trPr>
          <w:trHeight w:val="213"/>
        </w:trPr>
        <w:tc>
          <w:tcPr>
            <w:tcW w:w="416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40" w:type="dxa"/>
            <w:vAlign w:val="bottom"/>
            <w:gridSpan w:val="2"/>
          </w:tcPr>
          <w:p>
            <w:pPr>
              <w:ind w:left="4140"/>
              <w:spacing w:after="0"/>
              <w:rPr>
                <w:sz w:val="20"/>
                <w:szCs w:val="20"/>
                <w:color w:val="auto"/>
              </w:rPr>
            </w:pPr>
            <w:r>
              <w:rPr>
                <w:rFonts w:ascii="Arial" w:cs="Arial" w:eastAsia="Arial" w:hAnsi="Arial"/>
                <w:sz w:val="18"/>
                <w:szCs w:val="18"/>
                <w:b w:val="1"/>
                <w:bCs w:val="1"/>
                <w:color w:val="auto"/>
                <w:w w:val="97"/>
              </w:rPr>
              <w:t>EXHIBIT INDEX</w:t>
            </w:r>
          </w:p>
        </w:tc>
      </w:tr>
      <w:tr>
        <w:trPr>
          <w:trHeight w:val="513"/>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24"/>
                <w:szCs w:val="24"/>
                <w:color w:val="auto"/>
              </w:rPr>
            </w:pPr>
          </w:p>
        </w:tc>
        <w:tc>
          <w:tcPr>
            <w:tcW w:w="5200" w:type="dxa"/>
            <w:vAlign w:val="bottom"/>
            <w:tcBorders>
              <w:bottom w:val="single" w:sz="8" w:color="auto"/>
            </w:tcBorders>
          </w:tcPr>
          <w:p>
            <w:pPr>
              <w:ind w:left="2240"/>
              <w:spacing w:after="0"/>
              <w:rPr>
                <w:sz w:val="20"/>
                <w:szCs w:val="20"/>
                <w:color w:val="auto"/>
              </w:rPr>
            </w:pPr>
            <w:r>
              <w:rPr>
                <w:rFonts w:ascii="Arial" w:cs="Arial" w:eastAsia="Arial" w:hAnsi="Arial"/>
                <w:sz w:val="14"/>
                <w:szCs w:val="14"/>
                <w:color w:val="auto"/>
              </w:rPr>
              <w:t>Description</w:t>
            </w:r>
          </w:p>
        </w:tc>
        <w:tc>
          <w:tcPr>
            <w:tcW w:w="240" w:type="dxa"/>
            <w:vAlign w:val="bottom"/>
          </w:tcPr>
          <w:p>
            <w:pPr>
              <w:spacing w:after="0"/>
              <w:rPr>
                <w:sz w:val="24"/>
                <w:szCs w:val="24"/>
                <w:color w:val="auto"/>
              </w:rPr>
            </w:pPr>
          </w:p>
        </w:tc>
      </w:tr>
      <w:tr>
        <w:trPr>
          <w:trHeight w:val="412"/>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Conformed Amended Certificate of Incorporation of the Company</w:t>
            </w:r>
          </w:p>
        </w:tc>
      </w:tr>
      <w:tr>
        <w:trPr>
          <w:trHeight w:val="810"/>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Conformed Bylaws of the Company, as amended.*</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Specimen of Class A Non-voting Common Stock certificate of the</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Company.</w:t>
            </w:r>
          </w:p>
        </w:tc>
      </w:tr>
      <w:tr>
        <w:trPr>
          <w:trHeight w:val="608"/>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401(k) Plan.</w:t>
            </w:r>
          </w:p>
        </w:tc>
      </w:tr>
      <w:tr>
        <w:trPr>
          <w:trHeight w:val="810"/>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Section 125 Cafeteria Plan.</w:t>
            </w:r>
          </w:p>
        </w:tc>
      </w:tr>
      <w:tr>
        <w:trPr>
          <w:trHeight w:val="810"/>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Agreement Regarding Reservation of Shares</w:t>
            </w:r>
          </w:p>
        </w:tc>
      </w:tr>
      <w:tr>
        <w:trPr>
          <w:trHeight w:val="796"/>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EZCORP Supplemental Executive Retirement Plan effective</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December 1, 2005</w:t>
            </w:r>
          </w:p>
        </w:tc>
      </w:tr>
      <w:tr>
        <w:trPr>
          <w:trHeight w:val="593"/>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EZCORP Fiscal Year 2006 Incentive</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Compensation Plan</w:t>
            </w:r>
          </w:p>
        </w:tc>
      </w:tr>
      <w:tr>
        <w:trPr>
          <w:trHeight w:val="593"/>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Credit Services and Loan Administration Agreement dated April</w:t>
            </w:r>
          </w:p>
        </w:tc>
      </w:tr>
      <w:tr>
        <w:trPr>
          <w:trHeight w:val="203"/>
        </w:trPr>
        <w:tc>
          <w:tcPr>
            <w:tcW w:w="580" w:type="dxa"/>
            <w:vAlign w:val="bottom"/>
          </w:tcPr>
          <w:p>
            <w:pPr>
              <w:spacing w:after="0"/>
              <w:rPr>
                <w:sz w:val="17"/>
                <w:szCs w:val="17"/>
                <w:color w:val="auto"/>
              </w:rPr>
            </w:pPr>
          </w:p>
        </w:tc>
        <w:tc>
          <w:tcPr>
            <w:tcW w:w="57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11, 2006 between Texas EZPAWN, L.P. and NCP Finance</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Limited Partnership</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Guaranty dated April 11, 2006 from EZCORP, Inc to NCP</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Finance Limited Partnership</w:t>
            </w:r>
          </w:p>
        </w:tc>
      </w:tr>
      <w:tr>
        <w:trPr>
          <w:trHeight w:val="593"/>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Credit Services Organization and Lender Agreement dated</w:t>
            </w:r>
          </w:p>
        </w:tc>
      </w:tr>
      <w:tr>
        <w:trPr>
          <w:trHeight w:val="203"/>
        </w:trPr>
        <w:tc>
          <w:tcPr>
            <w:tcW w:w="580" w:type="dxa"/>
            <w:vAlign w:val="bottom"/>
          </w:tcPr>
          <w:p>
            <w:pPr>
              <w:spacing w:after="0"/>
              <w:rPr>
                <w:sz w:val="17"/>
                <w:szCs w:val="17"/>
                <w:color w:val="auto"/>
              </w:rPr>
            </w:pPr>
          </w:p>
        </w:tc>
        <w:tc>
          <w:tcPr>
            <w:tcW w:w="57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April 12, 2006 between Texas EZMONEY, L.P. and Integrity</w:t>
            </w:r>
          </w:p>
        </w:tc>
      </w:tr>
      <w:tr>
        <w:trPr>
          <w:trHeight w:val="217"/>
        </w:trPr>
        <w:tc>
          <w:tcPr>
            <w:tcW w:w="580" w:type="dxa"/>
            <w:vAlign w:val="bottom"/>
          </w:tcPr>
          <w:p>
            <w:pPr>
              <w:spacing w:after="0"/>
              <w:rPr>
                <w:sz w:val="18"/>
                <w:szCs w:val="18"/>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Texas Funding, L.P.</w:t>
            </w:r>
          </w:p>
        </w:tc>
      </w:tr>
      <w:tr>
        <w:trPr>
          <w:trHeight w:val="392"/>
        </w:trPr>
        <w:tc>
          <w:tcPr>
            <w:tcW w:w="580" w:type="dxa"/>
            <w:vAlign w:val="bottom"/>
          </w:tcPr>
          <w:p>
            <w:pPr>
              <w:spacing w:after="0"/>
              <w:rPr>
                <w:sz w:val="24"/>
                <w:szCs w:val="24"/>
                <w:color w:val="auto"/>
              </w:rPr>
            </w:pPr>
          </w:p>
        </w:tc>
        <w:tc>
          <w:tcPr>
            <w:tcW w:w="5540" w:type="dxa"/>
            <w:vAlign w:val="bottom"/>
            <w:gridSpan w:val="2"/>
          </w:tcPr>
          <w:p>
            <w:pPr>
              <w:ind w:left="498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Incorporated by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25812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9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Exhibit 3.1 to the Registration Statement on Form S-4 filed September 26, 2008 (File No. 33-153703)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9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Exhibit 4.1 to the Registration Statement on Form S-1 effective August 23, 1991 (File No. 33-41317)</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Exhibit 10.38 to the Registration Statement on Form S-1 effective August 23, 1991 (File No. 33-41317)</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Exhibit 10.39 to the Registration Statement on Form S-1 effective August 23, 1991 (File No. 33-41317)</w:t>
      </w:r>
    </w:p>
    <w:p>
      <w:pPr>
        <w:spacing w:after="0" w:line="1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Exhibit 10.51 to Registrant’s Quarterly Report on Form 10-Q for the quarter ended June 30, 1993 (File No. 0-19424)</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Exhibit 10.94 to Registrant’s Current Report on Form 8-K dated November 28, 2005 (File No. 0-19424)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Exhibit 10.96 to Registrant’s Annual Report on Form 10-K for the year ended September 30, 2005 (File No. 0-19424)</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Exhibit 10.97 to Registrant’s Quarterly Report on Form 10-Q for the quarter ended March 31, 2006 (File No. 0-19424)</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Exhibit 10.98 to Registrant’s Quarterly Report on Form 10-Q for the quarter ended March 31, 2006 (File No. 0-19424)</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Exhibit 10.99 to Registrant’s Quarterly Report on Form 10-Q for the quarter ended March 31, 2006 (File No. 0-19424)</w:t>
      </w:r>
    </w:p>
    <w:p>
      <w:pPr>
        <w:sectPr>
          <w:pgSz w:w="11900" w:h="16838" w:orient="portrait"/>
          <w:cols w:equalWidth="0" w:num="2">
            <w:col w:w="6640" w:space="720"/>
            <w:col w:w="4040"/>
          </w:cols>
          <w:pgMar w:left="240" w:top="41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-1905</wp:posOffset>
            </wp:positionV>
            <wp:extent cx="33020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192" w:lineRule="exact"/>
        <w:rPr>
          <w:sz w:val="20"/>
          <w:szCs w:val="20"/>
          <w:color w:val="auto"/>
        </w:rPr>
      </w:pPr>
    </w:p>
    <w:p>
      <w:pPr>
        <w:ind w:left="920" w:right="760" w:hanging="904"/>
        <w:spacing w:after="0"/>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Credit Services Organization and Lender Agreement dated November 9, 2005 between Texas EZPAWN, L.P. and Integrity Texas Funding, L.P.</w:t>
      </w:r>
    </w:p>
    <w:p>
      <w:pPr>
        <w:spacing w:after="0" w:line="189" w:lineRule="exact"/>
        <w:rPr>
          <w:sz w:val="20"/>
          <w:szCs w:val="20"/>
          <w:color w:val="auto"/>
        </w:rPr>
      </w:pPr>
    </w:p>
    <w:p>
      <w:pPr>
        <w:ind w:left="920" w:right="740" w:hanging="904"/>
        <w:spacing w:after="0"/>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Credit Services Organization and Lender Agreement dated November 30, 2005 between Texas EZPAWN Florida, L.P. and Integrity Florida Funding, L.P.</w:t>
      </w:r>
    </w:p>
    <w:p>
      <w:pPr>
        <w:spacing w:after="0" w:line="189" w:lineRule="exact"/>
        <w:rPr>
          <w:sz w:val="20"/>
          <w:szCs w:val="20"/>
          <w:color w:val="auto"/>
        </w:rPr>
      </w:pPr>
    </w:p>
    <w:p>
      <w:pPr>
        <w:jc w:val="both"/>
        <w:ind w:left="920" w:right="720" w:hanging="904"/>
        <w:spacing w:after="0"/>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Fourth Amended and Restated Credit Agreement between the Company and Wells Fargo Bank Texas, N.A., as the Agent and Issuing Bank, re: $40 million credit facility</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EZCORP Fiscal Year 2007 Incentive</w:t>
      </w:r>
    </w:p>
    <w:p>
      <w:pPr>
        <w:ind w:left="920"/>
        <w:spacing w:after="0"/>
        <w:rPr>
          <w:sz w:val="20"/>
          <w:szCs w:val="20"/>
          <w:color w:val="auto"/>
        </w:rPr>
      </w:pPr>
      <w:r>
        <w:rPr>
          <w:rFonts w:ascii="Arial" w:cs="Arial" w:eastAsia="Arial" w:hAnsi="Arial"/>
          <w:sz w:val="18"/>
          <w:szCs w:val="18"/>
          <w:color w:val="auto"/>
        </w:rPr>
        <w:t>Compensation Plan</w:t>
      </w:r>
    </w:p>
    <w:p>
      <w:pPr>
        <w:spacing w:after="0" w:line="200" w:lineRule="exact"/>
        <w:rPr>
          <w:sz w:val="20"/>
          <w:szCs w:val="20"/>
          <w:color w:val="auto"/>
        </w:rPr>
      </w:pP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EZCORP, Inc. 2006 Incentive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20" w:right="1240" w:hanging="904"/>
        <w:spacing w:after="0" w:line="246"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EZCORP, Inc. Fiscal Year 2009 Incentive Compensation Program. *+</w:t>
      </w:r>
    </w:p>
    <w:p>
      <w:pPr>
        <w:spacing w:after="0" w:line="183" w:lineRule="exact"/>
        <w:rPr>
          <w:sz w:val="20"/>
          <w:szCs w:val="20"/>
          <w:color w:val="auto"/>
        </w:rPr>
      </w:pPr>
    </w:p>
    <w:p>
      <w:pPr>
        <w:jc w:val="right"/>
        <w:ind w:right="740"/>
        <w:spacing w:after="0" w:line="246" w:lineRule="auto"/>
        <w:rPr>
          <w:sz w:val="20"/>
          <w:szCs w:val="20"/>
          <w:color w:val="auto"/>
        </w:rPr>
      </w:pPr>
      <w:r>
        <w:rPr>
          <w:rFonts w:ascii="Arial" w:cs="Arial" w:eastAsia="Arial" w:hAnsi="Arial"/>
          <w:sz w:val="18"/>
          <w:szCs w:val="18"/>
          <w:color w:val="auto"/>
        </w:rPr>
        <w:t>10.15     Merger agreement between EZCORP, Inc., Value Merger Sub, Inc. and Value Financials Services, Inc. (September 16, 2008).</w:t>
      </w:r>
    </w:p>
    <w:p>
      <w:pPr>
        <w:spacing w:after="0" w:line="200" w:lineRule="exact"/>
        <w:rPr>
          <w:sz w:val="20"/>
          <w:szCs w:val="20"/>
          <w:color w:val="auto"/>
        </w:rPr>
      </w:pPr>
    </w:p>
    <w:p>
      <w:pPr>
        <w:spacing w:after="0" w:line="389" w:lineRule="exact"/>
        <w:rPr>
          <w:sz w:val="20"/>
          <w:szCs w:val="20"/>
          <w:color w:val="auto"/>
        </w:rPr>
      </w:pPr>
    </w:p>
    <w:p>
      <w:pPr>
        <w:jc w:val="both"/>
        <w:ind w:left="920" w:right="780" w:hanging="904"/>
        <w:spacing w:after="0"/>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Voting agreement between EZCORP, Inc., Value Merger Sub, Inc. and the selling shareholders of Value Financials Services, Inc. (September 16, 2008).</w:t>
      </w:r>
    </w:p>
    <w:p>
      <w:pPr>
        <w:spacing w:after="0" w:line="392" w:lineRule="exact"/>
        <w:rPr>
          <w:sz w:val="20"/>
          <w:szCs w:val="20"/>
          <w:color w:val="auto"/>
        </w:rPr>
      </w:pPr>
    </w:p>
    <w:p>
      <w:pPr>
        <w:jc w:val="both"/>
        <w:ind w:left="920" w:right="800" w:hanging="904"/>
        <w:spacing w:after="0" w:line="261"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Form of Exchange Agreement between EZCORP, Inc., Value Merger Sub, Inc. Value Financial Services, Inc., and American Stock Transfer and Trust Company, dated October ___, 2008.</w:t>
      </w:r>
    </w:p>
    <w:p>
      <w:pPr>
        <w:spacing w:after="0" w:line="173" w:lineRule="exact"/>
        <w:rPr>
          <w:sz w:val="20"/>
          <w:szCs w:val="20"/>
          <w:color w:val="auto"/>
        </w:rPr>
      </w:pPr>
    </w:p>
    <w:p>
      <w:pPr>
        <w:ind w:left="920" w:right="700" w:hanging="904"/>
        <w:spacing w:after="0" w:line="238"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Fifth Amended and Restated Credit Agreement among EZCORP, Inc., Wells Fargo Bank, N.A., and other financial institutions, dated June ___, 2008 (to become effective and be dated upon completion of the merger with Value Financial Service, Inc.).</w:t>
      </w:r>
    </w:p>
    <w:p>
      <w:pPr>
        <w:spacing w:after="0" w:line="1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Incorporated by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25812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9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Exhibit 10.100 to Registrant’s Quarterly Report on Form 10-Q for the quarter ended March 31, 2006 (File No. 0-19424)</w:t>
      </w:r>
    </w:p>
    <w:p>
      <w:pPr>
        <w:spacing w:after="0" w:line="1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Exhibit 10.101 to Registrant’s Quarterly Report on Form 10-Q for the quarter ended March 31, 2006 (File No. 0-19424)</w:t>
      </w:r>
    </w:p>
    <w:p>
      <w:pPr>
        <w:spacing w:after="0" w:line="18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Exhibit 10.102 to Registrant’s Current Report on Form 8-K dated October 13, 2006 (File No. 0-19424)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Exhibit 10.103 to Registrant’s Annual Report on Form 10-K for the year ended September 30, 2006 (File No. 0-19424)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Exhibit 10.104 to Registrant’s Annual Report on Form 10-K for the year ended September 30, 2006 (File No. 0-19424)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Exhibit A to the proxy statement/prospectus included in Registration Statement on Form S-4/A Pre-Effective Amendment No. 2 dated and filed November 13, 2008 (File No. 333-153703).</w:t>
      </w:r>
    </w:p>
    <w:p>
      <w:pPr>
        <w:spacing w:after="0" w:line="1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Exhibit E to the proxy statement/prospectus included in Registration Statement on Form S-4/A Pre-Effective Amendment No. 2 dated and filed November 13, 2008 (File No. 333-153703).</w:t>
      </w:r>
    </w:p>
    <w:p>
      <w:pPr>
        <w:spacing w:after="0" w:line="18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Exhibit 10.3 to Registration Statement on Form S-4/A Pre-Effective Amendment No. 1 dated and filed October 31, 2008 (File No. 333-153703).</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Exhibit 10.1 to EZCORP’s Registration Statement on Form S-3/A Pre-Effective Amendment No. 1 filed on July 24, 2008 (File No. 333-151871).</w:t>
      </w:r>
    </w:p>
    <w:p>
      <w:pPr>
        <w:sectPr>
          <w:pgSz w:w="11900" w:h="16838" w:orient="portrait"/>
          <w:cols w:equalWidth="0" w:num="2">
            <w:col w:w="6640" w:space="720"/>
            <w:col w:w="4040"/>
          </w:cols>
          <w:pgMar w:left="240" w:top="41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1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-1905</wp:posOffset>
            </wp:positionV>
            <wp:extent cx="33020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920" w:right="580" w:hanging="904"/>
        <w:spacing w:after="0" w:line="237"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Asset Purchase Agreement by and among Pawn Plus 1, LLC, Pawn Plus 2, LLC, Pawn Plus 3, LLC, Pawn Plus 4, LLC, Pawn Plus 5, LLC, Pawn Plus 6, LLC, Pawn Plus 7, LLC, Pawn Plus 8, LLC, ASAP Pawn, LLC, Craig A McCall, Inc., The Pawn Place, Inc., Craig McCall and EZPAWN Nevada, Inc., dated October 24, 2008.</w:t>
      </w:r>
    </w:p>
    <w:p>
      <w:pPr>
        <w:spacing w:after="0" w:line="192" w:lineRule="exact"/>
        <w:rPr>
          <w:sz w:val="20"/>
          <w:szCs w:val="20"/>
          <w:color w:val="auto"/>
        </w:rPr>
      </w:pPr>
    </w:p>
    <w:p>
      <w:pPr>
        <w:ind w:left="920" w:right="960" w:hanging="904"/>
        <w:spacing w:after="0" w:line="246"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Consulting Agreement between EZPAWN Nevada, Inc., and Craig A. McCall dated September 25, 2008.</w:t>
      </w:r>
    </w:p>
    <w:p>
      <w:pPr>
        <w:spacing w:after="0" w:line="386" w:lineRule="exact"/>
        <w:rPr>
          <w:sz w:val="20"/>
          <w:szCs w:val="20"/>
          <w:color w:val="auto"/>
        </w:rPr>
      </w:pPr>
    </w:p>
    <w:p>
      <w:pPr>
        <w:ind w:left="920" w:right="580" w:hanging="904"/>
        <w:spacing w:after="0" w:line="238"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Right of First Refusal Agreement between Pawn Plus 1, LLC, Pawn Plus 2, LLC, Pawn Plus 3, LLC, Pawn Plus 4, LLC, Pawn Plus 5, LLC, Pawn Plus 6, LLC, Pawn Plus 7, LLC, Pawn Plus 8, LLC, The Pawn Place, Inc., and ASAP Pawn, LLC, Craig McCall and EZPAWN Nevada, Inc., dated October 10, 2008.</w:t>
      </w:r>
    </w:p>
    <w:p>
      <w:pPr>
        <w:spacing w:after="0" w:line="189" w:lineRule="exact"/>
        <w:rPr>
          <w:sz w:val="20"/>
          <w:szCs w:val="20"/>
          <w:color w:val="auto"/>
        </w:rPr>
      </w:pPr>
    </w:p>
    <w:p>
      <w:pPr>
        <w:ind w:left="920" w:right="580" w:hanging="904"/>
        <w:spacing w:after="0" w:line="238"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Bill of Sale and Assignment between Pawn Plus 1, LLC, Pawn Plus 2, LLC, Pawn Plus 3, LLC, Pawn Plus 4, LLC, Pawn Plus 5, LLC, Pawn Plus 6, LLC, Pawn Plus 7, LLC, Pawn Plus 8, LLC, The Pawn Place, Inc., and ASAP Pawn, LLC, Craig McCall and EZPAWN Nevada, Inc., dated October 10, 2008.</w:t>
      </w:r>
    </w:p>
    <w:p>
      <w:pPr>
        <w:spacing w:after="0" w:line="189" w:lineRule="exact"/>
        <w:rPr>
          <w:sz w:val="20"/>
          <w:szCs w:val="20"/>
          <w:color w:val="auto"/>
        </w:rPr>
      </w:pPr>
    </w:p>
    <w:p>
      <w:pPr>
        <w:ind w:left="920" w:right="1120" w:hanging="904"/>
        <w:spacing w:after="0" w:line="24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Advisory Services Agreement between EZCORP, Inc. and Madison Park LLC.</w:t>
      </w:r>
    </w:p>
    <w:p>
      <w:pPr>
        <w:spacing w:after="0" w:line="3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Subsidiaries of Registrant.*</w:t>
      </w:r>
    </w:p>
    <w:p>
      <w:pPr>
        <w:spacing w:after="0" w:line="1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Consent of Independent Registered Public Accounting Firm.*</w:t>
      </w:r>
    </w:p>
    <w:p>
      <w:pPr>
        <w:spacing w:after="0" w:line="198" w:lineRule="exact"/>
        <w:rPr>
          <w:sz w:val="20"/>
          <w:szCs w:val="20"/>
          <w:color w:val="auto"/>
        </w:rPr>
      </w:pPr>
    </w:p>
    <w:p>
      <w:pPr>
        <w:ind w:left="920" w:right="520" w:hanging="904"/>
        <w:spacing w:after="0" w:line="246"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 *</w:t>
      </w:r>
    </w:p>
    <w:p>
      <w:pPr>
        <w:spacing w:after="0" w:line="183" w:lineRule="exact"/>
        <w:rPr>
          <w:sz w:val="20"/>
          <w:szCs w:val="20"/>
          <w:color w:val="auto"/>
        </w:rPr>
      </w:pPr>
    </w:p>
    <w:p>
      <w:pPr>
        <w:ind w:left="920" w:right="580" w:hanging="904"/>
        <w:spacing w:after="0" w:line="246"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 *</w:t>
      </w:r>
    </w:p>
    <w:p>
      <w:pPr>
        <w:spacing w:after="0" w:line="183" w:lineRule="exact"/>
        <w:rPr>
          <w:sz w:val="20"/>
          <w:szCs w:val="20"/>
          <w:color w:val="auto"/>
        </w:rPr>
      </w:pPr>
    </w:p>
    <w:p>
      <w:pPr>
        <w:ind w:left="920" w:right="520" w:hanging="904"/>
        <w:spacing w:after="0" w:line="246"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 *</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Incorporated by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25812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right="200"/>
        <w:spacing w:after="0"/>
        <w:rPr>
          <w:sz w:val="20"/>
          <w:szCs w:val="20"/>
          <w:color w:val="auto"/>
        </w:rPr>
      </w:pPr>
      <w:r>
        <w:rPr>
          <w:rFonts w:ascii="Arial" w:cs="Arial" w:eastAsia="Arial" w:hAnsi="Arial"/>
          <w:sz w:val="18"/>
          <w:szCs w:val="18"/>
          <w:color w:val="auto"/>
        </w:rPr>
        <w:t>Exhibit 2.1 to EZCORP’s Registration Statement on Form S-3 filed November 14, 2008 (File No. 333-155394).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Exhibit 10.1 to EZCORP’s Registration Statement on Form S-3 filed November 14, 2008 (File No. 333-155394).</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Exhibit 10.2 to EZCORP’s Registration Statement on Form S-3 filed November 14, 2008 (File No. 333-155394).</w:t>
      </w:r>
    </w:p>
    <w:p>
      <w:pPr>
        <w:spacing w:after="0" w:line="200" w:lineRule="exact"/>
        <w:rPr>
          <w:sz w:val="20"/>
          <w:szCs w:val="20"/>
          <w:color w:val="auto"/>
        </w:rPr>
      </w:pPr>
    </w:p>
    <w:p>
      <w:pPr>
        <w:spacing w:after="0" w:line="3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Exhibit 10.3 to EZCORP’s Registration Statement on Form S-3 filed November 14, 2008 (File No. 333-155394).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Registrant’s Form 8-K dated September 29, 2008 and filed September 30, 2008 (File No. 0-19424).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2">
            <w:col w:w="6640" w:space="720"/>
            <w:col w:w="4040"/>
          </w:cols>
          <w:pgMar w:left="240" w:top="41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4"/>
                <w:szCs w:val="14"/>
                <w:color w:val="auto"/>
              </w:rPr>
            </w:pPr>
          </w:p>
        </w:tc>
        <w:tc>
          <w:tcPr>
            <w:tcW w:w="5200" w:type="dxa"/>
            <w:vAlign w:val="bottom"/>
            <w:tcBorders>
              <w:bottom w:val="single" w:sz="8" w:color="auto"/>
            </w:tcBorders>
          </w:tcPr>
          <w:p>
            <w:pPr>
              <w:ind w:left="2240"/>
              <w:spacing w:after="0"/>
              <w:rPr>
                <w:sz w:val="20"/>
                <w:szCs w:val="20"/>
                <w:color w:val="auto"/>
              </w:rPr>
            </w:pPr>
            <w:r>
              <w:rPr>
                <w:rFonts w:ascii="Arial" w:cs="Arial" w:eastAsia="Arial" w:hAnsi="Arial"/>
                <w:sz w:val="14"/>
                <w:szCs w:val="14"/>
                <w:color w:val="auto"/>
              </w:rPr>
              <w:t>Description</w:t>
            </w:r>
          </w:p>
        </w:tc>
        <w:tc>
          <w:tcPr>
            <w:tcW w:w="1540" w:type="dxa"/>
            <w:vAlign w:val="bottom"/>
          </w:tcPr>
          <w:p>
            <w:pPr>
              <w:spacing w:after="0"/>
              <w:rPr>
                <w:sz w:val="14"/>
                <w:szCs w:val="14"/>
                <w:color w:val="auto"/>
              </w:rPr>
            </w:pPr>
          </w:p>
        </w:tc>
      </w:tr>
      <w:tr>
        <w:trPr>
          <w:trHeight w:val="398"/>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w:t>
            </w:r>
          </w:p>
        </w:tc>
        <w:tc>
          <w:tcPr>
            <w:tcW w:w="1540" w:type="dxa"/>
            <w:vAlign w:val="bottom"/>
          </w:tcPr>
          <w:p>
            <w:pPr>
              <w:ind w:left="1240"/>
              <w:spacing w:after="0"/>
              <w:rPr>
                <w:sz w:val="20"/>
                <w:szCs w:val="20"/>
                <w:color w:val="auto"/>
              </w:rPr>
            </w:pPr>
            <w:r>
              <w:rPr>
                <w:rFonts w:ascii="Arial" w:cs="Arial" w:eastAsia="Arial" w:hAnsi="Arial"/>
                <w:sz w:val="18"/>
                <w:szCs w:val="18"/>
                <w:color w:val="auto"/>
                <w:w w:val="93"/>
              </w:rPr>
              <w:t>N/A</w:t>
            </w:r>
          </w:p>
        </w:tc>
      </w:tr>
      <w:tr>
        <w:trPr>
          <w:trHeight w:val="217"/>
        </w:trPr>
        <w:tc>
          <w:tcPr>
            <w:tcW w:w="580" w:type="dxa"/>
            <w:vAlign w:val="bottom"/>
          </w:tcPr>
          <w:p>
            <w:pPr>
              <w:spacing w:after="0"/>
              <w:rPr>
                <w:sz w:val="18"/>
                <w:szCs w:val="18"/>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the Sarbanes-Oxley Act of 2002. *</w:t>
            </w: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1" w:lineRule="exact"/>
        <w:rPr>
          <w:sz w:val="20"/>
          <w:szCs w:val="20"/>
          <w:color w:val="auto"/>
        </w:rPr>
      </w:pPr>
    </w:p>
    <w:p>
      <w:pPr>
        <w:ind w:left="5560" w:right="580" w:hanging="5552"/>
        <w:spacing w:after="0" w:line="475" w:lineRule="auto"/>
        <w:tabs>
          <w:tab w:leader="none" w:pos="4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w:t>
      </w:r>
      <w:r>
        <w:rPr>
          <w:rFonts w:ascii="Arial" w:cs="Arial" w:eastAsia="Arial" w:hAnsi="Arial"/>
          <w:sz w:val="18"/>
          <w:szCs w:val="18"/>
          <w:b w:val="1"/>
          <w:bCs w:val="1"/>
          <w:color w:val="auto"/>
        </w:rPr>
        <w:t>.</w:t>
      </w:r>
      <w:r>
        <w:rPr>
          <w:rFonts w:ascii="Arial" w:cs="Arial" w:eastAsia="Arial" w:hAnsi="Arial"/>
          <w:sz w:val="18"/>
          <w:szCs w:val="18"/>
          <w:color w:val="auto"/>
        </w:rPr>
        <w:t xml:space="preserve"> 117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Incorporated by</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-1905</wp:posOffset>
            </wp:positionV>
            <wp:extent cx="25812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ectPr>
          <w:pgSz w:w="11900" w:h="16838" w:orient="portrait"/>
          <w:cols w:equalWidth="0" w:num="2">
            <w:col w:w="8160" w:space="720"/>
            <w:col w:w="1339"/>
          </w:cols>
          <w:pgMar w:left="240" w:top="419" w:right="1440" w:bottom="1440" w:gutter="0" w:footer="0" w:header="0"/>
        </w:sectPr>
      </w:pPr>
    </w:p>
    <w:bookmarkStart w:id="118" w:name="page119"/>
    <w:bookmarkEnd w:id="118"/>
    <w:p>
      <w:pPr>
        <w:ind w:left="5260"/>
        <w:spacing w:after="0"/>
        <w:rPr>
          <w:sz w:val="20"/>
          <w:szCs w:val="20"/>
          <w:color w:val="auto"/>
        </w:rPr>
      </w:pPr>
      <w:r>
        <w:rPr>
          <w:rFonts w:ascii="Arial" w:cs="Arial" w:eastAsia="Arial" w:hAnsi="Arial"/>
          <w:sz w:val="18"/>
          <w:szCs w:val="18"/>
          <w:b w:val="1"/>
          <w:bCs w:val="1"/>
          <w:color w:val="auto"/>
        </w:rPr>
        <w:t>Exhibit 3.2</w:t>
      </w:r>
    </w:p>
    <w:p>
      <w:pPr>
        <w:spacing w:after="0" w:line="12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CONFORMED</w:t>
      </w:r>
    </w:p>
    <w:p>
      <w:pPr>
        <w:jc w:val="center"/>
        <w:ind w:right="-19"/>
        <w:spacing w:after="0" w:line="234" w:lineRule="auto"/>
        <w:rPr>
          <w:sz w:val="20"/>
          <w:szCs w:val="20"/>
          <w:color w:val="auto"/>
        </w:rPr>
      </w:pPr>
      <w:r>
        <w:rPr>
          <w:rFonts w:ascii="Arial" w:cs="Arial" w:eastAsia="Arial" w:hAnsi="Arial"/>
          <w:sz w:val="18"/>
          <w:szCs w:val="18"/>
          <w:color w:val="auto"/>
        </w:rPr>
        <w:t>BY-LAWS</w:t>
      </w:r>
    </w:p>
    <w:p>
      <w:pPr>
        <w:jc w:val="center"/>
        <w:ind w:right="-19"/>
        <w:spacing w:after="0" w:line="235" w:lineRule="auto"/>
        <w:rPr>
          <w:sz w:val="20"/>
          <w:szCs w:val="20"/>
          <w:color w:val="auto"/>
        </w:rPr>
      </w:pPr>
      <w:r>
        <w:rPr>
          <w:rFonts w:ascii="Arial" w:cs="Arial" w:eastAsia="Arial" w:hAnsi="Arial"/>
          <w:sz w:val="18"/>
          <w:szCs w:val="18"/>
          <w:color w:val="auto"/>
        </w:rPr>
        <w:t>OF</w:t>
      </w:r>
    </w:p>
    <w:p>
      <w:pPr>
        <w:jc w:val="center"/>
        <w:ind w:right="-19"/>
        <w:spacing w:after="0" w:line="235" w:lineRule="auto"/>
        <w:rPr>
          <w:sz w:val="20"/>
          <w:szCs w:val="20"/>
          <w:color w:val="auto"/>
        </w:rPr>
      </w:pPr>
      <w:r>
        <w:rPr>
          <w:rFonts w:ascii="Arial" w:cs="Arial" w:eastAsia="Arial" w:hAnsi="Arial"/>
          <w:sz w:val="18"/>
          <w:szCs w:val="18"/>
          <w:color w:val="auto"/>
        </w:rPr>
        <w:t>EZCORP, INC.</w:t>
      </w:r>
    </w:p>
    <w:p>
      <w:pPr>
        <w:jc w:val="center"/>
        <w:ind w:right="-19"/>
        <w:spacing w:after="0" w:line="235" w:lineRule="auto"/>
        <w:rPr>
          <w:sz w:val="20"/>
          <w:szCs w:val="20"/>
          <w:color w:val="auto"/>
        </w:rPr>
      </w:pPr>
      <w:r>
        <w:rPr>
          <w:rFonts w:ascii="Arial" w:cs="Arial" w:eastAsia="Arial" w:hAnsi="Arial"/>
          <w:sz w:val="18"/>
          <w:szCs w:val="18"/>
          <w:color w:val="auto"/>
        </w:rPr>
        <w:t>A Delaware Corporation</w:t>
      </w:r>
    </w:p>
    <w:p>
      <w:pPr>
        <w:jc w:val="center"/>
        <w:ind w:right="-19"/>
        <w:spacing w:after="0"/>
        <w:rPr>
          <w:sz w:val="20"/>
          <w:szCs w:val="20"/>
          <w:color w:val="auto"/>
        </w:rPr>
      </w:pPr>
      <w:r>
        <w:rPr>
          <w:rFonts w:ascii="Arial" w:cs="Arial" w:eastAsia="Arial" w:hAnsi="Arial"/>
          <w:sz w:val="18"/>
          <w:szCs w:val="18"/>
          <w:color w:val="auto"/>
        </w:rPr>
        <w:t>With All Amendments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PREAMBLE</w:t>
      </w:r>
    </w:p>
    <w:p>
      <w:pPr>
        <w:spacing w:after="0" w:line="104" w:lineRule="exact"/>
        <w:rPr>
          <w:sz w:val="20"/>
          <w:szCs w:val="20"/>
          <w:color w:val="auto"/>
        </w:rPr>
      </w:pPr>
    </w:p>
    <w:p>
      <w:pPr>
        <w:ind w:firstLine="247"/>
        <w:spacing w:after="0" w:line="238" w:lineRule="auto"/>
        <w:rPr>
          <w:sz w:val="20"/>
          <w:szCs w:val="20"/>
          <w:color w:val="auto"/>
        </w:rPr>
      </w:pPr>
      <w:r>
        <w:rPr>
          <w:rFonts w:ascii="Arial" w:cs="Arial" w:eastAsia="Arial" w:hAnsi="Arial"/>
          <w:sz w:val="18"/>
          <w:szCs w:val="18"/>
          <w:color w:val="auto"/>
        </w:rPr>
        <w:t>These by-laws are subject to, and governed by, the General Corporation Law of the State of Delaware (the “Delaware General Corporation Law”) and the certificate of incorporation of EZCORP, INC.,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ONE: OFFICES</w:t>
      </w:r>
    </w:p>
    <w:p>
      <w:pPr>
        <w:spacing w:after="0" w:line="104" w:lineRule="exact"/>
        <w:rPr>
          <w:sz w:val="20"/>
          <w:szCs w:val="20"/>
          <w:color w:val="auto"/>
        </w:rPr>
      </w:pPr>
    </w:p>
    <w:p>
      <w:pPr>
        <w:ind w:right="200" w:firstLine="250"/>
        <w:spacing w:after="0" w:line="24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 and Agent</w:t>
      </w:r>
      <w:r>
        <w:rPr>
          <w:rFonts w:ascii="Arial" w:cs="Arial" w:eastAsia="Arial" w:hAnsi="Arial"/>
          <w:sz w:val="18"/>
          <w:szCs w:val="18"/>
          <w:color w:val="auto"/>
        </w:rPr>
        <w:t>. The registered office and registered agent of the Corporation shall be as designated from time to time by the appropriate filing by the Corporation in the office of the Secretary of State of the State of Delaware.</w:t>
      </w:r>
    </w:p>
    <w:p>
      <w:pPr>
        <w:spacing w:after="0" w:line="89" w:lineRule="exact"/>
        <w:rPr>
          <w:sz w:val="20"/>
          <w:szCs w:val="20"/>
          <w:color w:val="auto"/>
        </w:rPr>
      </w:pPr>
    </w:p>
    <w:p>
      <w:pPr>
        <w:ind w:right="160" w:firstLine="250"/>
        <w:spacing w:after="0" w:line="24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as the business of the Corporation may require.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TWO: MEETINGS OF STOCKHOLDERS</w:t>
      </w:r>
    </w:p>
    <w:p>
      <w:pPr>
        <w:spacing w:after="0" w:line="104"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94" w:lineRule="exact"/>
        <w:rPr>
          <w:sz w:val="20"/>
          <w:szCs w:val="20"/>
          <w:color w:val="auto"/>
        </w:rPr>
      </w:pPr>
    </w:p>
    <w:p>
      <w:pPr>
        <w:ind w:right="240" w:firstLine="250"/>
        <w:spacing w:after="0" w:line="23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spacing w:after="0" w:line="97" w:lineRule="exact"/>
        <w:rPr>
          <w:sz w:val="20"/>
          <w:szCs w:val="20"/>
          <w:color w:val="auto"/>
        </w:rPr>
      </w:pPr>
    </w:p>
    <w:p>
      <w:pPr>
        <w:ind w:right="220" w:firstLine="250"/>
        <w:spacing w:after="0" w:line="23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spacing w:after="0" w:line="94" w:lineRule="exact"/>
        <w:rPr>
          <w:sz w:val="20"/>
          <w:szCs w:val="20"/>
          <w:color w:val="auto"/>
        </w:rPr>
      </w:pPr>
    </w:p>
    <w:p>
      <w:pPr>
        <w:ind w:right="200" w:firstLine="250"/>
        <w:spacing w:after="0" w:line="23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w:t>
      </w:r>
      <w:r>
        <w:rPr>
          <w:rFonts w:ascii="Arial" w:cs="Arial" w:eastAsia="Arial" w:hAnsi="Arial"/>
          <w:sz w:val="18"/>
          <w:szCs w:val="18"/>
          <w:color w:val="auto"/>
        </w:rPr>
        <w:t>. Written or printed notice stating the place, day, and time of each meeting of the stockholders and, in case of a special meeting, the purpose or purposes for which the meeting is called shall be delivered 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9" w:name="page120"/>
    <w:bookmarkEnd w:id="119"/>
    <w:p>
      <w:pPr>
        <w:ind w:right="60"/>
        <w:spacing w:after="0" w:line="238" w:lineRule="auto"/>
        <w:rPr>
          <w:sz w:val="20"/>
          <w:szCs w:val="20"/>
          <w:color w:val="auto"/>
        </w:rPr>
      </w:pPr>
      <w:r>
        <w:rPr>
          <w:rFonts w:ascii="Arial" w:cs="Arial" w:eastAsia="Arial" w:hAnsi="Arial"/>
          <w:sz w:val="18"/>
          <w:szCs w:val="18"/>
          <w:color w:val="auto"/>
        </w:rPr>
        <w:t>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spacing w:after="0" w:line="95" w:lineRule="exact"/>
        <w:rPr>
          <w:sz w:val="20"/>
          <w:szCs w:val="20"/>
          <w:color w:val="auto"/>
        </w:rPr>
      </w:pPr>
    </w:p>
    <w:p>
      <w:pPr>
        <w:ind w:right="80" w:firstLine="250"/>
        <w:spacing w:after="0" w:line="23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Voting List</w:t>
      </w:r>
      <w:r>
        <w:rPr>
          <w:rFonts w:ascii="Arial" w:cs="Arial" w:eastAsia="Arial" w:hAnsi="Arial"/>
          <w:sz w:val="18"/>
          <w:szCs w:val="18"/>
          <w:color w:val="auto"/>
        </w:rPr>
        <w: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spacing w:after="0" w:line="100"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Quorum</w:t>
      </w:r>
      <w:r>
        <w:rPr>
          <w:rFonts w:ascii="Arial" w:cs="Arial" w:eastAsia="Arial" w:hAnsi="Arial"/>
          <w:sz w:val="18"/>
          <w:szCs w:val="18"/>
          <w:color w:val="auto"/>
        </w:rPr>
        <w:t>.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99"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Required Vote; Withdrawal of Quorum</w:t>
      </w:r>
      <w:r>
        <w:rPr>
          <w:rFonts w:ascii="Arial" w:cs="Arial" w:eastAsia="Arial" w:hAnsi="Arial"/>
          <w:sz w:val="18"/>
          <w:szCs w:val="18"/>
          <w:color w:val="auto"/>
        </w:rPr>
        <w:t>.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97"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Method of Voting; Proxies</w:t>
      </w:r>
      <w:r>
        <w:rPr>
          <w:rFonts w:ascii="Arial" w:cs="Arial" w:eastAsia="Arial" w:hAnsi="Arial"/>
          <w:sz w:val="18"/>
          <w:szCs w:val="18"/>
          <w:color w:val="auto"/>
        </w:rPr>
        <w:t>.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pacing w:after="0" w:line="100"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Record Date</w:t>
      </w:r>
      <w:r>
        <w:rPr>
          <w:rFonts w:ascii="Arial" w:cs="Arial" w:eastAsia="Arial" w:hAnsi="Arial"/>
          <w:sz w:val="18"/>
          <w:szCs w:val="18"/>
          <w:color w:val="auto"/>
        </w:rPr>
        <w:t>. (a)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0" w:name="page121"/>
    <w:bookmarkEnd w:id="120"/>
    <w:p>
      <w:pPr>
        <w:ind w:right="300"/>
        <w:spacing w:after="0" w:line="246" w:lineRule="auto"/>
        <w:rPr>
          <w:sz w:val="20"/>
          <w:szCs w:val="20"/>
          <w:color w:val="auto"/>
        </w:rPr>
      </w:pPr>
      <w:r>
        <w:rPr>
          <w:rFonts w:ascii="Arial" w:cs="Arial" w:eastAsia="Arial" w:hAnsi="Arial"/>
          <w:sz w:val="18"/>
          <w:szCs w:val="18"/>
          <w:color w:val="auto"/>
        </w:rPr>
        <w:t>directors, for any such determination of stockholders, such date in any case to be not more than 60 days and not less than ten days prior to such meeting nor more than 60 days prior to any other action. If no record date is fixed:</w:t>
      </w:r>
    </w:p>
    <w:p>
      <w:pPr>
        <w:spacing w:after="0" w:line="89" w:lineRule="exact"/>
        <w:rPr>
          <w:sz w:val="20"/>
          <w:szCs w:val="20"/>
          <w:color w:val="auto"/>
        </w:rPr>
      </w:pPr>
    </w:p>
    <w:p>
      <w:pPr>
        <w:ind w:left="240" w:right="100" w:firstLine="746"/>
        <w:spacing w:after="0"/>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94" w:lineRule="exact"/>
        <w:rPr>
          <w:rFonts w:ascii="Arial" w:cs="Arial" w:eastAsia="Arial" w:hAnsi="Arial"/>
          <w:sz w:val="18"/>
          <w:szCs w:val="18"/>
          <w:color w:val="auto"/>
        </w:rPr>
      </w:pPr>
    </w:p>
    <w:p>
      <w:pPr>
        <w:ind w:left="240" w:right="240" w:firstLine="746"/>
        <w:spacing w:after="0" w:line="246" w:lineRule="auto"/>
        <w:tabs>
          <w:tab w:leader="none" w:pos="12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88" w:lineRule="exact"/>
        <w:rPr>
          <w:rFonts w:ascii="Arial" w:cs="Arial" w:eastAsia="Arial" w:hAnsi="Arial"/>
          <w:sz w:val="18"/>
          <w:szCs w:val="18"/>
          <w:color w:val="auto"/>
        </w:rPr>
      </w:pPr>
    </w:p>
    <w:p>
      <w:pPr>
        <w:ind w:left="240" w:right="720" w:firstLine="746"/>
        <w:spacing w:after="0" w:line="275" w:lineRule="auto"/>
        <w:tabs>
          <w:tab w:leader="none" w:pos="12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65" w:lineRule="exact"/>
        <w:rPr>
          <w:rFonts w:ascii="Arial" w:cs="Arial" w:eastAsia="Arial" w:hAnsi="Arial"/>
          <w:sz w:val="17"/>
          <w:szCs w:val="17"/>
          <w:color w:val="auto"/>
        </w:rPr>
      </w:pPr>
    </w:p>
    <w:p>
      <w:pPr>
        <w:ind w:firstLine="508"/>
        <w:spacing w:after="0" w:line="236" w:lineRule="auto"/>
        <w:tabs>
          <w:tab w:leader="none" w:pos="7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spacing w:after="0" w:line="97" w:lineRule="exact"/>
        <w:rPr>
          <w:sz w:val="20"/>
          <w:szCs w:val="20"/>
          <w:color w:val="auto"/>
        </w:rPr>
      </w:pPr>
    </w:p>
    <w:p>
      <w:pPr>
        <w:jc w:val="both"/>
        <w:ind w:right="200" w:firstLine="250"/>
        <w:spacing w:after="0" w:line="23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Conduct of Meeting</w:t>
      </w:r>
      <w:r>
        <w:rPr>
          <w:rFonts w:ascii="Arial" w:cs="Arial" w:eastAsia="Arial" w:hAnsi="Arial"/>
          <w:sz w:val="18"/>
          <w:szCs w:val="18"/>
          <w:color w:val="auto"/>
        </w:rPr>
        <w:t>.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spacing w:after="0" w:line="94"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color w:val="auto"/>
        </w:rPr>
        <w:t>ARTICLE THREE: DIRECTORS</w:t>
      </w:r>
    </w:p>
    <w:p>
      <w:pPr>
        <w:spacing w:after="0" w:line="104" w:lineRule="exact"/>
        <w:rPr>
          <w:sz w:val="20"/>
          <w:szCs w:val="20"/>
          <w:color w:val="auto"/>
        </w:rPr>
      </w:pPr>
    </w:p>
    <w:p>
      <w:pPr>
        <w:ind w:right="200" w:firstLine="25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Management</w:t>
      </w:r>
      <w:r>
        <w:rPr>
          <w:rFonts w:ascii="Arial" w:cs="Arial" w:eastAsia="Arial" w:hAnsi="Arial"/>
          <w:sz w:val="18"/>
          <w:szCs w:val="18"/>
          <w:color w:val="auto"/>
        </w:rPr>
        <w: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spacing w:after="0" w:line="95"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Number; Qualification; Election; Term</w:t>
      </w:r>
      <w:r>
        <w:rPr>
          <w:rFonts w:ascii="Arial" w:cs="Arial" w:eastAsia="Arial" w:hAnsi="Arial"/>
          <w:sz w:val="18"/>
          <w:szCs w:val="18"/>
          <w:color w:val="auto"/>
        </w:rPr>
        <w:t>.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spacing w:after="0" w:line="98" w:lineRule="exact"/>
        <w:rPr>
          <w:sz w:val="20"/>
          <w:szCs w:val="20"/>
          <w:color w:val="auto"/>
        </w:rPr>
      </w:pPr>
    </w:p>
    <w:p>
      <w:pPr>
        <w:ind w:right="140" w:firstLine="250"/>
        <w:spacing w:after="0" w:line="24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in Number</w:t>
      </w:r>
      <w:r>
        <w:rPr>
          <w:rFonts w:ascii="Arial" w:cs="Arial" w:eastAsia="Arial" w:hAnsi="Arial"/>
          <w:sz w:val="18"/>
          <w:szCs w:val="18"/>
          <w:color w:val="auto"/>
        </w:rPr>
        <w:t>. No decrease in the number of directors constituting the entire board of directors shall have the effect of shortening the term of any incumbent director.</w:t>
      </w:r>
    </w:p>
    <w:p>
      <w:pPr>
        <w:spacing w:after="0" w:line="89"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in the certificate of incorporation of the Corporation or these by-laws, at any meeting of stockholders called expressly for that purpose, any director or the entire board of directors may be removed, with or 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spacing w:after="0" w:line="97"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97" w:lineRule="exact"/>
        <w:rPr>
          <w:sz w:val="20"/>
          <w:szCs w:val="20"/>
          <w:color w:val="auto"/>
        </w:rPr>
      </w:pPr>
    </w:p>
    <w:p>
      <w:pPr>
        <w:jc w:val="both"/>
        <w:ind w:right="120" w:firstLine="25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Meetings of Directors</w:t>
      </w:r>
      <w:r>
        <w:rPr>
          <w:rFonts w:ascii="Arial" w:cs="Arial" w:eastAsia="Arial" w:hAnsi="Arial"/>
          <w:sz w:val="18"/>
          <w:szCs w:val="18"/>
          <w:color w:val="auto"/>
        </w:rPr>
        <w:t>.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22" w:name="page123"/>
    <w:bookmarkEnd w:id="122"/>
    <w:p>
      <w:pPr>
        <w:ind w:right="380" w:firstLine="25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First Meeting</w:t>
      </w:r>
      <w:r>
        <w:rPr>
          <w:rFonts w:ascii="Arial" w:cs="Arial" w:eastAsia="Arial" w:hAnsi="Arial"/>
          <w:sz w:val="18"/>
          <w:szCs w:val="18"/>
          <w:color w:val="auto"/>
        </w:rPr>
        <w:t>. Each newly 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95" w:lineRule="exact"/>
        <w:rPr>
          <w:sz w:val="20"/>
          <w:szCs w:val="20"/>
          <w:color w:val="auto"/>
        </w:rPr>
      </w:pPr>
    </w:p>
    <w:p>
      <w:pPr>
        <w:ind w:right="200" w:firstLine="250"/>
        <w:spacing w:after="0" w:line="24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At the first meeting of the board of directors after each annual meeting of stockholders at which a quorum shall be present, the board of directors shall elect the officers of the Corporation.</w:t>
      </w:r>
    </w:p>
    <w:p>
      <w:pPr>
        <w:spacing w:after="0" w:line="89" w:lineRule="exact"/>
        <w:rPr>
          <w:sz w:val="20"/>
          <w:szCs w:val="20"/>
          <w:color w:val="auto"/>
        </w:rPr>
      </w:pPr>
    </w:p>
    <w:p>
      <w:pPr>
        <w:ind w:right="40" w:firstLine="250"/>
        <w:spacing w:after="0" w:line="246"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shall be held at such times and places as shall be designated from time to time by resolution of the board of directors. Notice of such regular meetings shall not be required.</w:t>
      </w:r>
    </w:p>
    <w:p>
      <w:pPr>
        <w:spacing w:after="0" w:line="89" w:lineRule="exact"/>
        <w:rPr>
          <w:sz w:val="20"/>
          <w:szCs w:val="20"/>
          <w:color w:val="auto"/>
        </w:rPr>
      </w:pPr>
    </w:p>
    <w:p>
      <w:pPr>
        <w:ind w:right="780" w:firstLine="250"/>
        <w:spacing w:after="0" w:line="24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shall be held whenever called by the Chairman of the Board, the President, or any director.</w:t>
      </w:r>
    </w:p>
    <w:p>
      <w:pPr>
        <w:spacing w:after="0" w:line="89"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Notice</w:t>
      </w:r>
      <w:r>
        <w:rPr>
          <w:rFonts w:ascii="Arial" w:cs="Arial" w:eastAsia="Arial" w:hAnsi="Arial"/>
          <w:sz w:val="18"/>
          <w:szCs w:val="18"/>
          <w:color w:val="auto"/>
        </w:rPr>
        <w:t>.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spacing w:after="0" w:line="94"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Quorum; Majority Vote</w:t>
      </w:r>
      <w:r>
        <w:rPr>
          <w:rFonts w:ascii="Arial" w:cs="Arial" w:eastAsia="Arial" w:hAnsi="Arial"/>
          <w:sz w:val="18"/>
          <w:szCs w:val="18"/>
          <w:color w:val="auto"/>
        </w:rPr>
        <w:t>. At all meetings of the board of directors, a majority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of the Corporation, or these by-laws, the act of a majority of the directors present at a meeting at which a quorum is in attendance shall be the act of the board of directors. At any time that the certificate of incorporation of the Corporation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100" w:lineRule="exact"/>
        <w:rPr>
          <w:sz w:val="20"/>
          <w:szCs w:val="20"/>
          <w:color w:val="auto"/>
        </w:rPr>
      </w:pPr>
    </w:p>
    <w:p>
      <w:pPr>
        <w:ind w:right="20" w:firstLine="250"/>
        <w:spacing w:after="0" w:line="23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Procedure</w:t>
      </w:r>
      <w:r>
        <w:rPr>
          <w:rFonts w:ascii="Arial" w:cs="Arial" w:eastAsia="Arial" w:hAnsi="Arial"/>
          <w:sz w:val="18"/>
          <w:szCs w:val="18"/>
          <w:color w:val="auto"/>
        </w:rPr>
        <w:t>.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spacing w:after="0" w:line="97" w:lineRule="exact"/>
        <w:rPr>
          <w:sz w:val="20"/>
          <w:szCs w:val="20"/>
          <w:color w:val="auto"/>
        </w:rPr>
      </w:pPr>
    </w:p>
    <w:p>
      <w:pPr>
        <w:ind w:right="60" w:firstLine="250"/>
        <w:spacing w:after="0" w:line="23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95"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shall have the authority to fix the compensation, including fees and reimbursement of expenses, paid to directors for attendance at regular or special meetings of the board of directors or any committee thereof; provided, that nothing contained herein shall be construed to preclude any director from serving the Corporation in any other capacity or receiving compensation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color w:val="auto"/>
        </w:rPr>
        <w:t>ARTICLE FOUR: COMMITTEES</w:t>
      </w:r>
    </w:p>
    <w:p>
      <w:pPr>
        <w:spacing w:after="0" w:line="104" w:lineRule="exact"/>
        <w:rPr>
          <w:sz w:val="20"/>
          <w:szCs w:val="20"/>
          <w:color w:val="auto"/>
        </w:rPr>
      </w:pPr>
    </w:p>
    <w:p>
      <w:pPr>
        <w:ind w:right="420" w:firstLine="250"/>
        <w:spacing w:after="0" w:line="24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Designation</w:t>
      </w:r>
      <w:r>
        <w:rPr>
          <w:rFonts w:ascii="Arial" w:cs="Arial" w:eastAsia="Arial" w:hAnsi="Arial"/>
          <w:sz w:val="18"/>
          <w:szCs w:val="18"/>
          <w:color w:val="auto"/>
        </w:rPr>
        <w:t>. The board of directors may, by resolution adopted by a majority of the entire board of directors, designate one or more committees.</w:t>
      </w:r>
    </w:p>
    <w:p>
      <w:pPr>
        <w:spacing w:after="0" w:line="89" w:lineRule="exact"/>
        <w:rPr>
          <w:sz w:val="20"/>
          <w:szCs w:val="20"/>
          <w:color w:val="auto"/>
        </w:rPr>
      </w:pPr>
    </w:p>
    <w:p>
      <w:pPr>
        <w:ind w:right="60" w:firstLine="250"/>
        <w:spacing w:after="0" w:line="23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Number; Qualification; Term</w:t>
      </w:r>
      <w:r>
        <w:rPr>
          <w:rFonts w:ascii="Arial" w:cs="Arial" w:eastAsia="Arial" w:hAnsi="Arial"/>
          <w:sz w:val="18"/>
          <w:szCs w:val="18"/>
          <w:color w:val="auto"/>
        </w:rPr>
        <w:t>.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spacing w:after="0" w:line="94" w:lineRule="exact"/>
        <w:rPr>
          <w:sz w:val="20"/>
          <w:szCs w:val="20"/>
          <w:color w:val="auto"/>
        </w:rPr>
      </w:pPr>
    </w:p>
    <w:p>
      <w:pPr>
        <w:jc w:val="both"/>
        <w:ind w:right="120" w:firstLine="25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w:t>
      </w:r>
      <w:r>
        <w:rPr>
          <w:rFonts w:ascii="Arial" w:cs="Arial" w:eastAsia="Arial" w:hAnsi="Arial"/>
          <w:sz w:val="18"/>
          <w:szCs w:val="18"/>
          <w:color w:val="auto"/>
        </w:rPr>
        <w:t>.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spacing w:after="0" w:line="95" w:lineRule="exact"/>
        <w:rPr>
          <w:sz w:val="20"/>
          <w:szCs w:val="20"/>
          <w:color w:val="auto"/>
        </w:rPr>
      </w:pPr>
    </w:p>
    <w:p>
      <w:pPr>
        <w:ind w:right="240" w:firstLine="250"/>
        <w:spacing w:after="0" w:line="24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Committee Changes</w:t>
      </w:r>
      <w:r>
        <w:rPr>
          <w:rFonts w:ascii="Arial" w:cs="Arial" w:eastAsia="Arial" w:hAnsi="Arial"/>
          <w:sz w:val="18"/>
          <w:szCs w:val="18"/>
          <w:color w:val="auto"/>
        </w:rPr>
        <w:t>. The board of directors shall have the power at any time to fill vacancies in, to change the membership of, and to discharge any committee.</w:t>
      </w:r>
    </w:p>
    <w:p>
      <w:pPr>
        <w:spacing w:after="0" w:line="89" w:lineRule="exact"/>
        <w:rPr>
          <w:sz w:val="20"/>
          <w:szCs w:val="20"/>
          <w:color w:val="auto"/>
        </w:rPr>
      </w:pPr>
    </w:p>
    <w:p>
      <w:pPr>
        <w:ind w:right="20" w:firstLine="250"/>
        <w:spacing w:after="0" w:line="23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Alternate Members of Committees</w:t>
      </w:r>
      <w:r>
        <w:rPr>
          <w:rFonts w:ascii="Arial" w:cs="Arial" w:eastAsia="Arial" w:hAnsi="Arial"/>
          <w:sz w:val="18"/>
          <w:szCs w:val="18"/>
          <w:color w:val="auto"/>
        </w:rPr>
        <w:t>.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95"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any committee may be held without notice at such time and place as may be designated from time to time by the committee and communicated to all members thereof.</w:t>
      </w:r>
    </w:p>
    <w:p>
      <w:pPr>
        <w:spacing w:after="0" w:line="89"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94" w:lineRule="exact"/>
        <w:rPr>
          <w:sz w:val="20"/>
          <w:szCs w:val="20"/>
          <w:color w:val="auto"/>
        </w:rPr>
      </w:pPr>
    </w:p>
    <w:p>
      <w:pPr>
        <w:ind w:right="80" w:firstLine="250"/>
        <w:spacing w:after="0" w:line="23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Ouorum; Majority Vote</w:t>
      </w:r>
      <w:r>
        <w:rPr>
          <w:rFonts w:ascii="Arial" w:cs="Arial" w:eastAsia="Arial" w:hAnsi="Arial"/>
          <w:sz w:val="18"/>
          <w:szCs w:val="18"/>
          <w:color w:val="auto"/>
        </w:rPr>
        <w:t>.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spacing w:after="0" w:line="95" w:lineRule="exact"/>
        <w:rPr>
          <w:sz w:val="20"/>
          <w:szCs w:val="20"/>
          <w:color w:val="auto"/>
        </w:rPr>
      </w:pPr>
    </w:p>
    <w:p>
      <w:pPr>
        <w:ind w:right="40" w:firstLine="25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Minutes</w:t>
      </w:r>
      <w:r>
        <w:rPr>
          <w:rFonts w:ascii="Arial" w:cs="Arial" w:eastAsia="Arial" w:hAnsi="Arial"/>
          <w:sz w:val="18"/>
          <w:szCs w:val="18"/>
          <w:color w:val="auto"/>
        </w:rPr>
        <w:t>.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spacing w:after="0" w:line="95"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Compensation</w:t>
      </w:r>
      <w:r>
        <w:rPr>
          <w:rFonts w:ascii="Arial" w:cs="Arial" w:eastAsia="Arial" w:hAnsi="Arial"/>
          <w:sz w:val="18"/>
          <w:szCs w:val="18"/>
          <w:color w:val="auto"/>
        </w:rPr>
        <w:t>. Committee members may, by resolution of the board of directors, be allowed a fixed sum and expenses of attendance, if any, for attending any committee meetings or a stated salary.</w:t>
      </w:r>
    </w:p>
    <w:p>
      <w:pPr>
        <w:spacing w:after="0" w:line="89" w:lineRule="exact"/>
        <w:rPr>
          <w:sz w:val="20"/>
          <w:szCs w:val="20"/>
          <w:color w:val="auto"/>
        </w:rPr>
      </w:pPr>
    </w:p>
    <w:p>
      <w:pPr>
        <w:ind w:right="120" w:firstLine="250"/>
        <w:spacing w:after="0" w:line="246"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Responsibility</w:t>
      </w:r>
      <w:r>
        <w:rPr>
          <w:rFonts w:ascii="Arial" w:cs="Arial" w:eastAsia="Arial" w:hAnsi="Arial"/>
          <w:sz w:val="18"/>
          <w:szCs w:val="18"/>
          <w:color w:val="auto"/>
        </w:rPr>
        <w:t>. The designation of any committee and the delegation of authority to it shall not operate to relieve the board of directors or any director of any responsibility imposed upon it or such director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color w:val="auto"/>
        </w:rPr>
        <w:t>ARTICLE FIVE: NOTICE</w:t>
      </w:r>
    </w:p>
    <w:p>
      <w:pPr>
        <w:spacing w:after="0" w:line="104" w:lineRule="exact"/>
        <w:rPr>
          <w:sz w:val="20"/>
          <w:szCs w:val="20"/>
          <w:color w:val="auto"/>
        </w:rPr>
      </w:pPr>
    </w:p>
    <w:p>
      <w:pPr>
        <w:ind w:right="120" w:firstLine="250"/>
        <w:spacing w:after="0" w:line="23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Method</w:t>
      </w:r>
      <w:r>
        <w:rPr>
          <w:rFonts w:ascii="Arial" w:cs="Arial" w:eastAsia="Arial" w:hAnsi="Arial"/>
          <w:sz w:val="18"/>
          <w:szCs w:val="18"/>
          <w:color w:val="auto"/>
        </w:rPr>
        <w:t>. Whenever by statute, the certificate of incorporation of the Corporation, or these by-laws, notice is required to be given to any committee member, director, or stockholder and no provision is made as to how such notice shall be given, personal notice shall not be required and 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spacing w:after="0" w:line="99" w:lineRule="exact"/>
        <w:rPr>
          <w:sz w:val="20"/>
          <w:szCs w:val="20"/>
          <w:color w:val="auto"/>
        </w:rPr>
      </w:pPr>
    </w:p>
    <w:p>
      <w:pPr>
        <w:ind w:right="40" w:firstLine="250"/>
        <w:spacing w:after="0" w:line="23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Waiver</w:t>
      </w:r>
      <w:r>
        <w:rPr>
          <w:rFonts w:ascii="Arial" w:cs="Arial" w:eastAsia="Arial" w:hAnsi="Arial"/>
          <w:sz w:val="18"/>
          <w:szCs w:val="18"/>
          <w:color w:val="auto"/>
        </w:rPr>
        <w:t>.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SIX: OFFICERS</w:t>
      </w:r>
    </w:p>
    <w:p>
      <w:pPr>
        <w:spacing w:after="0" w:line="104" w:lineRule="exact"/>
        <w:rPr>
          <w:sz w:val="20"/>
          <w:szCs w:val="20"/>
          <w:color w:val="auto"/>
        </w:rPr>
      </w:pPr>
    </w:p>
    <w:p>
      <w:pPr>
        <w:ind w:right="140" w:firstLine="250"/>
        <w:spacing w:after="0" w:line="23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Number; Titles; Term of Office</w:t>
      </w:r>
      <w:r>
        <w:rPr>
          <w:rFonts w:ascii="Arial" w:cs="Arial" w:eastAsia="Arial" w:hAnsi="Arial"/>
          <w:sz w:val="18"/>
          <w:szCs w:val="18"/>
          <w:color w:val="auto"/>
        </w:rPr>
        <w:t>.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spacing w:after="0" w:line="97" w:lineRule="exact"/>
        <w:rPr>
          <w:sz w:val="20"/>
          <w:szCs w:val="20"/>
          <w:color w:val="auto"/>
        </w:rPr>
      </w:pPr>
    </w:p>
    <w:p>
      <w:pPr>
        <w:ind w:right="80" w:firstLine="25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spacing w:after="0" w:line="95" w:lineRule="exact"/>
        <w:rPr>
          <w:sz w:val="20"/>
          <w:szCs w:val="20"/>
          <w:color w:val="auto"/>
        </w:rPr>
      </w:pPr>
    </w:p>
    <w:p>
      <w:pPr>
        <w:ind w:right="380" w:firstLine="250"/>
        <w:spacing w:after="0" w:line="24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by the board of directors.</w:t>
      </w:r>
    </w:p>
    <w:p>
      <w:pPr>
        <w:spacing w:after="0" w:line="89"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Authority</w:t>
      </w:r>
      <w:r>
        <w:rPr>
          <w:rFonts w:ascii="Arial" w:cs="Arial" w:eastAsia="Arial" w:hAnsi="Arial"/>
          <w:sz w:val="18"/>
          <w:szCs w:val="18"/>
          <w:color w:val="auto"/>
        </w:rPr>
        <w:t>. Officers shall have such authority and perform such duties in the management of the Corporation as are provided in these by-laws or as may be determined by resolution of the board of directors not inconsistent with these by-laws.</w:t>
      </w:r>
    </w:p>
    <w:p>
      <w:pPr>
        <w:spacing w:after="0" w:line="89" w:lineRule="exact"/>
        <w:rPr>
          <w:sz w:val="20"/>
          <w:szCs w:val="20"/>
          <w:color w:val="auto"/>
        </w:rPr>
      </w:pPr>
    </w:p>
    <w:p>
      <w:pPr>
        <w:ind w:right="220" w:firstLine="25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if any, of officers and agents shall be fixed from time to time by the board of directors; provided, however, that the board of directors may delegate the power to determine the compensation of any officer and agent (other than the officer to whom such power is delegated) to the Chairman of the Board or the President.</w:t>
      </w:r>
    </w:p>
    <w:p>
      <w:pPr>
        <w:spacing w:after="0" w:line="95"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elected by the board of directors, shall have such powers and duties as may be prescribed by the board of directors. Such officer shall preside at all meetings of the stockholders and of the board of directors. Such officer may sign all certificates for shares of stock of the Corporation.</w:t>
      </w:r>
    </w:p>
    <w:p>
      <w:pPr>
        <w:spacing w:after="0" w:line="95"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color w:val="auto"/>
        </w:rPr>
        <w:t>6.7 Chief Executive Officer; President. Unless otherwise specified by the board, the Chief Executive Officer shall also be the President of the Corporation. The Chief Executive Officer shall have general executive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25" w:name="page126"/>
    <w:bookmarkEnd w:id="125"/>
    <w:p>
      <w:pPr>
        <w:ind w:right="100"/>
        <w:spacing w:after="0" w:line="237" w:lineRule="auto"/>
        <w:rPr>
          <w:sz w:val="20"/>
          <w:szCs w:val="20"/>
          <w:color w:val="auto"/>
        </w:rPr>
      </w:pPr>
      <w:r>
        <w:rPr>
          <w:rFonts w:ascii="Arial" w:cs="Arial" w:eastAsia="Arial" w:hAnsi="Arial"/>
          <w:sz w:val="18"/>
          <w:szCs w:val="18"/>
          <w:color w:val="auto"/>
        </w:rPr>
        <w:t>management, and control of the properties and operations as may be reasonably incident to such responsibilities. If the office of President is established as an office separate from that of the office of the Chief Executive Officer, the President shall have such duties and responsibilities as are assigned to him by the board of directors, the Chairman of the Board, or the Chief Executive Officer. If the board of directors has not elected a Chairman of the Board, or in the absence or inability to act of the Chairman of the Board, the Chief Executive Officer, or in his absence, the President, shall exercise all of the powers and discharge all of the duties of the Chairman of the Board. As between the Corporation and third parties, any action taken by the Chief Executive Officer in the performance of the duties of the Chairman of the Board shall be conclusive evidence that there is no Chairman of the Board or that the Chairman of the Board is absent or unable to act.</w:t>
      </w:r>
    </w:p>
    <w:p>
      <w:pPr>
        <w:spacing w:after="0" w:line="95" w:lineRule="exact"/>
        <w:rPr>
          <w:sz w:val="20"/>
          <w:szCs w:val="20"/>
          <w:color w:val="auto"/>
        </w:rPr>
      </w:pPr>
    </w:p>
    <w:p>
      <w:pPr>
        <w:ind w:firstLine="250"/>
        <w:spacing w:after="0" w:line="255"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Vice Presidents</w:t>
      </w:r>
      <w:r>
        <w:rPr>
          <w:rFonts w:ascii="Arial" w:cs="Arial" w:eastAsia="Arial" w:hAnsi="Arial"/>
          <w:sz w:val="17"/>
          <w:szCs w:val="17"/>
          <w:color w:val="auto"/>
        </w:rPr>
        <w:t>.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spacing w:after="0" w:line="82" w:lineRule="exact"/>
        <w:rPr>
          <w:sz w:val="20"/>
          <w:szCs w:val="20"/>
          <w:color w:val="auto"/>
        </w:rPr>
      </w:pPr>
    </w:p>
    <w:p>
      <w:pPr>
        <w:ind w:right="200" w:firstLine="250"/>
        <w:spacing w:after="0" w:line="23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spacing w:after="0" w:line="94"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Each Assistant Treasurer shall have such powers and duties as may be assigned to him by the board of directors, the Chairman of the Board, or the President. The (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spacing w:after="0" w:line="94"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Secretary</w:t>
      </w:r>
      <w:r>
        <w:rPr>
          <w:rFonts w:ascii="Arial" w:cs="Arial" w:eastAsia="Arial" w:hAnsi="Arial"/>
          <w:sz w:val="18"/>
          <w:szCs w:val="18"/>
          <w:color w:val="auto"/>
        </w:rPr>
        <w:t>. Except as otherwise provided in these bylaws, the Secretary shall keep the minutes of all meetings of the board of directors and of the stockholders in books provided for 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spacing w:after="0" w:line="95"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6.12 Assistant Secretaries.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 determined by the length of time they have held the office of Assistant Secretary) shall exercise the powers of the Secretary during that officer’s absence or inability to act.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SEVEN: CERTIFICATES AND SHAREHOLDERS</w:t>
      </w:r>
    </w:p>
    <w:p>
      <w:pPr>
        <w:spacing w:after="0" w:line="104" w:lineRule="exact"/>
        <w:rPr>
          <w:sz w:val="20"/>
          <w:szCs w:val="20"/>
          <w:color w:val="auto"/>
        </w:rPr>
      </w:pPr>
    </w:p>
    <w:p>
      <w:pPr>
        <w:ind w:right="200" w:firstLine="250"/>
        <w:spacing w:after="0" w:line="23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6" w:name="page127"/>
    <w:bookmarkEnd w:id="126"/>
    <w:p>
      <w:pPr>
        <w:ind w:right="40"/>
        <w:spacing w:after="0" w:line="246" w:lineRule="auto"/>
        <w:rPr>
          <w:sz w:val="20"/>
          <w:szCs w:val="20"/>
          <w:color w:val="auto"/>
        </w:rPr>
      </w:pPr>
      <w:r>
        <w:rPr>
          <w:rFonts w:ascii="Arial" w:cs="Arial" w:eastAsia="Arial" w:hAnsi="Arial"/>
          <w:sz w:val="18"/>
          <w:szCs w:val="18"/>
          <w:color w:val="auto"/>
        </w:rPr>
        <w:t>registrar at the date of issue. The certificates shall be consecutively numbered and shall be entered in the books of the Corporation as they are issued and shall exhibit the holder’s name and the number of shares.</w:t>
      </w:r>
    </w:p>
    <w:p>
      <w:pPr>
        <w:spacing w:after="0" w:line="89" w:lineRule="exact"/>
        <w:rPr>
          <w:sz w:val="20"/>
          <w:szCs w:val="20"/>
          <w:color w:val="auto"/>
        </w:rPr>
      </w:pPr>
    </w:p>
    <w:p>
      <w:pPr>
        <w:ind w:right="40" w:firstLine="250"/>
        <w:spacing w:after="0" w:line="23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Replacement of Lost or Destroyed Certificates</w:t>
      </w:r>
      <w:r>
        <w:rPr>
          <w:rFonts w:ascii="Arial" w:cs="Arial" w:eastAsia="Arial" w:hAnsi="Arial"/>
          <w:sz w:val="18"/>
          <w:szCs w:val="18"/>
          <w:color w:val="auto"/>
        </w:rPr>
        <w:t>.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00" w:lineRule="exact"/>
        <w:rPr>
          <w:sz w:val="20"/>
          <w:szCs w:val="20"/>
          <w:color w:val="auto"/>
        </w:rPr>
      </w:pPr>
    </w:p>
    <w:p>
      <w:pPr>
        <w:ind w:right="120" w:firstLine="250"/>
        <w:spacing w:after="0" w:line="23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Transfer of Shares</w:t>
      </w:r>
      <w:r>
        <w:rPr>
          <w:rFonts w:ascii="Arial" w:cs="Arial" w:eastAsia="Arial" w:hAnsi="Arial"/>
          <w:sz w:val="18"/>
          <w:szCs w:val="18"/>
          <w:color w:val="auto"/>
        </w:rPr>
        <w:t>. Shares of stock of the Corporation shall be transferable only on the books of the Corporation by the holders thereof in person or by their duly authorized attorneys or legal representatives. Upon surrender to the Corporation or the transfer agent of the Corporation 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spacing w:after="0" w:line="95" w:lineRule="exact"/>
        <w:rPr>
          <w:sz w:val="20"/>
          <w:szCs w:val="20"/>
          <w:color w:val="auto"/>
        </w:rPr>
      </w:pPr>
    </w:p>
    <w:p>
      <w:pPr>
        <w:jc w:val="both"/>
        <w:ind w:right="160" w:firstLine="25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95" w:lineRule="exact"/>
        <w:rPr>
          <w:sz w:val="20"/>
          <w:szCs w:val="20"/>
          <w:color w:val="auto"/>
        </w:rPr>
      </w:pPr>
    </w:p>
    <w:p>
      <w:pPr>
        <w:ind w:right="640" w:firstLine="250"/>
        <w:spacing w:after="0" w:line="24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for shares of stock of the Corporation.</w:t>
      </w:r>
    </w:p>
    <w:p>
      <w:pPr>
        <w:spacing w:after="0" w:line="89" w:lineRule="exact"/>
        <w:rPr>
          <w:sz w:val="20"/>
          <w:szCs w:val="20"/>
          <w:color w:val="auto"/>
        </w:rPr>
      </w:pPr>
    </w:p>
    <w:p>
      <w:pPr>
        <w:ind w:right="240" w:firstLine="25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Legends</w:t>
      </w:r>
      <w:r>
        <w:rPr>
          <w:rFonts w:ascii="Arial" w:cs="Arial" w:eastAsia="Arial" w:hAnsi="Arial"/>
          <w:sz w:val="18"/>
          <w:szCs w:val="18"/>
          <w:color w:val="auto"/>
        </w:rPr>
        <w:t>.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EIGHT: MISCELLANEOUS PROVISIONS</w:t>
      </w:r>
    </w:p>
    <w:p>
      <w:pPr>
        <w:spacing w:after="0" w:line="104" w:lineRule="exact"/>
        <w:rPr>
          <w:sz w:val="20"/>
          <w:szCs w:val="20"/>
          <w:color w:val="auto"/>
        </w:rPr>
      </w:pPr>
    </w:p>
    <w:p>
      <w:pPr>
        <w:jc w:val="both"/>
        <w:ind w:right="20" w:firstLine="25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spacing w:after="0" w:line="95"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spacing w:after="0" w:line="94" w:lineRule="exact"/>
        <w:rPr>
          <w:sz w:val="20"/>
          <w:szCs w:val="20"/>
          <w:color w:val="auto"/>
        </w:rPr>
      </w:pPr>
    </w:p>
    <w:p>
      <w:pPr>
        <w:ind w:right="120" w:firstLine="250"/>
        <w:spacing w:after="0" w:line="23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94" w:lineRule="exact"/>
        <w:rPr>
          <w:sz w:val="20"/>
          <w:szCs w:val="20"/>
          <w:color w:val="auto"/>
        </w:rPr>
      </w:pPr>
    </w:p>
    <w:p>
      <w:pPr>
        <w:ind w:right="40" w:firstLine="25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7" w:name="page128"/>
    <w:bookmarkEnd w:id="127"/>
    <w:p>
      <w:pPr>
        <w:ind w:left="2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such as from time to time may be approved by the board of directors.</w:t>
      </w:r>
    </w:p>
    <w:p>
      <w:pPr>
        <w:spacing w:after="0" w:line="104" w:lineRule="exact"/>
        <w:rPr>
          <w:sz w:val="20"/>
          <w:szCs w:val="20"/>
          <w:color w:val="auto"/>
        </w:rPr>
      </w:pPr>
    </w:p>
    <w:p>
      <w:pPr>
        <w:ind w:right="20" w:firstLine="250"/>
        <w:spacing w:after="0" w:line="23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94" w:lineRule="exact"/>
        <w:rPr>
          <w:sz w:val="20"/>
          <w:szCs w:val="20"/>
          <w:color w:val="auto"/>
        </w:rPr>
      </w:pPr>
    </w:p>
    <w:p>
      <w:pPr>
        <w:ind w:right="380" w:firstLine="250"/>
        <w:spacing w:after="0" w:line="23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Securities of Other Corporations</w:t>
      </w:r>
      <w:r>
        <w:rPr>
          <w:rFonts w:ascii="Arial" w:cs="Arial" w:eastAsia="Arial" w:hAnsi="Arial"/>
          <w:sz w:val="18"/>
          <w:szCs w:val="18"/>
          <w:color w:val="auto"/>
        </w:rPr>
        <w:t>.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spacing w:after="0" w:line="94" w:lineRule="exact"/>
        <w:rPr>
          <w:sz w:val="20"/>
          <w:szCs w:val="20"/>
          <w:color w:val="auto"/>
        </w:rPr>
      </w:pPr>
    </w:p>
    <w:p>
      <w:pPr>
        <w:ind w:right="60" w:firstLine="250"/>
        <w:spacing w:after="0" w:line="23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Telephone Meetings</w:t>
      </w:r>
      <w:r>
        <w:rPr>
          <w:rFonts w:ascii="Arial" w:cs="Arial" w:eastAsia="Arial" w:hAnsi="Arial"/>
          <w:sz w:val="18"/>
          <w:szCs w:val="18"/>
          <w:color w:val="auto"/>
        </w:rPr>
        <w:t>.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97"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 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spacing w:after="0" w:line="95" w:lineRule="exact"/>
        <w:rPr>
          <w:sz w:val="20"/>
          <w:szCs w:val="20"/>
          <w:color w:val="auto"/>
        </w:rPr>
      </w:pPr>
    </w:p>
    <w:p>
      <w:pPr>
        <w:ind w:right="60" w:firstLine="508"/>
        <w:spacing w:after="0" w:line="237" w:lineRule="auto"/>
        <w:tabs>
          <w:tab w:leader="none" w:pos="7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of the Corporation or by these by-laws, any action required or permitted to be taken at a meeting of the board of directors, or of any committee of the board of directors,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spacing w:after="0" w:line="95" w:lineRule="exact"/>
        <w:rPr>
          <w:sz w:val="20"/>
          <w:szCs w:val="20"/>
          <w:color w:val="auto"/>
        </w:rPr>
      </w:pPr>
    </w:p>
    <w:p>
      <w:pPr>
        <w:ind w:right="380" w:firstLine="250"/>
        <w:spacing w:after="0" w:line="246"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Invalid Provisions</w:t>
      </w:r>
      <w:r>
        <w:rPr>
          <w:rFonts w:ascii="Arial" w:cs="Arial" w:eastAsia="Arial" w:hAnsi="Arial"/>
          <w:sz w:val="18"/>
          <w:szCs w:val="18"/>
          <w:color w:val="auto"/>
        </w:rPr>
        <w:t>. If any part of these by-laws shall be held invalid or inoperative for any reason, the remaining parts, so far as it is possible and reasonable, shall remain valid and operative.</w:t>
      </w:r>
    </w:p>
    <w:p>
      <w:pPr>
        <w:spacing w:after="0" w:line="89" w:lineRule="exact"/>
        <w:rPr>
          <w:sz w:val="20"/>
          <w:szCs w:val="20"/>
          <w:color w:val="auto"/>
        </w:rPr>
      </w:pPr>
    </w:p>
    <w:p>
      <w:pPr>
        <w:jc w:val="both"/>
        <w:ind w:right="300" w:firstLine="25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Mortgages, etc</w:t>
      </w:r>
      <w:r>
        <w:rPr>
          <w:rFonts w:ascii="Arial" w:cs="Arial" w:eastAsia="Arial" w:hAnsi="Arial"/>
          <w:sz w:val="18"/>
          <w:szCs w:val="18"/>
          <w:color w:val="auto"/>
        </w:rPr>
        <w:t>.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8" w:name="page129"/>
    <w:bookmarkEnd w:id="128"/>
    <w:p>
      <w:pPr>
        <w:ind w:right="320"/>
        <w:spacing w:after="0" w:line="246" w:lineRule="auto"/>
        <w:rPr>
          <w:sz w:val="20"/>
          <w:szCs w:val="20"/>
          <w:color w:val="auto"/>
        </w:rPr>
      </w:pPr>
      <w:r>
        <w:rPr>
          <w:rFonts w:ascii="Arial" w:cs="Arial" w:eastAsia="Arial" w:hAnsi="Arial"/>
          <w:sz w:val="18"/>
          <w:szCs w:val="18"/>
          <w:color w:val="auto"/>
        </w:rPr>
        <w:t>binding obligation against the Corporation unless the resolutions, if any, of the board of directors authorizing such execution expressly state that such attestation is necessary.</w:t>
      </w:r>
    </w:p>
    <w:p>
      <w:pPr>
        <w:spacing w:after="0" w:line="89"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these by-laws have been inserted for administrative convenience only and do not constitute matter to be construed in interpretation.</w:t>
      </w:r>
    </w:p>
    <w:p>
      <w:pPr>
        <w:spacing w:after="0" w:line="89" w:lineRule="exact"/>
        <w:rPr>
          <w:sz w:val="20"/>
          <w:szCs w:val="20"/>
          <w:color w:val="auto"/>
        </w:rPr>
      </w:pPr>
    </w:p>
    <w:p>
      <w:pPr>
        <w:ind w:right="440" w:firstLine="250"/>
        <w:spacing w:after="0" w:line="246"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References</w:t>
      </w:r>
      <w:r>
        <w:rPr>
          <w:rFonts w:ascii="Arial" w:cs="Arial" w:eastAsia="Arial" w:hAnsi="Arial"/>
          <w:sz w:val="18"/>
          <w:szCs w:val="18"/>
          <w:color w:val="auto"/>
        </w:rPr>
        <w:t>. Whenever herein the singular number is used, the same shall include the plural where appropriate, and words of any gender should include each other gender where appropriate.</w:t>
      </w:r>
    </w:p>
    <w:p>
      <w:pPr>
        <w:spacing w:after="0" w:line="89"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sectPr>
          <w:pgSz w:w="11900" w:h="16838" w:orient="portrait"/>
          <w:cols w:equalWidth="0" w:num="1">
            <w:col w:w="11400"/>
          </w:cols>
          <w:pgMar w:left="240" w:top="949" w:right="259" w:bottom="1440" w:gutter="0" w:footer="0" w:header="0"/>
        </w:sectPr>
      </w:pPr>
    </w:p>
    <w:bookmarkStart w:id="129" w:name="page130"/>
    <w:bookmarkEnd w:id="129"/>
    <w:p>
      <w:pPr>
        <w:jc w:val="center"/>
        <w:ind w:right="-179"/>
        <w:spacing w:after="0"/>
        <w:rPr>
          <w:sz w:val="20"/>
          <w:szCs w:val="20"/>
          <w:color w:val="auto"/>
        </w:rPr>
      </w:pPr>
      <w:r>
        <w:rPr>
          <w:rFonts w:ascii="Arial" w:cs="Arial" w:eastAsia="Arial" w:hAnsi="Arial"/>
          <w:sz w:val="18"/>
          <w:szCs w:val="18"/>
          <w:b w:val="1"/>
          <w:bCs w:val="1"/>
          <w:color w:val="auto"/>
        </w:rPr>
        <w:t>Exhibit 10.14</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EZCORP, Inc. Fiscal Year 2009 Incentive Compensation Program</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PORTIONS OF THIS EXHIBIT HAVE BEEN OMITTED AND ARE BEING FILED SEPARATELY WITH THE SECURITIES AND EXCHANGE COMMISSION IN A CONFIDENTIAL TREATMENT REQUEST UNDER RULE 24B-2 OF THE SECURITIES EXCHANGE ACT OF 1934, AS AMENDED. THE SYMBOL [***] IN THIS EXHIBIT INDICATES THAT INFORMATION HAS BEEN OMITTED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53340</wp:posOffset>
            </wp:positionV>
            <wp:extent cx="3662045" cy="11404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6204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FY 2009 Incentive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FY 2009 Incentive Compensation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Policy</w:t>
      </w:r>
    </w:p>
    <w:p>
      <w:pPr>
        <w:spacing w:after="0" w:line="12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It is a policy of EZCORP, Inc. and its wholly owned affiliates (also referred to as “the Company”) to offer a total compensation package which is commensurate with the job assigned, competitive within the affiliated industry, and reflective of the value of each individual’s performance and overall contribution towards the short and long term success of the Company.</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a supplement to the base compensation paid and stock awards granted by EZCORP, the Company offers the FY2009 Incentive Compensation Program (the “Program”) to reward the accomplishment of corporate, business unit, and personal objectives for select key associates. This Program is designed to motivate selected associates to strive for excellence in both Company and specific personal objectives and provides incentive compensation awards for their achievement.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Objectives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primary objectives of the EZCORP Incentive Compensation Program are:</w:t>
      </w:r>
    </w:p>
    <w:p>
      <w:pPr>
        <w:spacing w:after="0" w:line="104" w:lineRule="exact"/>
        <w:rPr>
          <w:sz w:val="20"/>
          <w:szCs w:val="20"/>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an incentive for individuals to drive their performance to achieve strategic Company and personal objectives.</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attract, retain and motivate top-quality associates who are able to add significant value to the Company’s performance.</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provide incentive compensation opportunities which are competitive for the associate levels and the affiliated industry.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Eligibility for Participation</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Compensation Advisory Group (President/CEO, SVP Administration and the SVP &amp; CFO) will select the positions that will participate in the Program. Participants are generally selected from positions that typically have incentive-based compensation components in the industry and from individuals who make meaningful and substantial contributions to the business. Participation in the Program will be determined prior to the beginning of the fiscal year. Eligible associates will usually be drawn from:</w:t>
      </w:r>
    </w:p>
    <w:p>
      <w:pPr>
        <w:spacing w:after="0" w:line="94" w:lineRule="exact"/>
        <w:rPr>
          <w:sz w:val="20"/>
          <w:szCs w:val="20"/>
          <w:color w:val="auto"/>
        </w:rPr>
      </w:pPr>
    </w:p>
    <w:p>
      <w:pPr>
        <w:ind w:left="660" w:hanging="43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Officers and Executives of the Company.</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Regional and Corporate Director Level Management</w:t>
      </w:r>
    </w:p>
    <w:p>
      <w:pPr>
        <w:spacing w:after="0" w:line="117" w:lineRule="exact"/>
        <w:rPr>
          <w:rFonts w:ascii="Arial" w:cs="Arial" w:eastAsia="Arial" w:hAnsi="Arial"/>
          <w:sz w:val="18"/>
          <w:szCs w:val="18"/>
          <w:color w:val="auto"/>
        </w:rPr>
      </w:pPr>
    </w:p>
    <w:p>
      <w:pPr>
        <w:ind w:left="660" w:right="760" w:hanging="436"/>
        <w:spacing w:after="0" w:line="24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Key Management individuals as determined by the Compensation Advisory Group and approved by the Board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4" w:right="2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u w:val="single" w:color="auto"/>
          <w:color w:val="auto"/>
        </w:rPr>
        <w:t>Setting of Financial Measurements and Individual Objectives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Company Objective:</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President/CEO will recommend, and the Board of Directors will approve specific financial measures that, along with Individual Objectives, will be used to determine the incentive awards for the year.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Individual Objectives:</w:t>
      </w:r>
    </w:p>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Executive Committee will determine overall departmental objectives and assign some or all of those objectives as Individual Objectives to specific individual participants. Individual Objectives may be either business financial objectives, such as, operating income or strategic objectives that are related to specific projects, operational responsibilities or plan implementations.</w:t>
      </w:r>
    </w:p>
    <w:p>
      <w:pPr>
        <w:spacing w:after="0" w:line="7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Awards will be based on the level of attainment of both the Company Objectives and the Individual Objectives of each participant. </w:t>
      </w:r>
      <w:r>
        <w:rPr>
          <w:rFonts w:ascii="Arial" w:cs="Arial" w:eastAsia="Arial" w:hAnsi="Arial"/>
          <w:sz w:val="18"/>
          <w:szCs w:val="18"/>
          <w:b w:val="1"/>
          <w:bCs w:val="1"/>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Board of Directors will set a minimum financial threshold that must be attained for any incentive compensation to be paid.</w:t>
      </w:r>
    </w:p>
    <w:p>
      <w:pPr>
        <w:spacing w:after="0" w:line="68"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Company management will conduct periodic progress reviews with participants during the year in the monthly Key Performance Review (KPR) meetings to monitor progress and ensure on-going focus and alignment.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FY 2009 Company Objectives and Incentive Targets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Income will be used as the Company Objective to determine actual financial award payouts for FY2009. For purposes of this Program,</w:t>
      </w:r>
    </w:p>
    <w:p>
      <w:pPr>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 xml:space="preserve"> is defined as the net income shown on the audited financial statements, adjusted for any special items, charges and credits, which the Board Compensation Committee, in its sole discretion, determines are unusual or infrequently occurring events or situations and also are not subject to the direct control of management.</w:t>
      </w:r>
    </w:p>
    <w:p>
      <w:pPr>
        <w:spacing w:after="0" w:line="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The Company’s targeted Net Income goal for Incentive Compensation is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“minimum threshold” for any payout is reached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 “maximum payout” is achieved at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8" w:lineRule="exact"/>
        <w:rPr>
          <w:sz w:val="20"/>
          <w:szCs w:val="20"/>
          <w:color w:val="auto"/>
        </w:rPr>
      </w:pPr>
    </w:p>
    <w:p>
      <w:pPr>
        <w:ind w:left="240" w:right="640" w:hanging="4"/>
        <w:spacing w:after="0" w:line="246"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target Net Income for 2009 has been set using [***] million for the base business and [***] million for the Pawn Plus, Las Vegas acquisition for three quarters of the fiscal year.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payout based upon financial participation for a participant can be read from the following matrix based on FY2009 “Net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w:t>
            </w:r>
          </w:p>
        </w:tc>
      </w:tr>
      <w:tr>
        <w:trPr>
          <w:trHeight w:val="412"/>
        </w:trPr>
        <w:tc>
          <w:tcPr>
            <w:tcW w:w="7780" w:type="dxa"/>
            <w:vAlign w:val="bottom"/>
          </w:tcPr>
          <w:p>
            <w:pPr>
              <w:spacing w:after="0"/>
              <w:rPr>
                <w:sz w:val="20"/>
                <w:szCs w:val="20"/>
                <w:color w:val="auto"/>
              </w:rPr>
            </w:pPr>
            <w:r>
              <w:rPr>
                <w:rFonts w:ascii="Arial" w:cs="Arial" w:eastAsia="Arial" w:hAnsi="Arial"/>
                <w:sz w:val="18"/>
                <w:szCs w:val="18"/>
                <w:b w:val="1"/>
                <w:bCs w:val="1"/>
                <w:color w:val="auto"/>
              </w:rPr>
              <w:t>Bonus Payout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100%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r>
      <w:tr>
        <w:trPr>
          <w:trHeight w:val="605"/>
        </w:trPr>
        <w:tc>
          <w:tcPr>
            <w:tcW w:w="77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u w:val="single" w:color="auto"/>
          <w:color w:val="auto"/>
        </w:rPr>
        <w:t>FY 2009 Individual Objectives and Incentive Targets</w:t>
      </w:r>
    </w:p>
    <w:p>
      <w:pPr>
        <w:spacing w:after="0" w:line="126" w:lineRule="exact"/>
        <w:rPr>
          <w:sz w:val="20"/>
          <w:szCs w:val="20"/>
          <w:color w:val="auto"/>
        </w:rPr>
      </w:pPr>
    </w:p>
    <w:p>
      <w:pPr>
        <w:ind w:left="660" w:hanging="436"/>
        <w:spacing w:after="0" w:line="23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Compensation Committee establishes all of the Incentive Compensation Plan objectives for the Chairman of the Board and the President/CEO. The Chairman of the Board and the President/CEO do not have Individual Objectives as defined by this Plan and will have their incentive award determined solely by the achievement of the overall Company’s Financial Objectives as approved by the Board Compensation Committee.</w:t>
      </w:r>
    </w:p>
    <w:p>
      <w:pPr>
        <w:spacing w:after="0" w:line="107" w:lineRule="exact"/>
        <w:rPr>
          <w:rFonts w:ascii="Arial" w:cs="Arial" w:eastAsia="Arial" w:hAnsi="Arial"/>
          <w:sz w:val="18"/>
          <w:szCs w:val="18"/>
          <w:color w:val="auto"/>
        </w:rPr>
      </w:pPr>
    </w:p>
    <w:p>
      <w:pPr>
        <w:ind w:left="660" w:right="100" w:hanging="436"/>
        <w:spacing w:after="0" w:line="23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Executive Committee establishes Departmental Objectives for FY2009 for all other participants. Based upon those Departmental Objectives, participants are assigned Individual Objectives for the FY2009 Incentive Compensation Program. Except for the Company Objectives of the Chairman of the Board and the President/CEO, these Individual Objectives are subject to revisions based upon changing circumstances as deemed appropriate by the President/CEO throughout the year.</w:t>
      </w:r>
    </w:p>
    <w:p>
      <w:pPr>
        <w:spacing w:after="0" w:line="107" w:lineRule="exact"/>
        <w:rPr>
          <w:rFonts w:ascii="Arial" w:cs="Arial" w:eastAsia="Arial" w:hAnsi="Arial"/>
          <w:sz w:val="18"/>
          <w:szCs w:val="18"/>
          <w:color w:val="auto"/>
        </w:rPr>
      </w:pPr>
    </w:p>
    <w:p>
      <w:pPr>
        <w:ind w:left="660" w:right="220" w:hanging="43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quality of the output of specific Individual Objectives is a substantial portion of the payout rating. To ensure consistency in the scoring of the performance in achieving Individual Objectives by individual participants, the following definitions and payout structure are provided:</w:t>
      </w:r>
    </w:p>
    <w:p>
      <w:pPr>
        <w:sectPr>
          <w:pgSz w:w="11900" w:h="16838" w:orient="portrait"/>
          <w:cols w:equalWidth="0" w:num="1">
            <w:col w:w="11400"/>
          </w:cols>
          <w:pgMar w:left="240" w:top="927" w:right="259" w:bottom="1440" w:gutter="0" w:footer="0" w:header="0"/>
        </w:sectPr>
      </w:pPr>
    </w:p>
    <w:p>
      <w:pPr>
        <w:spacing w:after="0" w:line="1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Achieved or exceeds the target goal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Payout 100%</w:t>
      </w:r>
    </w:p>
    <w:p>
      <w:pPr>
        <w:spacing w:after="0" w:line="128" w:lineRule="exact"/>
        <w:rPr>
          <w:sz w:val="20"/>
          <w:szCs w:val="20"/>
          <w:color w:val="auto"/>
        </w:rPr>
      </w:pPr>
    </w:p>
    <w:p>
      <w:pPr>
        <w:sectPr>
          <w:pgSz w:w="11900" w:h="16838" w:orient="portrait"/>
          <w:cols w:equalWidth="0" w:num="2">
            <w:col w:w="5140" w:space="720"/>
            <w:col w:w="5540"/>
          </w:cols>
          <w:pgMar w:left="240" w:top="927" w:right="259" w:bottom="1440" w:gutter="0" w:footer="0" w:header="0"/>
          <w:type w:val="continuous"/>
        </w:sectPr>
      </w:pPr>
    </w:p>
    <w:p>
      <w:pPr>
        <w:ind w:left="1020"/>
        <w:spacing w:after="0"/>
        <w:rPr>
          <w:sz w:val="20"/>
          <w:szCs w:val="20"/>
          <w:color w:val="auto"/>
        </w:rPr>
      </w:pPr>
      <w:r>
        <w:rPr>
          <w:rFonts w:ascii="Arial" w:cs="Arial" w:eastAsia="Arial" w:hAnsi="Arial"/>
          <w:sz w:val="18"/>
          <w:szCs w:val="18"/>
          <w:color w:val="auto"/>
        </w:rPr>
        <w:t>* Slight miss of the target goal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Payout 50% to 75%</w:t>
      </w:r>
    </w:p>
    <w:p>
      <w:pPr>
        <w:spacing w:after="0" w:line="128" w:lineRule="exact"/>
        <w:rPr>
          <w:sz w:val="20"/>
          <w:szCs w:val="20"/>
          <w:color w:val="auto"/>
        </w:rPr>
      </w:pPr>
    </w:p>
    <w:p>
      <w:pPr>
        <w:sectPr>
          <w:pgSz w:w="11900" w:h="16838" w:orient="portrait"/>
          <w:cols w:equalWidth="0" w:num="2">
            <w:col w:w="5140" w:space="720"/>
            <w:col w:w="5540"/>
          </w:cols>
          <w:pgMar w:left="240" w:top="927" w:right="259" w:bottom="1440" w:gutter="0" w:footer="0" w:header="0"/>
          <w:type w:val="continuous"/>
        </w:sectPr>
      </w:pPr>
    </w:p>
    <w:p>
      <w:pPr>
        <w:ind w:left="1020"/>
        <w:spacing w:after="0"/>
        <w:rPr>
          <w:sz w:val="20"/>
          <w:szCs w:val="20"/>
          <w:color w:val="auto"/>
        </w:rPr>
      </w:pPr>
      <w:r>
        <w:rPr>
          <w:rFonts w:ascii="Arial" w:cs="Arial" w:eastAsia="Arial" w:hAnsi="Arial"/>
          <w:sz w:val="18"/>
          <w:szCs w:val="18"/>
          <w:color w:val="auto"/>
        </w:rPr>
        <w:t>* Miss minimum target goal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Payout zero</w:t>
      </w:r>
    </w:p>
    <w:p>
      <w:pPr>
        <w:spacing w:after="0" w:line="115" w:lineRule="exact"/>
        <w:rPr>
          <w:sz w:val="20"/>
          <w:szCs w:val="20"/>
          <w:color w:val="auto"/>
        </w:rPr>
      </w:pPr>
    </w:p>
    <w:p>
      <w:pPr>
        <w:sectPr>
          <w:pgSz w:w="11900" w:h="16838" w:orient="portrait"/>
          <w:cols w:equalWidth="0" w:num="2">
            <w:col w:w="5140" w:space="720"/>
            <w:col w:w="5540"/>
          </w:cols>
          <w:pgMar w:left="240" w:top="927" w:right="259" w:bottom="1440" w:gutter="0" w:footer="0" w:header="0"/>
          <w:type w:val="continuous"/>
        </w:sectPr>
      </w:pPr>
    </w:p>
    <w:p>
      <w:pPr>
        <w:ind w:left="660" w:right="40" w:hanging="436"/>
        <w:spacing w:after="0" w:line="24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Individual Objectives portion of the incentive award is maximized at 100% of the allocated percentage. For participants, other than the Chairman of the Board and the President/CEO, the Executive Committee will determine scores to be given.</w:t>
      </w:r>
    </w:p>
    <w:p>
      <w:pPr>
        <w:spacing w:after="0" w:line="102" w:lineRule="exact"/>
        <w:rPr>
          <w:rFonts w:ascii="Arial" w:cs="Arial" w:eastAsia="Arial" w:hAnsi="Arial"/>
          <w:sz w:val="18"/>
          <w:szCs w:val="18"/>
          <w:color w:val="auto"/>
        </w:rPr>
      </w:pPr>
    </w:p>
    <w:p>
      <w:pPr>
        <w:ind w:left="660" w:right="140" w:hanging="43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relative weighting of Company and Individual Objectives will be determined based upon the individual position and the amount of control they have on the achievement of the Objectives. Therefore, individual participants will have different weighting between Company and Individual Objectives, as shown for key executives in </w:t>
      </w:r>
      <w:r>
        <w:rPr>
          <w:rFonts w:ascii="Arial" w:cs="Arial" w:eastAsia="Arial" w:hAnsi="Arial"/>
          <w:sz w:val="18"/>
          <w:szCs w:val="18"/>
          <w:b w:val="1"/>
          <w:bCs w:val="1"/>
          <w:color w:val="auto"/>
        </w:rPr>
        <w:t>Schedule “A”.</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Calculation of Incentive Compensation Payout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Objectives and the Individual Objectives will be scored based upon the actual results achieved for the Program year.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Each participant’s actual payout will be determined using the formula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33" w:name="page134"/>
    <w:bookmarkEnd w:id="133"/>
    <w:tbl>
      <w:tblPr>
        <w:tblLayout w:type="fixed"/>
        <w:tblInd w:w="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A.</w:t>
            </w: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 Company Objective</w:t>
            </w: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assigned, see personal documentation)</w:t>
            </w: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8"/>
              </w:rPr>
              <w:t>Participation</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(A1)</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Matrix Rating</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(A2)</w:t>
            </w:r>
          </w:p>
        </w:tc>
        <w:tc>
          <w:tcPr>
            <w:tcW w:w="4340" w:type="dxa"/>
            <w:vAlign w:val="bottom"/>
          </w:tcPr>
          <w:p>
            <w:pPr>
              <w:ind w:left="200"/>
              <w:spacing w:after="0"/>
              <w:rPr>
                <w:sz w:val="20"/>
                <w:szCs w:val="20"/>
                <w:color w:val="auto"/>
              </w:rPr>
            </w:pPr>
            <w:r>
              <w:rPr>
                <w:rFonts w:ascii="Arial" w:cs="Arial" w:eastAsia="Arial" w:hAnsi="Arial"/>
                <w:sz w:val="18"/>
                <w:szCs w:val="18"/>
                <w:color w:val="auto"/>
              </w:rPr>
              <w:t>(Company financial goal; percent achievement)</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rPr>
              <w:t>(A1 x A2) =</w:t>
            </w:r>
          </w:p>
        </w:tc>
        <w:tc>
          <w:tcPr>
            <w:tcW w:w="1180" w:type="dxa"/>
            <w:vAlign w:val="bottom"/>
          </w:tcPr>
          <w:p>
            <w:pPr>
              <w:ind w:left="560"/>
              <w:spacing w:after="0"/>
              <w:rPr>
                <w:sz w:val="20"/>
                <w:szCs w:val="20"/>
                <w:color w:val="auto"/>
              </w:rPr>
            </w:pPr>
            <w:r>
              <w:rPr>
                <w:rFonts w:ascii="Arial" w:cs="Arial" w:eastAsia="Arial" w:hAnsi="Arial"/>
                <w:sz w:val="18"/>
                <w:szCs w:val="18"/>
                <w:b w:val="1"/>
                <w:bCs w:val="1"/>
                <w:color w:val="auto"/>
              </w:rPr>
              <w:t>___%</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rPr>
              <w:t>(A3)</w:t>
            </w:r>
          </w:p>
        </w:tc>
        <w:tc>
          <w:tcPr>
            <w:tcW w:w="4340" w:type="dxa"/>
            <w:vAlign w:val="bottom"/>
          </w:tcPr>
          <w:p>
            <w:pPr>
              <w:ind w:left="200"/>
              <w:spacing w:after="0"/>
              <w:rPr>
                <w:sz w:val="20"/>
                <w:szCs w:val="20"/>
                <w:color w:val="auto"/>
              </w:rPr>
            </w:pPr>
            <w:r>
              <w:rPr>
                <w:rFonts w:ascii="Arial" w:cs="Arial" w:eastAsia="Arial" w:hAnsi="Arial"/>
                <w:sz w:val="18"/>
                <w:szCs w:val="18"/>
                <w:b w:val="1"/>
                <w:bCs w:val="1"/>
                <w:color w:val="auto"/>
              </w:rPr>
              <w:t>(Company Objective Factor)</w:t>
            </w:r>
          </w:p>
        </w:tc>
        <w:tc>
          <w:tcPr>
            <w:tcW w:w="0" w:type="dxa"/>
            <w:vAlign w:val="bottom"/>
          </w:tcPr>
          <w:p>
            <w:pPr>
              <w:spacing w:after="0"/>
              <w:rPr>
                <w:sz w:val="1"/>
                <w:szCs w:val="1"/>
                <w:color w:val="auto"/>
              </w:rPr>
            </w:pPr>
          </w:p>
        </w:tc>
      </w:tr>
      <w:tr>
        <w:trPr>
          <w:trHeight w:val="391"/>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 Individual Objectives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8"/>
              </w:rPr>
              <w:t>Participation</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(B1)</w:t>
            </w:r>
          </w:p>
        </w:tc>
        <w:tc>
          <w:tcPr>
            <w:tcW w:w="4340" w:type="dxa"/>
            <w:vAlign w:val="bottom"/>
          </w:tcPr>
          <w:p>
            <w:pPr>
              <w:ind w:left="200"/>
              <w:spacing w:after="0"/>
              <w:rPr>
                <w:sz w:val="20"/>
                <w:szCs w:val="20"/>
                <w:color w:val="auto"/>
              </w:rPr>
            </w:pPr>
            <w:r>
              <w:rPr>
                <w:rFonts w:ascii="Arial" w:cs="Arial" w:eastAsia="Arial" w:hAnsi="Arial"/>
                <w:sz w:val="18"/>
                <w:szCs w:val="18"/>
                <w:color w:val="auto"/>
              </w:rPr>
              <w:t>(assigned, see personal documentation)</w:t>
            </w: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Weighted Rating for</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w w:val="99"/>
              </w:rPr>
              <w:t>(sum of all individual objective ratings divided by the</w:t>
            </w: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rPr>
              <w:t>Individual Objectives</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(B2)</w:t>
            </w:r>
          </w:p>
        </w:tc>
        <w:tc>
          <w:tcPr>
            <w:tcW w:w="4340" w:type="dxa"/>
            <w:vAlign w:val="bottom"/>
          </w:tcPr>
          <w:p>
            <w:pPr>
              <w:ind w:left="200"/>
              <w:spacing w:after="0"/>
              <w:rPr>
                <w:sz w:val="20"/>
                <w:szCs w:val="20"/>
                <w:color w:val="auto"/>
              </w:rPr>
            </w:pPr>
            <w:r>
              <w:rPr>
                <w:rFonts w:ascii="Arial" w:cs="Arial" w:eastAsia="Arial" w:hAnsi="Arial"/>
                <w:sz w:val="18"/>
                <w:szCs w:val="18"/>
                <w:color w:val="auto"/>
              </w:rPr>
              <w:t>number of assigned objectives)</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rPr>
              <w:t>(B1 x B2) =</w:t>
            </w:r>
          </w:p>
        </w:tc>
        <w:tc>
          <w:tcPr>
            <w:tcW w:w="1180" w:type="dxa"/>
            <w:vAlign w:val="bottom"/>
          </w:tcPr>
          <w:p>
            <w:pPr>
              <w:ind w:left="560"/>
              <w:spacing w:after="0"/>
              <w:rPr>
                <w:sz w:val="20"/>
                <w:szCs w:val="20"/>
                <w:color w:val="auto"/>
              </w:rPr>
            </w:pPr>
            <w:r>
              <w:rPr>
                <w:rFonts w:ascii="Arial" w:cs="Arial" w:eastAsia="Arial" w:hAnsi="Arial"/>
                <w:sz w:val="18"/>
                <w:szCs w:val="18"/>
                <w:b w:val="1"/>
                <w:bCs w:val="1"/>
                <w:color w:val="auto"/>
              </w:rPr>
              <w:t>___%</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rPr>
              <w:t>(B3)</w:t>
            </w:r>
          </w:p>
        </w:tc>
        <w:tc>
          <w:tcPr>
            <w:tcW w:w="4340" w:type="dxa"/>
            <w:vAlign w:val="bottom"/>
          </w:tcPr>
          <w:p>
            <w:pPr>
              <w:ind w:left="200"/>
              <w:spacing w:after="0"/>
              <w:rPr>
                <w:sz w:val="20"/>
                <w:szCs w:val="20"/>
                <w:color w:val="auto"/>
              </w:rPr>
            </w:pPr>
            <w:r>
              <w:rPr>
                <w:rFonts w:ascii="Arial" w:cs="Arial" w:eastAsia="Arial" w:hAnsi="Arial"/>
                <w:sz w:val="18"/>
                <w:szCs w:val="18"/>
                <w:b w:val="1"/>
                <w:bCs w:val="1"/>
                <w:color w:val="auto"/>
              </w:rPr>
              <w:t>(Individual Objective Factor)</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0"/>
                <w:szCs w:val="20"/>
                <w:color w:val="auto"/>
              </w:rPr>
            </w:pPr>
            <w:r>
              <w:rPr>
                <w:rFonts w:ascii="Arial" w:cs="Arial" w:eastAsia="Arial" w:hAnsi="Arial"/>
                <w:sz w:val="18"/>
                <w:szCs w:val="18"/>
                <w:color w:val="auto"/>
              </w:rPr>
              <w:t>C.</w:t>
            </w: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Base Salary as of October 1, 2008</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(C1)</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9"/>
              </w:rPr>
              <w:t>Participation Factor</w:t>
            </w:r>
          </w:p>
        </w:tc>
        <w:tc>
          <w:tcPr>
            <w:tcW w:w="1180" w:type="dxa"/>
            <w:vAlign w:val="bottom"/>
          </w:tcPr>
          <w:p>
            <w:pPr>
              <w:ind w:left="560"/>
              <w:spacing w:after="0"/>
              <w:rPr>
                <w:sz w:val="20"/>
                <w:szCs w:val="20"/>
                <w:color w:val="auto"/>
              </w:rPr>
            </w:pPr>
            <w:r>
              <w:rPr>
                <w:rFonts w:ascii="Arial" w:cs="Arial" w:eastAsia="Arial" w:hAnsi="Arial"/>
                <w:sz w:val="18"/>
                <w:szCs w:val="18"/>
                <w:color w:val="auto"/>
              </w:rPr>
              <w:t>___%</w:t>
            </w:r>
          </w:p>
        </w:tc>
        <w:tc>
          <w:tcPr>
            <w:tcW w:w="740" w:type="dxa"/>
            <w:vAlign w:val="bottom"/>
          </w:tcPr>
          <w:p>
            <w:pPr>
              <w:ind w:left="160"/>
              <w:spacing w:after="0"/>
              <w:rPr>
                <w:sz w:val="20"/>
                <w:szCs w:val="20"/>
                <w:color w:val="auto"/>
              </w:rPr>
            </w:pPr>
            <w:r>
              <w:rPr>
                <w:rFonts w:ascii="Arial" w:cs="Arial" w:eastAsia="Arial" w:hAnsi="Arial"/>
                <w:sz w:val="18"/>
                <w:szCs w:val="18"/>
                <w:color w:val="auto"/>
              </w:rPr>
              <w:t>(C2)</w:t>
            </w:r>
          </w:p>
        </w:tc>
        <w:tc>
          <w:tcPr>
            <w:tcW w:w="4340" w:type="dxa"/>
            <w:vAlign w:val="bottom"/>
          </w:tcPr>
          <w:p>
            <w:pPr>
              <w:ind w:left="200"/>
              <w:spacing w:after="0"/>
              <w:rPr>
                <w:sz w:val="20"/>
                <w:szCs w:val="20"/>
                <w:color w:val="auto"/>
              </w:rPr>
            </w:pPr>
            <w:r>
              <w:rPr>
                <w:rFonts w:ascii="Arial" w:cs="Arial" w:eastAsia="Arial" w:hAnsi="Arial"/>
                <w:sz w:val="18"/>
                <w:szCs w:val="18"/>
                <w:color w:val="auto"/>
              </w:rPr>
              <w:t>(Sum of A3 + B3)</w:t>
            </w:r>
          </w:p>
        </w:tc>
        <w:tc>
          <w:tcPr>
            <w:tcW w:w="0" w:type="dxa"/>
            <w:vAlign w:val="bottom"/>
          </w:tcPr>
          <w:p>
            <w:pPr>
              <w:spacing w:after="0"/>
              <w:rPr>
                <w:sz w:val="1"/>
                <w:szCs w:val="1"/>
                <w:color w:val="auto"/>
              </w:rPr>
            </w:pPr>
          </w:p>
        </w:tc>
      </w:tr>
      <w:tr>
        <w:trPr>
          <w:trHeight w:val="405"/>
        </w:trPr>
        <w:tc>
          <w:tcPr>
            <w:tcW w:w="7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rPr>
              <w:t>(C1 x C2) =</w:t>
            </w:r>
          </w:p>
        </w:tc>
        <w:tc>
          <w:tcPr>
            <w:tcW w:w="1180" w:type="dxa"/>
            <w:vAlign w:val="bottom"/>
          </w:tcPr>
          <w:p>
            <w:pPr>
              <w:ind w:left="560"/>
              <w:spacing w:after="0"/>
              <w:rPr>
                <w:sz w:val="20"/>
                <w:szCs w:val="20"/>
                <w:color w:val="auto"/>
              </w:rPr>
            </w:pPr>
            <w:r>
              <w:rPr>
                <w:rFonts w:ascii="Arial" w:cs="Arial" w:eastAsia="Arial" w:hAnsi="Arial"/>
                <w:sz w:val="18"/>
                <w:szCs w:val="18"/>
                <w:b w:val="1"/>
                <w:bCs w:val="1"/>
                <w:color w:val="auto"/>
              </w:rPr>
              <w:t>$___</w:t>
            </w: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rPr>
              <w:t>(C3)</w:t>
            </w:r>
          </w:p>
        </w:tc>
        <w:tc>
          <w:tcPr>
            <w:tcW w:w="4340" w:type="dxa"/>
            <w:vAlign w:val="bottom"/>
          </w:tcPr>
          <w:p>
            <w:pPr>
              <w:ind w:left="200"/>
              <w:spacing w:after="0"/>
              <w:rPr>
                <w:sz w:val="20"/>
                <w:szCs w:val="20"/>
                <w:color w:val="auto"/>
              </w:rPr>
            </w:pPr>
            <w:r>
              <w:rPr>
                <w:rFonts w:ascii="Arial" w:cs="Arial" w:eastAsia="Arial" w:hAnsi="Arial"/>
                <w:sz w:val="18"/>
                <w:szCs w:val="18"/>
                <w:b w:val="1"/>
                <w:bCs w:val="1"/>
                <w:color w:val="auto"/>
              </w:rPr>
              <w:t>Incentive Payout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Calculation Example:</w:t>
      </w:r>
    </w:p>
    <w:p>
      <w:pPr>
        <w:spacing w:after="0" w:line="121"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 has a base salary = $60,000</w:t>
      </w:r>
    </w:p>
    <w:p>
      <w:pPr>
        <w:ind w:left="300" w:hanging="292"/>
        <w:spacing w:after="0" w:line="234"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 has a Company Objective incentive potential of 5% of Base Salary</w:t>
      </w:r>
    </w:p>
    <w:p>
      <w:pPr>
        <w:ind w:left="300" w:hanging="292"/>
        <w:spacing w:after="0" w:line="234"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 has a Individual Objective incentive potential of 10% of Base Salary</w:t>
      </w:r>
    </w:p>
    <w:p>
      <w:pPr>
        <w:ind w:left="300" w:hanging="292"/>
        <w:spacing w:after="0" w:line="234"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achieves Net Income resulting in a 150% financial payout</w:t>
      </w: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Participant achieved 75% of overall weighting for Individual Objectives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r>
              <w:rPr>
                <w:rFonts w:ascii="Arial" w:cs="Arial" w:eastAsia="Arial" w:hAnsi="Arial"/>
                <w:sz w:val="18"/>
                <w:szCs w:val="18"/>
                <w:color w:val="auto"/>
              </w:rPr>
              <w:t>A.</w:t>
            </w: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Company Obj. Potential</w:t>
            </w:r>
          </w:p>
        </w:tc>
        <w:tc>
          <w:tcPr>
            <w:tcW w:w="7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700" w:type="dxa"/>
            <w:vAlign w:val="bottom"/>
          </w:tcPr>
          <w:p>
            <w:pPr>
              <w:ind w:left="140"/>
              <w:spacing w:after="0"/>
              <w:rPr>
                <w:sz w:val="20"/>
                <w:szCs w:val="20"/>
                <w:color w:val="auto"/>
              </w:rPr>
            </w:pPr>
            <w:r>
              <w:rPr>
                <w:rFonts w:ascii="Arial" w:cs="Arial" w:eastAsia="Arial" w:hAnsi="Arial"/>
                <w:sz w:val="18"/>
                <w:szCs w:val="18"/>
                <w:color w:val="auto"/>
              </w:rPr>
              <w:t>(A1)</w:t>
            </w:r>
          </w:p>
        </w:tc>
        <w:tc>
          <w:tcPr>
            <w:tcW w:w="4360" w:type="dxa"/>
            <w:vAlign w:val="bottom"/>
          </w:tcPr>
          <w:p>
            <w:pPr>
              <w:ind w:left="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assigned, see personal documentation)</w:t>
            </w:r>
          </w:p>
        </w:tc>
      </w:tr>
      <w:tr>
        <w:trPr>
          <w:trHeight w:val="405"/>
        </w:trPr>
        <w:tc>
          <w:tcPr>
            <w:tcW w:w="7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Company Matrix Rating</w:t>
            </w:r>
          </w:p>
        </w:tc>
        <w:tc>
          <w:tcPr>
            <w:tcW w:w="7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w:t>
            </w:r>
          </w:p>
        </w:tc>
        <w:tc>
          <w:tcPr>
            <w:tcW w:w="700" w:type="dxa"/>
            <w:vAlign w:val="bottom"/>
          </w:tcPr>
          <w:p>
            <w:pPr>
              <w:ind w:left="140"/>
              <w:spacing w:after="0"/>
              <w:rPr>
                <w:sz w:val="20"/>
                <w:szCs w:val="20"/>
                <w:color w:val="auto"/>
              </w:rPr>
            </w:pPr>
            <w:r>
              <w:rPr>
                <w:rFonts w:ascii="Arial" w:cs="Arial" w:eastAsia="Arial" w:hAnsi="Arial"/>
                <w:sz w:val="18"/>
                <w:szCs w:val="18"/>
                <w:color w:val="auto"/>
              </w:rPr>
              <w:t>(A2)</w:t>
            </w:r>
          </w:p>
        </w:tc>
        <w:tc>
          <w:tcPr>
            <w:tcW w:w="4360" w:type="dxa"/>
            <w:vAlign w:val="bottom"/>
          </w:tcPr>
          <w:p>
            <w:pPr>
              <w:spacing w:after="0"/>
              <w:rPr>
                <w:sz w:val="24"/>
                <w:szCs w:val="24"/>
                <w:color w:val="auto"/>
              </w:rPr>
            </w:pPr>
          </w:p>
        </w:tc>
      </w:tr>
      <w:tr>
        <w:trPr>
          <w:trHeight w:val="369"/>
        </w:trPr>
        <w:tc>
          <w:tcPr>
            <w:tcW w:w="7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(A1 x A2) =</w:t>
            </w:r>
          </w:p>
        </w:tc>
        <w:tc>
          <w:tcPr>
            <w:tcW w:w="7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7.50%</w:t>
            </w:r>
          </w:p>
        </w:tc>
        <w:tc>
          <w:tcPr>
            <w:tcW w:w="700" w:type="dxa"/>
            <w:vAlign w:val="bottom"/>
          </w:tcPr>
          <w:p>
            <w:pPr>
              <w:ind w:left="140"/>
              <w:spacing w:after="0"/>
              <w:rPr>
                <w:sz w:val="20"/>
                <w:szCs w:val="20"/>
                <w:color w:val="auto"/>
              </w:rPr>
            </w:pPr>
            <w:r>
              <w:rPr>
                <w:rFonts w:ascii="Arial" w:cs="Arial" w:eastAsia="Arial" w:hAnsi="Arial"/>
                <w:sz w:val="18"/>
                <w:szCs w:val="18"/>
                <w:color w:val="auto"/>
              </w:rPr>
              <w:t>(A3)</w:t>
            </w:r>
          </w:p>
        </w:tc>
        <w:tc>
          <w:tcPr>
            <w:tcW w:w="4360" w:type="dxa"/>
            <w:vAlign w:val="bottom"/>
          </w:tcPr>
          <w:p>
            <w:pPr>
              <w:ind w:left="220"/>
              <w:spacing w:after="0"/>
              <w:rPr>
                <w:sz w:val="20"/>
                <w:szCs w:val="20"/>
                <w:color w:val="auto"/>
              </w:rPr>
            </w:pPr>
            <w:r>
              <w:rPr>
                <w:rFonts w:ascii="Arial" w:cs="Arial" w:eastAsia="Arial" w:hAnsi="Arial"/>
                <w:sz w:val="18"/>
                <w:szCs w:val="18"/>
                <w:b w:val="1"/>
                <w:bCs w:val="1"/>
                <w:color w:val="auto"/>
              </w:rPr>
              <w:t>(Company Factor)</w:t>
            </w:r>
          </w:p>
        </w:tc>
      </w:tr>
      <w:tr>
        <w:trPr>
          <w:trHeight w:val="239"/>
        </w:trPr>
        <w:tc>
          <w:tcPr>
            <w:tcW w:w="780" w:type="dxa"/>
            <w:vAlign w:val="bottom"/>
          </w:tcPr>
          <w:p>
            <w:pPr>
              <w:spacing w:after="0"/>
              <w:rPr>
                <w:sz w:val="20"/>
                <w:szCs w:val="20"/>
                <w:color w:val="auto"/>
              </w:rPr>
            </w:pPr>
            <w:r>
              <w:rPr>
                <w:rFonts w:ascii="Arial" w:cs="Arial" w:eastAsia="Arial" w:hAnsi="Arial"/>
                <w:sz w:val="18"/>
                <w:szCs w:val="18"/>
                <w:color w:val="auto"/>
              </w:rPr>
              <w:t>B.</w:t>
            </w:r>
          </w:p>
        </w:tc>
        <w:tc>
          <w:tcPr>
            <w:tcW w:w="3620" w:type="dxa"/>
            <w:vAlign w:val="bottom"/>
          </w:tcPr>
          <w:p>
            <w:pPr>
              <w:jc w:val="center"/>
              <w:spacing w:after="0"/>
              <w:rPr>
                <w:sz w:val="20"/>
                <w:szCs w:val="20"/>
                <w:color w:val="auto"/>
              </w:rPr>
            </w:pPr>
            <w:r>
              <w:rPr>
                <w:rFonts w:ascii="Arial" w:cs="Arial" w:eastAsia="Arial" w:hAnsi="Arial"/>
                <w:sz w:val="18"/>
                <w:szCs w:val="18"/>
                <w:color w:val="auto"/>
              </w:rPr>
              <w:t>Individual Obj. Potential</w:t>
            </w:r>
          </w:p>
        </w:tc>
        <w:tc>
          <w:tcPr>
            <w:tcW w:w="7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700" w:type="dxa"/>
            <w:vAlign w:val="bottom"/>
          </w:tcPr>
          <w:p>
            <w:pPr>
              <w:ind w:left="140"/>
              <w:spacing w:after="0"/>
              <w:rPr>
                <w:sz w:val="20"/>
                <w:szCs w:val="20"/>
                <w:color w:val="auto"/>
              </w:rPr>
            </w:pPr>
            <w:r>
              <w:rPr>
                <w:rFonts w:ascii="Arial" w:cs="Arial" w:eastAsia="Arial" w:hAnsi="Arial"/>
                <w:sz w:val="18"/>
                <w:szCs w:val="18"/>
                <w:color w:val="auto"/>
              </w:rPr>
              <w:t>(B1)</w:t>
            </w:r>
          </w:p>
        </w:tc>
        <w:tc>
          <w:tcPr>
            <w:tcW w:w="4360" w:type="dxa"/>
            <w:vAlign w:val="bottom"/>
          </w:tcPr>
          <w:p>
            <w:pPr>
              <w:ind w:left="220"/>
              <w:spacing w:after="0"/>
              <w:rPr>
                <w:sz w:val="20"/>
                <w:szCs w:val="20"/>
                <w:color w:val="auto"/>
              </w:rPr>
            </w:pPr>
            <w:r>
              <w:rPr>
                <w:rFonts w:ascii="Arial" w:cs="Arial" w:eastAsia="Arial" w:hAnsi="Arial"/>
                <w:sz w:val="18"/>
                <w:szCs w:val="18"/>
                <w:color w:val="auto"/>
              </w:rPr>
              <w:t>(assigned, see personal documentation)</w:t>
            </w:r>
          </w:p>
        </w:tc>
      </w:tr>
      <w:tr>
        <w:trPr>
          <w:trHeight w:val="391"/>
        </w:trPr>
        <w:tc>
          <w:tcPr>
            <w:tcW w:w="7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rPr>
              <w:t>Weighted Rating</w:t>
            </w:r>
          </w:p>
        </w:tc>
        <w:tc>
          <w:tcPr>
            <w:tcW w:w="7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w:t>
            </w:r>
          </w:p>
        </w:tc>
        <w:tc>
          <w:tcPr>
            <w:tcW w:w="700" w:type="dxa"/>
            <w:vAlign w:val="bottom"/>
          </w:tcPr>
          <w:p>
            <w:pPr>
              <w:ind w:left="140"/>
              <w:spacing w:after="0"/>
              <w:rPr>
                <w:sz w:val="20"/>
                <w:szCs w:val="20"/>
                <w:color w:val="auto"/>
              </w:rPr>
            </w:pPr>
            <w:r>
              <w:rPr>
                <w:rFonts w:ascii="Arial" w:cs="Arial" w:eastAsia="Arial" w:hAnsi="Arial"/>
                <w:sz w:val="18"/>
                <w:szCs w:val="18"/>
                <w:color w:val="auto"/>
              </w:rPr>
              <w:t>(B2)</w:t>
            </w:r>
          </w:p>
        </w:tc>
        <w:tc>
          <w:tcPr>
            <w:tcW w:w="4360" w:type="dxa"/>
            <w:vAlign w:val="bottom"/>
          </w:tcPr>
          <w:p>
            <w:pPr>
              <w:ind w:left="220"/>
              <w:spacing w:after="0"/>
              <w:rPr>
                <w:sz w:val="20"/>
                <w:szCs w:val="20"/>
                <w:color w:val="auto"/>
              </w:rPr>
            </w:pPr>
            <w:r>
              <w:rPr>
                <w:rFonts w:ascii="Arial" w:cs="Arial" w:eastAsia="Arial" w:hAnsi="Arial"/>
                <w:sz w:val="18"/>
                <w:szCs w:val="18"/>
                <w:color w:val="auto"/>
                <w:w w:val="99"/>
              </w:rPr>
              <w:t>(sum of all individual objective ratings divided by the</w:t>
            </w:r>
          </w:p>
        </w:tc>
      </w:tr>
      <w:tr>
        <w:trPr>
          <w:trHeight w:val="217"/>
        </w:trPr>
        <w:tc>
          <w:tcPr>
            <w:tcW w:w="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number of assigned objectives)</w:t>
            </w:r>
          </w:p>
        </w:tc>
      </w:tr>
      <w:tr>
        <w:trPr>
          <w:trHeight w:val="405"/>
        </w:trPr>
        <w:tc>
          <w:tcPr>
            <w:tcW w:w="78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(B1 x B2) =</w:t>
            </w:r>
          </w:p>
        </w:tc>
        <w:tc>
          <w:tcPr>
            <w:tcW w:w="7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7.50%</w:t>
            </w:r>
          </w:p>
        </w:tc>
        <w:tc>
          <w:tcPr>
            <w:tcW w:w="700" w:type="dxa"/>
            <w:vAlign w:val="bottom"/>
          </w:tcPr>
          <w:p>
            <w:pPr>
              <w:ind w:left="140"/>
              <w:spacing w:after="0"/>
              <w:rPr>
                <w:sz w:val="20"/>
                <w:szCs w:val="20"/>
                <w:color w:val="auto"/>
              </w:rPr>
            </w:pPr>
            <w:r>
              <w:rPr>
                <w:rFonts w:ascii="Arial" w:cs="Arial" w:eastAsia="Arial" w:hAnsi="Arial"/>
                <w:sz w:val="18"/>
                <w:szCs w:val="18"/>
                <w:color w:val="auto"/>
              </w:rPr>
              <w:t>(B3)</w:t>
            </w:r>
          </w:p>
        </w:tc>
        <w:tc>
          <w:tcPr>
            <w:tcW w:w="4360" w:type="dxa"/>
            <w:vAlign w:val="bottom"/>
          </w:tcPr>
          <w:p>
            <w:pPr>
              <w:ind w:left="220"/>
              <w:spacing w:after="0"/>
              <w:rPr>
                <w:sz w:val="20"/>
                <w:szCs w:val="20"/>
                <w:color w:val="auto"/>
              </w:rPr>
            </w:pPr>
            <w:r>
              <w:rPr>
                <w:rFonts w:ascii="Arial" w:cs="Arial" w:eastAsia="Arial" w:hAnsi="Arial"/>
                <w:sz w:val="18"/>
                <w:szCs w:val="18"/>
                <w:b w:val="1"/>
                <w:bCs w:val="1"/>
                <w:color w:val="auto"/>
              </w:rPr>
              <w:t>(Objective Factor)</w:t>
            </w:r>
          </w:p>
        </w:tc>
      </w:tr>
      <w:tr>
        <w:trPr>
          <w:trHeight w:val="369"/>
        </w:trPr>
        <w:tc>
          <w:tcPr>
            <w:tcW w:w="780" w:type="dxa"/>
            <w:vAlign w:val="bottom"/>
          </w:tcPr>
          <w:p>
            <w:pPr>
              <w:spacing w:after="0"/>
              <w:rPr>
                <w:sz w:val="20"/>
                <w:szCs w:val="20"/>
                <w:color w:val="auto"/>
              </w:rPr>
            </w:pPr>
            <w:r>
              <w:rPr>
                <w:rFonts w:ascii="Arial" w:cs="Arial" w:eastAsia="Arial" w:hAnsi="Arial"/>
                <w:sz w:val="18"/>
                <w:szCs w:val="18"/>
                <w:color w:val="auto"/>
              </w:rPr>
              <w:t>C.</w:t>
            </w: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Base Salary as of 10/1/08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60,000</w:t>
            </w:r>
          </w:p>
        </w:tc>
        <w:tc>
          <w:tcPr>
            <w:tcW w:w="30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(C1)</w:t>
            </w:r>
          </w:p>
        </w:tc>
        <w:tc>
          <w:tcPr>
            <w:tcW w:w="436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3620" w:type="dxa"/>
            <w:vAlign w:val="bottom"/>
          </w:tcPr>
          <w:p>
            <w:pPr>
              <w:jc w:val="center"/>
              <w:spacing w:after="0" w:line="202" w:lineRule="exact"/>
              <w:rPr>
                <w:sz w:val="20"/>
                <w:szCs w:val="20"/>
                <w:color w:val="auto"/>
              </w:rPr>
            </w:pPr>
            <w:r>
              <w:rPr>
                <w:rFonts w:ascii="Arial" w:cs="Arial" w:eastAsia="Arial" w:hAnsi="Arial"/>
                <w:sz w:val="18"/>
                <w:szCs w:val="18"/>
                <w:color w:val="auto"/>
              </w:rPr>
              <w:t>Participation Factor (A3 + B3)</w:t>
            </w:r>
          </w:p>
        </w:tc>
        <w:tc>
          <w:tcPr>
            <w:tcW w:w="7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15.0%</w:t>
            </w:r>
          </w:p>
        </w:tc>
        <w:tc>
          <w:tcPr>
            <w:tcW w:w="700" w:type="dxa"/>
            <w:vAlign w:val="bottom"/>
          </w:tcPr>
          <w:p>
            <w:pPr>
              <w:ind w:left="140"/>
              <w:spacing w:after="0" w:line="202" w:lineRule="exact"/>
              <w:rPr>
                <w:sz w:val="20"/>
                <w:szCs w:val="20"/>
                <w:color w:val="auto"/>
              </w:rPr>
            </w:pPr>
            <w:r>
              <w:rPr>
                <w:rFonts w:ascii="Arial" w:cs="Arial" w:eastAsia="Arial" w:hAnsi="Arial"/>
                <w:sz w:val="18"/>
                <w:szCs w:val="18"/>
                <w:color w:val="auto"/>
              </w:rPr>
              <w:t>(C2)</w:t>
            </w:r>
          </w:p>
        </w:tc>
        <w:tc>
          <w:tcPr>
            <w:tcW w:w="4360" w:type="dxa"/>
            <w:vAlign w:val="bottom"/>
          </w:tcPr>
          <w:p>
            <w:pPr>
              <w:ind w:left="220"/>
              <w:spacing w:after="0" w:line="202" w:lineRule="exact"/>
              <w:rPr>
                <w:sz w:val="20"/>
                <w:szCs w:val="20"/>
                <w:color w:val="auto"/>
              </w:rPr>
            </w:pPr>
            <w:r>
              <w:rPr>
                <w:rFonts w:ascii="Arial" w:cs="Arial" w:eastAsia="Arial" w:hAnsi="Arial"/>
                <w:sz w:val="18"/>
                <w:szCs w:val="18"/>
                <w:color w:val="auto"/>
              </w:rPr>
              <w:t>(Sum of Company Factor and Individual Factor)</w:t>
            </w:r>
          </w:p>
        </w:tc>
      </w:tr>
      <w:tr>
        <w:trPr>
          <w:trHeight w:val="225"/>
        </w:trPr>
        <w:tc>
          <w:tcPr>
            <w:tcW w:w="7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rPr>
              <w:t>(C1 x C2) =</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30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(C3)</w:t>
            </w:r>
          </w:p>
        </w:tc>
        <w:tc>
          <w:tcPr>
            <w:tcW w:w="4360" w:type="dxa"/>
            <w:vAlign w:val="bottom"/>
          </w:tcPr>
          <w:p>
            <w:pPr>
              <w:ind w:left="220"/>
              <w:spacing w:after="0"/>
              <w:rPr>
                <w:sz w:val="20"/>
                <w:szCs w:val="20"/>
                <w:color w:val="auto"/>
              </w:rPr>
            </w:pPr>
            <w:r>
              <w:rPr>
                <w:rFonts w:ascii="Arial" w:cs="Arial" w:eastAsia="Arial" w:hAnsi="Arial"/>
                <w:sz w:val="18"/>
                <w:szCs w:val="18"/>
                <w:b w:val="1"/>
                <w:bCs w:val="1"/>
                <w:color w:val="auto"/>
              </w:rPr>
              <w:t>Incentive Payout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Incentive Program Funding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Funding for the Incentive Compensation Program will be based on the number of participants selected for the individual Program year and their individual level of participation. At the beginning of each fiscal year, a budget will be established based on participant information and on economic, operational and financial profitability. The full amount of the Program payouts will be included in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47" w:right="279" w:bottom="1440" w:gutter="0" w:footer="0" w:header="0"/>
        </w:sectPr>
      </w:pPr>
    </w:p>
    <w:bookmarkStart w:id="134" w:name="page135"/>
    <w:bookmarkEnd w:id="134"/>
    <w:p>
      <w:pPr>
        <w:ind w:right="140"/>
        <w:spacing w:after="0" w:line="246" w:lineRule="auto"/>
        <w:rPr>
          <w:sz w:val="20"/>
          <w:szCs w:val="20"/>
          <w:color w:val="auto"/>
        </w:rPr>
      </w:pPr>
      <w:r>
        <w:rPr>
          <w:rFonts w:ascii="Arial" w:cs="Arial" w:eastAsia="Arial" w:hAnsi="Arial"/>
          <w:sz w:val="18"/>
          <w:szCs w:val="18"/>
          <w:color w:val="auto"/>
        </w:rPr>
        <w:t>expense of the Company prior to the determination of the Company’s final results for ICP purposes. Therefore, the funding of the ICP payouts is a part of the financial results of the Company for incentive calculations.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Administration of the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Amendments to or termination of the Program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While it is the intention of the Company to provide an incentive compensation plan annually, the Company, with the approval of the</w:t>
      </w:r>
    </w:p>
    <w:p>
      <w:pPr>
        <w:ind w:left="240"/>
        <w:spacing w:after="0"/>
        <w:rPr>
          <w:sz w:val="20"/>
          <w:szCs w:val="20"/>
          <w:color w:val="auto"/>
        </w:rPr>
      </w:pPr>
      <w:r>
        <w:rPr>
          <w:rFonts w:ascii="Arial" w:cs="Arial" w:eastAsia="Arial" w:hAnsi="Arial"/>
          <w:sz w:val="18"/>
          <w:szCs w:val="18"/>
          <w:color w:val="auto"/>
        </w:rPr>
        <w:t>Compensation Committee, reserves the right to:</w:t>
      </w:r>
    </w:p>
    <w:p>
      <w:pPr>
        <w:spacing w:after="0" w:line="104" w:lineRule="exact"/>
        <w:rPr>
          <w:sz w:val="20"/>
          <w:szCs w:val="20"/>
          <w:color w:val="auto"/>
        </w:rPr>
      </w:pPr>
    </w:p>
    <w:p>
      <w:pPr>
        <w:ind w:left="520" w:hanging="284"/>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 or modify the incentive plan in its entirety;</w:t>
      </w:r>
    </w:p>
    <w:p>
      <w:pPr>
        <w:spacing w:after="0" w:line="9" w:lineRule="exact"/>
        <w:rPr>
          <w:rFonts w:ascii="Arial" w:cs="Arial" w:eastAsia="Arial" w:hAnsi="Arial"/>
          <w:sz w:val="18"/>
          <w:szCs w:val="18"/>
          <w:color w:val="auto"/>
        </w:rPr>
      </w:pPr>
    </w:p>
    <w:p>
      <w:pPr>
        <w:ind w:left="520" w:hanging="284"/>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Suspend or terminate the Program at any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 Measurement</w:t>
      </w:r>
    </w:p>
    <w:p>
      <w:pPr>
        <w:spacing w:after="0" w:line="126" w:lineRule="exact"/>
        <w:rPr>
          <w:sz w:val="20"/>
          <w:szCs w:val="20"/>
          <w:color w:val="auto"/>
        </w:rPr>
      </w:pPr>
    </w:p>
    <w:p>
      <w:pPr>
        <w:ind w:left="440" w:right="200" w:hanging="324"/>
        <w:spacing w:after="0" w:line="257"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Except for the Chairman of the Board and the President/CEO (whose awards are determined by the Board Compensation Committee based upon their specific criteria), the Executive Committee, at its sole discretion, will score each Individual Objective and the individual performance of each ICP participant as it relates to that specific Individual Objective. Participants who share a common Individual Objective may be rated differently based upon their contribution to the achievement or lack of achievement of that specific objective.</w:t>
      </w:r>
    </w:p>
    <w:p>
      <w:pPr>
        <w:spacing w:after="0" w:line="94" w:lineRule="exact"/>
        <w:rPr>
          <w:rFonts w:ascii="Arial" w:cs="Arial" w:eastAsia="Arial" w:hAnsi="Arial"/>
          <w:sz w:val="17"/>
          <w:szCs w:val="17"/>
          <w:color w:val="auto"/>
        </w:rPr>
      </w:pPr>
    </w:p>
    <w:p>
      <w:pPr>
        <w:ind w:left="440" w:right="60" w:hanging="324"/>
        <w:spacing w:after="0" w:line="246"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fact that an associate is initially selected as eligible to participate in the ICP does not mean that he or she is entitled to or guaranteed receipt of an incentive compensation award.</w:t>
      </w:r>
    </w:p>
    <w:p>
      <w:pPr>
        <w:spacing w:after="0" w:line="102" w:lineRule="exact"/>
        <w:rPr>
          <w:rFonts w:ascii="Arial" w:cs="Arial" w:eastAsia="Arial" w:hAnsi="Arial"/>
          <w:sz w:val="18"/>
          <w:szCs w:val="18"/>
          <w:color w:val="auto"/>
        </w:rPr>
      </w:pPr>
    </w:p>
    <w:p>
      <w:pPr>
        <w:ind w:left="440" w:right="80" w:hanging="324"/>
        <w:spacing w:after="0" w:line="246"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Actions taken by a participant in the Program to enhance his or her incentive pay at the expense of the long-term benefit of the Company will result in the participant being disqualified as a Program participant, at the sole discretion of the Company.</w:t>
      </w:r>
    </w:p>
    <w:p>
      <w:pPr>
        <w:spacing w:after="0" w:line="102" w:lineRule="exact"/>
        <w:rPr>
          <w:rFonts w:ascii="Arial" w:cs="Arial" w:eastAsia="Arial" w:hAnsi="Arial"/>
          <w:sz w:val="18"/>
          <w:szCs w:val="18"/>
          <w:color w:val="auto"/>
        </w:rPr>
      </w:pPr>
    </w:p>
    <w:p>
      <w:pPr>
        <w:ind w:left="440" w:hanging="324"/>
        <w:spacing w:after="0" w:line="239"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for the Chairman of the Board and the President/CEO, if it can be determined by the Company, at its sole discretion, that a participant’s actions throughout the ICP year did not support or actually worked against their team’s ability to meet its objective, the participant will not receive any incentive compensation award even if all of the objectives are obtained. For the Chairman of the Board and the President/CEO, the Board Compensation Committee may make this determination and their decision will be final and binding.</w:t>
      </w:r>
    </w:p>
    <w:p>
      <w:pPr>
        <w:spacing w:after="0" w:line="107" w:lineRule="exact"/>
        <w:rPr>
          <w:rFonts w:ascii="Arial" w:cs="Arial" w:eastAsia="Arial" w:hAnsi="Arial"/>
          <w:sz w:val="18"/>
          <w:szCs w:val="18"/>
          <w:color w:val="auto"/>
        </w:rPr>
      </w:pPr>
    </w:p>
    <w:p>
      <w:pPr>
        <w:ind w:left="440" w:right="260" w:hanging="324"/>
        <w:spacing w:after="0" w:line="246"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Compensation Advisory Group reserves the right, in its sole discretion, to establish the measurement systems associated with this Program and to approve in advance, departmental and Individual Objectives.</w:t>
      </w:r>
    </w:p>
    <w:p>
      <w:pPr>
        <w:spacing w:after="0" w:line="80" w:lineRule="exact"/>
        <w:rPr>
          <w:rFonts w:ascii="Arial" w:cs="Arial" w:eastAsia="Arial" w:hAnsi="Arial"/>
          <w:sz w:val="18"/>
          <w:szCs w:val="18"/>
          <w:color w:val="auto"/>
        </w:rPr>
      </w:pPr>
    </w:p>
    <w:p>
      <w:pPr>
        <w:ind w:left="440" w:right="80" w:hanging="324"/>
        <w:spacing w:after="0" w:line="247"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participant who receives an </w:t>
      </w:r>
      <w:r>
        <w:rPr>
          <w:rFonts w:ascii="Arial" w:cs="Arial" w:eastAsia="Arial" w:hAnsi="Arial"/>
          <w:sz w:val="18"/>
          <w:szCs w:val="18"/>
          <w:b w:val="1"/>
          <w:bCs w:val="1"/>
          <w:color w:val="auto"/>
        </w:rPr>
        <w:t>“UNSATISFACTORY”</w:t>
      </w:r>
      <w:r>
        <w:rPr>
          <w:rFonts w:ascii="Arial" w:cs="Arial" w:eastAsia="Arial" w:hAnsi="Arial"/>
          <w:sz w:val="18"/>
          <w:szCs w:val="18"/>
          <w:color w:val="auto"/>
        </w:rPr>
        <w:t xml:space="preserve"> appraisal rating as determined by the Company or the Board Compensation Committee, in its sole discretion, for the incentive period will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be eligible for an incentive award for that period. Incentive awards for participants with a </w:t>
      </w:r>
      <w:r>
        <w:rPr>
          <w:rFonts w:ascii="Arial" w:cs="Arial" w:eastAsia="Arial" w:hAnsi="Arial"/>
          <w:sz w:val="18"/>
          <w:szCs w:val="18"/>
          <w:b w:val="1"/>
          <w:bCs w:val="1"/>
          <w:color w:val="auto"/>
        </w:rPr>
        <w:t>“MARGINAL”</w:t>
      </w:r>
      <w:r>
        <w:rPr>
          <w:rFonts w:ascii="Arial" w:cs="Arial" w:eastAsia="Arial" w:hAnsi="Arial"/>
          <w:sz w:val="18"/>
          <w:szCs w:val="18"/>
          <w:color w:val="auto"/>
        </w:rPr>
        <w:t xml:space="preserve"> appraisal rating for the incentive period must be approved by the President/CEO in writing before being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u w:val="single" w:color="auto"/>
          <w:color w:val="auto"/>
        </w:rPr>
        <w:t>No Implied Contract</w:t>
      </w:r>
    </w:p>
    <w:p>
      <w:pPr>
        <w:spacing w:after="0" w:line="126" w:lineRule="exact"/>
        <w:rPr>
          <w:sz w:val="20"/>
          <w:szCs w:val="20"/>
          <w:color w:val="auto"/>
        </w:rPr>
      </w:pPr>
    </w:p>
    <w:p>
      <w:pPr>
        <w:ind w:left="240" w:right="40"/>
        <w:spacing w:after="0"/>
        <w:rPr>
          <w:sz w:val="20"/>
          <w:szCs w:val="20"/>
          <w:color w:val="auto"/>
        </w:rPr>
      </w:pPr>
      <w:r>
        <w:rPr>
          <w:rFonts w:ascii="Arial" w:cs="Arial" w:eastAsia="Arial" w:hAnsi="Arial"/>
          <w:sz w:val="18"/>
          <w:szCs w:val="18"/>
          <w:color w:val="auto"/>
        </w:rPr>
        <w:t>The information presented in this Program shall not in any way be construed to constitute a binding employment or compensation contract between the Company and its associates, nor shall it in any way affect the “employment-at-will relationship” between associates and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Rules Concerning Awards Payments and Participation</w:t>
      </w:r>
    </w:p>
    <w:p>
      <w:pPr>
        <w:spacing w:after="0" w:line="126"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Participants must be employed with the Company at the time incentive payments are made to be eligible to receive an award</w:t>
      </w:r>
    </w:p>
    <w:p>
      <w:pPr>
        <w:spacing w:after="0" w:line="117" w:lineRule="exact"/>
        <w:rPr>
          <w:rFonts w:ascii="Arial" w:cs="Arial" w:eastAsia="Arial" w:hAnsi="Arial"/>
          <w:sz w:val="18"/>
          <w:szCs w:val="18"/>
          <w:color w:val="auto"/>
        </w:rPr>
      </w:pPr>
    </w:p>
    <w:p>
      <w:pPr>
        <w:ind w:left="440" w:right="140" w:hanging="324"/>
        <w:spacing w:after="0" w:line="246"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Participants who voluntarily or involuntarily leave the service of the Company shall not be entitled to receive an award at the end of the Program year.</w:t>
      </w:r>
    </w:p>
    <w:p>
      <w:pPr>
        <w:spacing w:after="0" w:line="102" w:lineRule="exact"/>
        <w:rPr>
          <w:rFonts w:ascii="Arial" w:cs="Arial" w:eastAsia="Arial" w:hAnsi="Arial"/>
          <w:sz w:val="18"/>
          <w:szCs w:val="18"/>
          <w:color w:val="auto"/>
        </w:rPr>
      </w:pPr>
    </w:p>
    <w:p>
      <w:pPr>
        <w:ind w:left="440" w:right="20" w:hanging="324"/>
        <w:spacing w:after="0" w:line="23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for the Chairman of the Board, the President/CEO and all company officers, recommendations to include a new hire, change a participant’s incentive level or add a promoted associate into the Program at any time during the Program year must be approved by the President/CEO. </w:t>
      </w:r>
      <w:r>
        <w:rPr>
          <w:rFonts w:ascii="Arial" w:cs="Arial" w:eastAsia="Arial" w:hAnsi="Arial"/>
          <w:sz w:val="18"/>
          <w:szCs w:val="18"/>
          <w:b w:val="1"/>
          <w:bCs w:val="1"/>
          <w:color w:val="auto"/>
        </w:rPr>
        <w:t>This action is mandatory before informing any associate of their participation in the Program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Partial year participant awards, if any, will be prorated based upon full months of the associate’s inclusion into the Program and their achievement of Program year objectives.</w:t>
      </w:r>
    </w:p>
    <w:p>
      <w:pPr>
        <w:spacing w:after="0" w:line="108" w:lineRule="exact"/>
        <w:rPr>
          <w:rFonts w:ascii="Arial" w:cs="Arial" w:eastAsia="Arial" w:hAnsi="Arial"/>
          <w:sz w:val="18"/>
          <w:szCs w:val="18"/>
          <w:color w:val="auto"/>
        </w:rPr>
      </w:pPr>
    </w:p>
    <w:p>
      <w:pPr>
        <w:ind w:left="440" w:right="2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Associates hired after the second fiscal quarter (March 31, 2009) will not normally be eligible for participation until the following Program year. The President/CEO must approve any exceptions to the above in advance. </w:t>
      </w:r>
      <w:r>
        <w:rPr>
          <w:rFonts w:ascii="Arial" w:cs="Arial" w:eastAsia="Arial" w:hAnsi="Arial"/>
          <w:sz w:val="18"/>
          <w:szCs w:val="18"/>
          <w:b w:val="1"/>
          <w:bCs w:val="1"/>
          <w:color w:val="auto"/>
        </w:rPr>
        <w:t>Approval of such exception is mandatory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before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informing any associate of their participation in the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Discretionary Awards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President/CEO will have the authority to award “discretionary bonuses” at year-end. These awards will be granted to individuals based upon the associate’s contribution toward either the achievement of the Company’s strategic objectives or the FY2009 financial plan. Individual awards will not exceed [***]; aggregate of awards will not exceed [***] annually.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Effective Date of the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Program shall be in effect for the fiscal year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27" w:right="3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Approvals:</w:t>
      </w:r>
    </w:p>
    <w:p>
      <w:pPr>
        <w:spacing w:after="0" w:line="220" w:lineRule="exact"/>
        <w:rPr>
          <w:sz w:val="20"/>
          <w:szCs w:val="20"/>
          <w:color w:val="auto"/>
        </w:rPr>
      </w:pPr>
    </w:p>
    <w:p>
      <w:pPr>
        <w:jc w:val="right"/>
        <w:ind w:right="3499"/>
        <w:spacing w:after="0"/>
        <w:rPr>
          <w:sz w:val="20"/>
          <w:szCs w:val="20"/>
          <w:color w:val="auto"/>
        </w:rPr>
      </w:pPr>
      <w:r>
        <w:rPr>
          <w:rFonts w:ascii="Arial" w:cs="Arial" w:eastAsia="Arial" w:hAnsi="Arial"/>
          <w:sz w:val="18"/>
          <w:szCs w:val="18"/>
          <w:color w:val="auto"/>
        </w:rPr>
        <w:t>Date: September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816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Joe Rotunda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198" w:lineRule="exact"/>
        <w:rPr>
          <w:sz w:val="20"/>
          <w:szCs w:val="20"/>
          <w:color w:val="auto"/>
        </w:rPr>
      </w:pPr>
    </w:p>
    <w:p>
      <w:pPr>
        <w:jc w:val="right"/>
        <w:ind w:right="3499"/>
        <w:spacing w:after="0"/>
        <w:rPr>
          <w:sz w:val="20"/>
          <w:szCs w:val="20"/>
          <w:color w:val="auto"/>
        </w:rPr>
      </w:pPr>
      <w:r>
        <w:rPr>
          <w:rFonts w:ascii="Arial" w:cs="Arial" w:eastAsia="Arial" w:hAnsi="Arial"/>
          <w:sz w:val="18"/>
          <w:szCs w:val="18"/>
          <w:color w:val="auto"/>
        </w:rPr>
        <w:t>Date: September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816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Robert Kasenter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Sr. Vice President, Administration</w:t>
      </w:r>
    </w:p>
    <w:p>
      <w:pPr>
        <w:spacing w:after="0" w:line="198" w:lineRule="exact"/>
        <w:rPr>
          <w:sz w:val="20"/>
          <w:szCs w:val="20"/>
          <w:color w:val="auto"/>
        </w:rPr>
      </w:pPr>
    </w:p>
    <w:p>
      <w:pPr>
        <w:jc w:val="right"/>
        <w:ind w:right="3499"/>
        <w:spacing w:after="0"/>
        <w:rPr>
          <w:sz w:val="20"/>
          <w:szCs w:val="20"/>
          <w:color w:val="auto"/>
        </w:rPr>
      </w:pPr>
      <w:r>
        <w:rPr>
          <w:rFonts w:ascii="Arial" w:cs="Arial" w:eastAsia="Arial" w:hAnsi="Arial"/>
          <w:sz w:val="18"/>
          <w:szCs w:val="18"/>
          <w:color w:val="auto"/>
        </w:rPr>
        <w:t>Date: September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8816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Connie Kondik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VP &amp; General Counsel, Secretary to the Board</w:t>
      </w:r>
    </w:p>
    <w:p>
      <w:pPr>
        <w:spacing w:after="0"/>
        <w:rPr>
          <w:sz w:val="20"/>
          <w:szCs w:val="20"/>
          <w:color w:val="auto"/>
        </w:rPr>
      </w:pPr>
      <w:r>
        <w:rPr>
          <w:rFonts w:ascii="Arial" w:cs="Arial" w:eastAsia="Arial" w:hAnsi="Arial"/>
          <w:sz w:val="18"/>
          <w:szCs w:val="18"/>
          <w:color w:val="auto"/>
        </w:rPr>
        <w:t>Confirming Compensation Committee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27"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Schedule A</w:t>
      </w:r>
    </w:p>
    <w:p>
      <w:pPr>
        <w:jc w:val="center"/>
        <w:spacing w:after="0"/>
        <w:rPr>
          <w:sz w:val="20"/>
          <w:szCs w:val="20"/>
          <w:color w:val="auto"/>
        </w:rPr>
      </w:pPr>
      <w:r>
        <w:rPr>
          <w:rFonts w:ascii="Arial" w:cs="Arial" w:eastAsia="Arial" w:hAnsi="Arial"/>
          <w:sz w:val="17"/>
          <w:szCs w:val="17"/>
          <w:color w:val="auto"/>
        </w:rPr>
        <w:t>FY 2009 ICP Participants List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ICP Objectives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971" w:right="1440" w:bottom="1440" w:gutter="0" w:footer="0" w:header="0"/>
        </w:sectPr>
      </w:pPr>
    </w:p>
    <w:bookmarkStart w:id="138" w:name="page139"/>
    <w:bookmarkEnd w:id="138"/>
    <w:p>
      <w:pPr>
        <w:jc w:val="center"/>
        <w:ind w:right="-91"/>
        <w:spacing w:after="0"/>
        <w:rPr>
          <w:sz w:val="20"/>
          <w:szCs w:val="20"/>
          <w:color w:val="auto"/>
        </w:rPr>
      </w:pPr>
      <w:r>
        <w:rPr>
          <w:rFonts w:ascii="Arial" w:cs="Arial" w:eastAsia="Arial" w:hAnsi="Arial"/>
          <w:sz w:val="18"/>
          <w:szCs w:val="18"/>
          <w:b w:val="1"/>
          <w:bCs w:val="1"/>
          <w:color w:val="auto"/>
        </w:rPr>
        <w:t>Exhibit 21.1</w:t>
      </w:r>
    </w:p>
    <w:p>
      <w:pPr>
        <w:spacing w:after="0" w:line="105"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Form 10-K for Fiscal Year Ended September 30, 2008</w:t>
      </w:r>
    </w:p>
    <w:p>
      <w:pPr>
        <w:spacing w:after="0" w:line="104"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Subsidiaries of EZCORP, Inc.</w:t>
      </w:r>
    </w:p>
    <w:p>
      <w:pPr>
        <w:spacing w:after="0" w:line="216" w:lineRule="exact"/>
        <w:rPr>
          <w:sz w:val="20"/>
          <w:szCs w:val="20"/>
          <w:color w:val="auto"/>
        </w:rPr>
      </w:pPr>
    </w:p>
    <w:p>
      <w:pPr>
        <w:ind w:left="892" w:hanging="473"/>
        <w:spacing w:after="0"/>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Alabama,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Arkansas,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Colorado,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Florida,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Indiana,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Louisiana,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Nevada,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Oklahoma,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Tennessee,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Holdings, Inc. (1)</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Texas EZPAWN Management, Inc. (1)</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Management, Inc. (2) (4)</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Holdings, Inc. (3) (4) (5)</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Payday Loan Management, Inc. (5)</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Alabama,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Colorado,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Idaho,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Kansas,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Missouri,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Nebraska,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South Dakota,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Utah,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Wisconsin,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EZCORP International,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México Ltd.,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Mexico Holdings,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Management Mexico, SRL de CV (Ltd.,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EZPAWN Services Mexico, SRL de CV (Holdings)</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Canada Holdings,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Canada, Inc.</w:t>
      </w:r>
    </w:p>
    <w:p>
      <w:pPr>
        <w:ind w:left="892" w:hanging="473"/>
        <w:spacing w:after="0" w:line="23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EZMONEY Toba, Inc.</w:t>
      </w:r>
    </w:p>
    <w:p>
      <w:pPr>
        <w:ind w:left="892" w:hanging="473"/>
        <w:spacing w:after="0"/>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Value Merger Sub, Inc.</w:t>
      </w:r>
    </w:p>
    <w:p>
      <w:pPr>
        <w:spacing w:after="0" w:line="360" w:lineRule="exact"/>
        <w:rPr>
          <w:rFonts w:ascii="Arial" w:cs="Arial" w:eastAsia="Arial" w:hAnsi="Arial"/>
          <w:sz w:val="18"/>
          <w:szCs w:val="18"/>
          <w:color w:val="auto"/>
        </w:rPr>
      </w:pPr>
    </w:p>
    <w:p>
      <w:pPr>
        <w:ind w:left="452" w:right="340"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EZPAWN Texas, Inc. transferred all its assets to Texas EZPAWN, L.P., a Texas limited partnership, of which EZPAWN Holdings, Inc., formerly EZPAWN Texas, Inc. is the limited partner, and Texas EZPAWN Management, Inc. is the sole general partner and holds a certificate of authority to conduct business in Texas.</w:t>
      </w:r>
    </w:p>
    <w:p>
      <w:pPr>
        <w:spacing w:after="0" w:line="49" w:lineRule="exact"/>
        <w:rPr>
          <w:rFonts w:ascii="Arial" w:cs="Arial" w:eastAsia="Arial" w:hAnsi="Arial"/>
          <w:sz w:val="18"/>
          <w:szCs w:val="18"/>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EZMONEY Management, Inc. formerly known as EZPAWN Kansas, Inc.</w:t>
      </w:r>
    </w:p>
    <w:p>
      <w:pPr>
        <w:ind w:left="452"/>
        <w:spacing w:after="0"/>
        <w:rPr>
          <w:rFonts w:ascii="Arial" w:cs="Arial" w:eastAsia="Arial" w:hAnsi="Arial"/>
          <w:sz w:val="18"/>
          <w:szCs w:val="18"/>
          <w:color w:val="auto"/>
        </w:rPr>
      </w:pPr>
      <w:r>
        <w:rPr>
          <w:rFonts w:ascii="Arial" w:cs="Arial" w:eastAsia="Arial" w:hAnsi="Arial"/>
          <w:sz w:val="18"/>
          <w:szCs w:val="18"/>
          <w:color w:val="auto"/>
        </w:rPr>
        <w:t>(3) EZMONEY Holdings, Inc. formerly known as EZPAWN South Carolina,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-739140</wp:posOffset>
            </wp:positionV>
            <wp:extent cx="13036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43" w:lineRule="exact"/>
        <w:rPr>
          <w:sz w:val="20"/>
          <w:szCs w:val="20"/>
          <w:color w:val="auto"/>
        </w:rPr>
      </w:pPr>
    </w:p>
    <w:p>
      <w:pPr>
        <w:ind w:left="452" w:hanging="452"/>
        <w:spacing w:after="0" w:line="246"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EZMONEY Management, Inc. is the general partner of Texas PRA Management, L.P. and EZMONEY Holdings, Inc. is the limited partner of Texas PRA Management, L.P.</w:t>
      </w:r>
    </w:p>
    <w:p>
      <w:pPr>
        <w:spacing w:after="0" w:line="48" w:lineRule="exact"/>
        <w:rPr>
          <w:rFonts w:ascii="Arial" w:cs="Arial" w:eastAsia="Arial" w:hAnsi="Arial"/>
          <w:sz w:val="18"/>
          <w:szCs w:val="18"/>
          <w:color w:val="auto"/>
        </w:rPr>
      </w:pPr>
    </w:p>
    <w:p>
      <w:pPr>
        <w:ind w:left="452" w:right="240" w:hanging="452"/>
        <w:spacing w:after="0" w:line="246"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Payday Loan Management, Inc. is the general partner of Texas EZMONEY, L.P. and EZMONEY Holdings, Inc. is the limited partner of Texas EZMONEY, L.P.</w:t>
      </w:r>
    </w:p>
    <w:p>
      <w:pPr>
        <w:sectPr>
          <w:pgSz w:w="11900" w:h="16838" w:orient="portrait"/>
          <w:cols w:equalWidth="0" w:num="1">
            <w:col w:w="11312"/>
          </w:cols>
          <w:pgMar w:left="248" w:top="115" w:right="339" w:bottom="1440" w:gutter="0" w:footer="0" w:header="0"/>
        </w:sectPr>
      </w:pPr>
    </w:p>
    <w:bookmarkStart w:id="139" w:name="page140"/>
    <w:bookmarkEnd w:id="139"/>
    <w:p>
      <w:pPr>
        <w:ind w:left="5220"/>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hereby consent to the incorporation by reference in the Registration Statement (Form S-8 No. 33-63078) pertaining to the EZCORP, Inc. 401(k) Plan, the Registration Statement (Form S-8 No. 333-108847) pertaining to the 1998 EZCORP, Inc. Stock Incentive Plan, the Registration Statement (Form S-8 No. 333-122116) pertaining to the EZCORP, Inc. 2003 Incentive Plan, the Registration Statement (Form S-8 No. 333-140492) pertaining to the EZCORP, Inc. 2006 Incentive Plan, the Registration Statement (Form S-4 No. 333-153703) and the Registration Statement (Form S-3 No. 333-155394) of our reports dated December 12, 2008 relating to the consolidated financial statements, the financial statement schedule, and the effectiveness of internal control over financial reporting of EZCORP, Inc. and subsidiaries included in the Annual Report (Form 10-K) for the year ended September 30, 2008.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BDO Seidman,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December 12, 2008</w:t>
      </w:r>
    </w:p>
    <w:p>
      <w:pPr>
        <w:sectPr>
          <w:pgSz w:w="11900" w:h="16838" w:orient="portrait"/>
          <w:cols w:equalWidth="0" w:num="1">
            <w:col w:w="11340"/>
          </w:cols>
          <w:pgMar w:left="240" w:top="118" w:right="31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Joseph L. Rotunda, certify that:</w:t>
      </w:r>
    </w:p>
    <w:p>
      <w:pPr>
        <w:spacing w:after="0" w:line="104" w:lineRule="exact"/>
        <w:rPr>
          <w:sz w:val="20"/>
          <w:szCs w:val="20"/>
          <w:color w:val="auto"/>
        </w:rPr>
      </w:pPr>
    </w:p>
    <w:p>
      <w:pPr>
        <w:ind w:left="66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 (the “registrant”) for the year ended September 30, 2008;</w:t>
      </w:r>
    </w:p>
    <w:p>
      <w:pPr>
        <w:spacing w:after="0" w:line="117" w:lineRule="exact"/>
        <w:rPr>
          <w:rFonts w:ascii="Arial" w:cs="Arial" w:eastAsia="Arial" w:hAnsi="Arial"/>
          <w:sz w:val="18"/>
          <w:szCs w:val="18"/>
          <w:color w:val="auto"/>
        </w:rPr>
      </w:pPr>
    </w:p>
    <w:p>
      <w:pPr>
        <w:ind w:left="660" w:right="10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60" w:hanging="436"/>
        <w:spacing w:after="0" w:line="24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30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112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20" w:right="34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20" w:right="28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120" w:right="10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500" w:hanging="43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20" w:right="20" w:hanging="437"/>
        <w:spacing w:after="0" w:line="275" w:lineRule="auto"/>
        <w:tabs>
          <w:tab w:leader="none" w:pos="11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120" w:right="200" w:hanging="437"/>
        <w:spacing w:after="0" w:line="246" w:lineRule="auto"/>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December 12, 2008</w:t>
      </w:r>
      <w:r>
        <w:rPr>
          <w:sz w:val="20"/>
          <w:szCs w:val="20"/>
          <w:color w:val="auto"/>
        </w:rPr>
        <w:tab/>
      </w:r>
      <w:r>
        <w:rPr>
          <w:rFonts w:ascii="Arial" w:cs="Arial" w:eastAsia="Arial" w:hAnsi="Arial"/>
          <w:sz w:val="18"/>
          <w:szCs w:val="18"/>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Joseph L. Rotunda</w:t>
      </w:r>
    </w:p>
    <w:p>
      <w:pPr>
        <w:ind w:left="4920"/>
        <w:spacing w:after="0" w:line="234" w:lineRule="auto"/>
        <w:rPr>
          <w:sz w:val="20"/>
          <w:szCs w:val="20"/>
          <w:color w:val="auto"/>
        </w:rPr>
      </w:pPr>
      <w:r>
        <w:rPr>
          <w:rFonts w:ascii="Arial" w:cs="Arial" w:eastAsia="Arial" w:hAnsi="Arial"/>
          <w:sz w:val="18"/>
          <w:szCs w:val="18"/>
          <w:color w:val="auto"/>
        </w:rPr>
        <w:t>President,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&amp; Director</w:t>
      </w:r>
    </w:p>
    <w:p>
      <w:pPr>
        <w:sectPr>
          <w:pgSz w:w="11900" w:h="16838" w:orient="portrait"/>
          <w:cols w:equalWidth="0" w:num="1">
            <w:col w:w="11420"/>
          </w:cols>
          <w:pgMar w:left="240" w:top="118" w:right="2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Dan N. Tonissen, certify that:</w:t>
      </w:r>
    </w:p>
    <w:p>
      <w:pPr>
        <w:spacing w:after="0" w:line="104" w:lineRule="exact"/>
        <w:rPr>
          <w:sz w:val="20"/>
          <w:szCs w:val="20"/>
          <w:color w:val="auto"/>
        </w:rPr>
      </w:pPr>
    </w:p>
    <w:p>
      <w:pPr>
        <w:ind w:left="66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 (the “registrant”) for the year ended September 30, 2008;</w:t>
      </w:r>
    </w:p>
    <w:p>
      <w:pPr>
        <w:spacing w:after="0" w:line="117" w:lineRule="exact"/>
        <w:rPr>
          <w:rFonts w:ascii="Arial" w:cs="Arial" w:eastAsia="Arial" w:hAnsi="Arial"/>
          <w:sz w:val="18"/>
          <w:szCs w:val="18"/>
          <w:color w:val="auto"/>
        </w:rPr>
      </w:pPr>
    </w:p>
    <w:p>
      <w:pPr>
        <w:ind w:left="660" w:right="10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660" w:hanging="436"/>
        <w:spacing w:after="0" w:line="24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left="660" w:right="30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1120" w:hanging="43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120" w:right="340" w:hanging="43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8"/>
          <w:szCs w:val="18"/>
          <w:color w:val="auto"/>
        </w:rPr>
      </w:pPr>
    </w:p>
    <w:p>
      <w:pPr>
        <w:jc w:val="both"/>
        <w:ind w:left="1120" w:right="280" w:hanging="43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120" w:right="100" w:hanging="43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660" w:right="500" w:hanging="436"/>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20" w:right="20" w:hanging="437"/>
        <w:spacing w:after="0" w:line="275" w:lineRule="auto"/>
        <w:tabs>
          <w:tab w:leader="none" w:pos="11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left="1120" w:right="200" w:hanging="437"/>
        <w:spacing w:after="0" w:line="246" w:lineRule="auto"/>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December 12, 2008</w:t>
      </w:r>
      <w:r>
        <w:rPr>
          <w:sz w:val="20"/>
          <w:szCs w:val="20"/>
          <w:color w:val="auto"/>
        </w:rPr>
        <w:tab/>
      </w:r>
      <w:r>
        <w:rPr>
          <w:rFonts w:ascii="Arial" w:cs="Arial" w:eastAsia="Arial" w:hAnsi="Arial"/>
          <w:sz w:val="17"/>
          <w:szCs w:val="17"/>
          <w:color w:val="auto"/>
        </w:rPr>
        <w:t>/s/ 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Dan N. Tonissen</w:t>
      </w:r>
    </w:p>
    <w:p>
      <w:pPr>
        <w:ind w:left="492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&amp; Director</w:t>
      </w:r>
    </w:p>
    <w:p>
      <w:pPr>
        <w:sectPr>
          <w:pgSz w:w="11900" w:h="16838" w:orient="portrait"/>
          <w:cols w:equalWidth="0" w:num="1">
            <w:col w:w="11420"/>
          </w:cols>
          <w:pgMar w:left="240" w:top="118" w:right="239" w:bottom="1440" w:gutter="0" w:footer="0" w:header="0"/>
        </w:sectPr>
      </w:pPr>
    </w:p>
    <w:bookmarkStart w:id="142" w:name="page143"/>
    <w:bookmarkEnd w:id="142"/>
    <w:p>
      <w:pPr>
        <w:jc w:val="center"/>
        <w:ind w:right="-519"/>
        <w:spacing w:after="0"/>
        <w:rPr>
          <w:sz w:val="20"/>
          <w:szCs w:val="20"/>
          <w:color w:val="auto"/>
        </w:rPr>
      </w:pPr>
      <w:r>
        <w:rPr>
          <w:rFonts w:ascii="Arial" w:cs="Arial" w:eastAsia="Arial" w:hAnsi="Arial"/>
          <w:sz w:val="18"/>
          <w:szCs w:val="18"/>
          <w:b w:val="1"/>
          <w:bCs w:val="1"/>
          <w:color w:val="auto"/>
        </w:rPr>
        <w:t>Exhibit 32.1</w:t>
      </w:r>
    </w:p>
    <w:p>
      <w:pPr>
        <w:spacing w:after="0" w:line="1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filing of the Annual Report on Form 10-K for the period ended September 30, 2008 (the “Report”) by EZCORP,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(“Registrant”), the undersigned hereby certifies that:</w:t>
      </w:r>
    </w:p>
    <w:p>
      <w:pPr>
        <w:spacing w:after="0" w:line="104"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Registrant.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2008</w:t>
      </w:r>
    </w:p>
    <w:p>
      <w:pPr>
        <w:ind w:left="4920"/>
        <w:spacing w:after="0"/>
        <w:rPr>
          <w:sz w:val="20"/>
          <w:szCs w:val="20"/>
          <w:color w:val="auto"/>
        </w:rPr>
      </w:pPr>
      <w:r>
        <w:rPr>
          <w:rFonts w:ascii="Arial" w:cs="Arial" w:eastAsia="Arial" w:hAnsi="Arial"/>
          <w:sz w:val="18"/>
          <w:szCs w:val="18"/>
          <w:color w:val="auto"/>
        </w:rPr>
        <w:t>/s/ 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Joseph L. Rotunda</w:t>
      </w:r>
    </w:p>
    <w:p>
      <w:pPr>
        <w:ind w:left="4920"/>
        <w:spacing w:after="0" w:line="234" w:lineRule="auto"/>
        <w:rPr>
          <w:sz w:val="20"/>
          <w:szCs w:val="20"/>
          <w:color w:val="auto"/>
        </w:rPr>
      </w:pPr>
      <w:r>
        <w:rPr>
          <w:rFonts w:ascii="Arial" w:cs="Arial" w:eastAsia="Arial" w:hAnsi="Arial"/>
          <w:sz w:val="18"/>
          <w:szCs w:val="18"/>
          <w:color w:val="auto"/>
        </w:rPr>
        <w:t>President,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&amp; Director</w:t>
      </w:r>
    </w:p>
    <w:p>
      <w:pPr>
        <w:sectPr>
          <w:pgSz w:w="11900" w:h="16838" w:orient="portrait"/>
          <w:cols w:equalWidth="0" w:num="1">
            <w:col w:w="10900"/>
          </w:cols>
          <w:pgMar w:left="240" w:top="116" w:right="759" w:bottom="1440" w:gutter="0" w:footer="0" w:header="0"/>
        </w:sectPr>
      </w:pPr>
    </w:p>
    <w:bookmarkStart w:id="143" w:name="page144"/>
    <w:bookmarkEnd w:id="143"/>
    <w:p>
      <w:pPr>
        <w:jc w:val="center"/>
        <w:ind w:right="-519"/>
        <w:spacing w:after="0"/>
        <w:rPr>
          <w:sz w:val="20"/>
          <w:szCs w:val="20"/>
          <w:color w:val="auto"/>
        </w:rPr>
      </w:pPr>
      <w:r>
        <w:rPr>
          <w:rFonts w:ascii="Arial" w:cs="Arial" w:eastAsia="Arial" w:hAnsi="Arial"/>
          <w:sz w:val="18"/>
          <w:szCs w:val="18"/>
          <w:b w:val="1"/>
          <w:bCs w:val="1"/>
          <w:color w:val="auto"/>
        </w:rPr>
        <w:t>Exhibit 32.2</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filing of the Annual Report on Form 10-K for the period ended September 30, 2008 (the “Report”) by EZCORP,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(“Registrant”), the undersigned hereby certifies that:</w:t>
      </w:r>
    </w:p>
    <w:p>
      <w:pPr>
        <w:spacing w:after="0" w:line="104"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280" w:right="340" w:hanging="272"/>
        <w:spacing w:after="0" w:line="246" w:lineRule="auto"/>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Registrant.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2008</w:t>
      </w:r>
    </w:p>
    <w:p>
      <w:pPr>
        <w:ind w:left="4920"/>
        <w:spacing w:after="0"/>
        <w:rPr>
          <w:sz w:val="20"/>
          <w:szCs w:val="20"/>
          <w:color w:val="auto"/>
        </w:rPr>
      </w:pPr>
      <w:r>
        <w:rPr>
          <w:rFonts w:ascii="Arial" w:cs="Arial" w:eastAsia="Arial" w:hAnsi="Arial"/>
          <w:sz w:val="18"/>
          <w:szCs w:val="18"/>
          <w:color w:val="auto"/>
        </w:rPr>
        <w:t>/s/ 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-1905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8"/>
          <w:szCs w:val="18"/>
          <w:color w:val="auto"/>
        </w:rPr>
        <w:t>Dan N. Tonissen</w:t>
      </w:r>
    </w:p>
    <w:p>
      <w:pPr>
        <w:ind w:left="4920"/>
        <w:spacing w:after="0" w:line="234" w:lineRule="auto"/>
        <w:rPr>
          <w:sz w:val="20"/>
          <w:szCs w:val="20"/>
          <w:color w:val="auto"/>
        </w:rPr>
      </w:pPr>
      <w:r>
        <w:rPr>
          <w:rFonts w:ascii="Arial" w:cs="Arial" w:eastAsia="Arial" w:hAnsi="Arial"/>
          <w:sz w:val="18"/>
          <w:szCs w:val="18"/>
          <w:color w:val="auto"/>
        </w:rPr>
        <w:t>Senior Vice President,</w:t>
      </w:r>
    </w:p>
    <w:p>
      <w:pPr>
        <w:ind w:left="4920"/>
        <w:spacing w:after="0" w:line="235" w:lineRule="auto"/>
        <w:rPr>
          <w:sz w:val="20"/>
          <w:szCs w:val="20"/>
          <w:color w:val="auto"/>
        </w:rPr>
      </w:pPr>
      <w:r>
        <w:rPr>
          <w:rFonts w:ascii="Arial" w:cs="Arial" w:eastAsia="Arial" w:hAnsi="Arial"/>
          <w:sz w:val="18"/>
          <w:szCs w:val="18"/>
          <w:color w:val="auto"/>
        </w:rPr>
        <w:t>Chief Financial Officer &amp;</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Director</w:t>
      </w:r>
    </w:p>
    <w:sectPr>
      <w:pgSz w:w="11900" w:h="16838" w:orient="portrait"/>
      <w:cols w:equalWidth="0" w:num="1">
        <w:col w:w="10900"/>
      </w:cols>
      <w:pgMar w:left="24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lowerRoman"/>
      <w:start w:val="1"/>
    </w:lvl>
  </w:abstractNum>
  <w:abstractNum w:abstractNumId="1">
    <w:nsid w:val="614FD4A1"/>
    <w:multiLevelType w:val="hybridMultilevel"/>
    <w:lvl w:ilvl="0">
      <w:lvlJc w:val="left"/>
      <w:lvlText w:val="(%1)"/>
      <w:numFmt w:val="lowerRoman"/>
      <w:start w:val="1"/>
    </w:lvl>
  </w:abstractNum>
  <w:abstractNum w:abstractNumId="2">
    <w:nsid w:val="419AC241"/>
    <w:multiLevelType w:val="hybridMultilevel"/>
    <w:lvl w:ilvl="0">
      <w:lvlJc w:val="left"/>
      <w:lvlText w:val="(%1)"/>
      <w:numFmt w:val="lowerRoman"/>
      <w:start w:val="1"/>
    </w:lvl>
  </w:abstractNum>
  <w:abstractNum w:abstractNumId="3">
    <w:nsid w:val="5577F8E1"/>
    <w:multiLevelType w:val="hybridMultilevel"/>
    <w:lvl w:ilvl="0">
      <w:lvlJc w:val="left"/>
      <w:lvlText w:val="(%1)"/>
      <w:numFmt w:val="lowerRoman"/>
      <w:start w:val="1"/>
    </w:lvl>
  </w:abstractNum>
  <w:abstractNum w:abstractNumId="4">
    <w:nsid w:val="440BADFC"/>
    <w:multiLevelType w:val="hybridMultilevel"/>
    <w:lvl w:ilvl="0">
      <w:lvlJc w:val="left"/>
      <w:lvlText w:val="(%1)"/>
      <w:numFmt w:val="lowerRoman"/>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Roman"/>
      <w:start w:val="1"/>
    </w:lvl>
  </w:abstractNum>
  <w:abstractNum w:abstractNumId="17">
    <w:nsid w:val="70A64E2A"/>
    <w:multiLevelType w:val="hybridMultilevel"/>
    <w:lvl w:ilvl="0">
      <w:lvlJc w:val="left"/>
      <w:lvlText w:val="(%1)"/>
      <w:numFmt w:val="lowerRoman"/>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decimal"/>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4"/>
    </w:lvl>
  </w:abstractNum>
  <w:abstractNum w:abstractNumId="22">
    <w:nsid w:val="2CD89A32"/>
    <w:multiLevelType w:val="hybridMultilevel"/>
    <w:lvl w:ilvl="0">
      <w:lvlJc w:val="left"/>
      <w:lvlText w:val="(%1)"/>
      <w:numFmt w:val="decimal"/>
      <w:start w:val="1"/>
    </w:lvl>
    <w:lvl w:ilvl="1">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2"/>
    </w:lvl>
  </w:abstractNum>
  <w:abstractNum w:abstractNumId="37">
    <w:nsid w:val="75C6C33A"/>
    <w:multiLevelType w:val="hybridMultilevel"/>
    <w:lvl w:ilvl="0">
      <w:lvlJc w:val="left"/>
      <w:lvlText w:val="(%1)"/>
      <w:numFmt w:val="decimal"/>
      <w:start w:val="3"/>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lowerRoman"/>
      <w:start w:val="2"/>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2"/>
    </w:lvl>
  </w:abstractNum>
  <w:abstractNum w:abstractNumId="44">
    <w:nsid w:val="649BB77C"/>
    <w:multiLevelType w:val="hybridMultilevel"/>
    <w:lvl w:ilvl="0">
      <w:lvlJc w:val="left"/>
      <w:lvlText w:val="(%1)"/>
      <w:numFmt w:val="decimal"/>
      <w:start w:val="2"/>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Letter"/>
      <w:start w:val="1"/>
    </w:lvl>
    <w:lvl w:ilvl="1">
      <w:lvlJc w:val="left"/>
      <w:lvlText w:val="(%2)"/>
      <w:numFmt w:val="lowerRoman"/>
      <w:start w:val="1"/>
    </w:lvl>
  </w:abstractNum>
  <w:abstractNum w:abstractNumId="48">
    <w:nsid w:val="180115BE"/>
    <w:multiLevelType w:val="hybridMultilevel"/>
    <w:lvl w:ilvl="0">
      <w:lvlJc w:val="left"/>
      <w:lvlText w:val="(%1)"/>
      <w:numFmt w:val="lowerLetter"/>
      <w:start w:val="2"/>
    </w:lvl>
    <w:lvl w:ilvl="1">
      <w:lvlJc w:val="left"/>
      <w:lvlText w:val="%2"/>
      <w:numFmt w:val="lowerRoman"/>
      <w:start w:val="1"/>
    </w:lvl>
  </w:abstractNum>
  <w:abstractNum w:abstractNumId="49">
    <w:nsid w:val="235BA861"/>
    <w:multiLevelType w:val="hybridMultilevel"/>
    <w:lvl w:ilvl="0">
      <w:lvlJc w:val="left"/>
      <w:lvlText w:val="(%1)"/>
      <w:numFmt w:val="lowerLetter"/>
      <w:start w:val="2"/>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1."/>
      <w:numFmt w:val="decimal"/>
      <w:start w:val="4"/>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ü"/>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lvl w:ilvl="1">
      <w:lvlJc w:val="left"/>
      <w:lvlText w:val="%2."/>
      <w:numFmt w:val="decimal"/>
      <w:start w:val="1"/>
    </w:lvl>
  </w:abstractNum>
  <w:abstractNum w:abstractNumId="60">
    <w:nsid w:val="579BE4F1"/>
    <w:multiLevelType w:val="hybridMultilevel"/>
    <w:lvl w:ilvl="0">
      <w:lvlJc w:val="left"/>
      <w:lvlText w:val="(%1)"/>
      <w:numFmt w:val="decimal"/>
      <w:start w:val="1"/>
    </w:lvl>
    <w:lvl w:ilvl="1">
      <w:lvlJc w:val="left"/>
      <w:lvlText w:val="%2"/>
      <w:numFmt w:val="decimal"/>
      <w:start w:val="1"/>
    </w:lvl>
  </w:abstractNum>
  <w:abstractNum w:abstractNumId="61">
    <w:nsid w:val="310C50B3"/>
    <w:multiLevelType w:val="hybridMultilevel"/>
    <w:lvl w:ilvl="0">
      <w:lvlJc w:val="left"/>
      <w:lvlText w:val="(%1)"/>
      <w:numFmt w:val="decimal"/>
      <w:start w:val="4"/>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2020-01-31T21:12:34Z</dcterms:created>
  <dcterms:modified xsi:type="dcterms:W3CDTF">2020-01-31T21:12:34Z</dcterms:modified>
</cp:coreProperties>
</file>