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8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11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3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2620645</wp:posOffset>
            </wp:positionH>
            <wp:positionV relativeFrom="paragraph">
              <wp:posOffset>208280</wp:posOffset>
            </wp:positionV>
            <wp:extent cx="19551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200" w:lineRule="exact"/>
        <w:rPr>
          <w:sz w:val="24"/>
          <w:szCs w:val="24"/>
          <w:color w:val="auto"/>
        </w:rPr>
      </w:pPr>
    </w:p>
    <w:p>
      <w:pPr>
        <w:spacing w:after="0" w:line="31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2620645</wp:posOffset>
            </wp:positionH>
            <wp:positionV relativeFrom="paragraph">
              <wp:posOffset>109855</wp:posOffset>
            </wp:positionV>
            <wp:extent cx="19551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ind w:left="600" w:right="480" w:hanging="565"/>
        <w:spacing w:after="0" w:line="256" w:lineRule="auto"/>
        <w:tabs>
          <w:tab w:leader="none" w:pos="60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15(d) OF THE SECURITIES EXHANGE ACT OF 1934</w:t>
      </w:r>
    </w:p>
    <w:p>
      <w:pPr>
        <w:spacing w:after="0" w:line="9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December 31, 2012</w:t>
      </w:r>
    </w:p>
    <w:p>
      <w:pPr>
        <w:spacing w:after="0" w:line="252"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or</w:t>
      </w:r>
    </w:p>
    <w:p>
      <w:pPr>
        <w:spacing w:after="0" w:line="189" w:lineRule="exact"/>
        <w:rPr>
          <w:sz w:val="24"/>
          <w:szCs w:val="24"/>
          <w:color w:val="auto"/>
        </w:rPr>
      </w:pPr>
    </w:p>
    <w:p>
      <w:pPr>
        <w:ind w:left="680" w:right="220" w:hanging="564"/>
        <w:spacing w:after="0" w:line="256" w:lineRule="auto"/>
        <w:tabs>
          <w:tab w:leader="none" w:pos="6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99" w:lineRule="exact"/>
        <w:rPr>
          <w:sz w:val="24"/>
          <w:szCs w:val="24"/>
          <w:color w:val="auto"/>
        </w:rPr>
      </w:pPr>
    </w:p>
    <w:p>
      <w:pPr>
        <w:ind w:left="342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-7620</wp:posOffset>
            </wp:positionV>
            <wp:extent cx="1409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9700" cy="8890"/>
                    </a:xfrm>
                    <a:prstGeom prst="rect">
                      <a:avLst/>
                    </a:prstGeom>
                    <a:noFill/>
                  </pic:spPr>
                </pic:pic>
              </a:graphicData>
            </a:graphic>
          </wp:anchor>
        </w:drawing>
      </w:r>
    </w:p>
    <w:p>
      <w:pPr>
        <w:spacing w:after="0" w:line="9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No. 0-19424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2620645</wp:posOffset>
            </wp:positionH>
            <wp:positionV relativeFrom="paragraph">
              <wp:posOffset>102870</wp:posOffset>
            </wp:positionV>
            <wp:extent cx="19551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EZCORP, INC.</w:t>
      </w:r>
    </w:p>
    <w:p>
      <w:pPr>
        <w:spacing w:after="0" w:line="19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79" w:lineRule="exact"/>
        <w:rPr>
          <w:sz w:val="24"/>
          <w:szCs w:val="24"/>
          <w:color w:val="auto"/>
        </w:rPr>
      </w:pPr>
    </w:p>
    <w:tbl>
      <w:tblPr>
        <w:tblLayout w:type="fixed"/>
        <w:tblInd w:w="1680" w:type="dxa"/>
        <w:tblCellMar>
          <w:top w:w="0" w:type="dxa"/>
          <w:left w:w="0" w:type="dxa"/>
          <w:bottom w:w="0" w:type="dxa"/>
          <w:right w:w="0" w:type="dxa"/>
        </w:tblCellMar>
      </w:tblPr>
      <w:tr>
        <w:trPr>
          <w:trHeight w:val="234"/>
        </w:trPr>
        <w:tc>
          <w:tcPr>
            <w:tcW w:w="2920" w:type="dxa"/>
            <w:vAlign w:val="bottom"/>
          </w:tcPr>
          <w:p>
            <w:pPr>
              <w:jc w:val="center"/>
              <w:ind w:right="479"/>
              <w:spacing w:after="0"/>
              <w:rPr>
                <w:sz w:val="20"/>
                <w:szCs w:val="20"/>
                <w:color w:val="auto"/>
              </w:rPr>
            </w:pPr>
            <w:r>
              <w:rPr>
                <w:rFonts w:ascii="Arial" w:cs="Arial" w:eastAsia="Arial" w:hAnsi="Arial"/>
                <w:sz w:val="18"/>
                <w:szCs w:val="18"/>
                <w:b w:val="1"/>
                <w:bCs w:val="1"/>
                <w:color w:val="auto"/>
                <w:w w:val="91"/>
              </w:rPr>
              <w:t>Delaware</w:t>
            </w:r>
          </w:p>
        </w:tc>
        <w:tc>
          <w:tcPr>
            <w:tcW w:w="4540" w:type="dxa"/>
            <w:vAlign w:val="bottom"/>
          </w:tcPr>
          <w:p>
            <w:pPr>
              <w:jc w:val="right"/>
              <w:ind w:right="59"/>
              <w:spacing w:after="0"/>
              <w:rPr>
                <w:sz w:val="20"/>
                <w:szCs w:val="20"/>
                <w:color w:val="auto"/>
              </w:rPr>
            </w:pPr>
            <w:r>
              <w:rPr>
                <w:rFonts w:ascii="Arial" w:cs="Arial" w:eastAsia="Arial" w:hAnsi="Arial"/>
                <w:sz w:val="18"/>
                <w:szCs w:val="18"/>
                <w:b w:val="1"/>
                <w:bCs w:val="1"/>
                <w:color w:val="auto"/>
              </w:rPr>
              <w:t>74-2540145</w:t>
            </w:r>
          </w:p>
        </w:tc>
      </w:tr>
      <w:tr>
        <w:trPr>
          <w:trHeight w:val="180"/>
        </w:trPr>
        <w:tc>
          <w:tcPr>
            <w:tcW w:w="2920" w:type="dxa"/>
            <w:vAlign w:val="bottom"/>
          </w:tcPr>
          <w:p>
            <w:pPr>
              <w:jc w:val="center"/>
              <w:ind w:right="479"/>
              <w:spacing w:after="0"/>
              <w:rPr>
                <w:sz w:val="20"/>
                <w:szCs w:val="20"/>
                <w:color w:val="auto"/>
              </w:rPr>
            </w:pPr>
            <w:r>
              <w:rPr>
                <w:rFonts w:ascii="Arial" w:cs="Arial" w:eastAsia="Arial" w:hAnsi="Arial"/>
                <w:sz w:val="14"/>
                <w:szCs w:val="14"/>
                <w:b w:val="1"/>
                <w:bCs w:val="1"/>
                <w:color w:val="auto"/>
                <w:w w:val="93"/>
              </w:rPr>
              <w:t>(State or other jurisdiction of</w:t>
            </w:r>
          </w:p>
        </w:tc>
        <w:tc>
          <w:tcPr>
            <w:tcW w:w="4540" w:type="dxa"/>
            <w:vAlign w:val="bottom"/>
          </w:tcPr>
          <w:p>
            <w:pPr>
              <w:jc w:val="center"/>
              <w:ind w:left="3339"/>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920" w:type="dxa"/>
            <w:vAlign w:val="bottom"/>
          </w:tcPr>
          <w:p>
            <w:pPr>
              <w:jc w:val="center"/>
              <w:ind w:right="479"/>
              <w:spacing w:after="0"/>
              <w:rPr>
                <w:sz w:val="20"/>
                <w:szCs w:val="20"/>
                <w:color w:val="auto"/>
              </w:rPr>
            </w:pPr>
            <w:r>
              <w:rPr>
                <w:rFonts w:ascii="Arial" w:cs="Arial" w:eastAsia="Arial" w:hAnsi="Arial"/>
                <w:sz w:val="14"/>
                <w:szCs w:val="14"/>
                <w:b w:val="1"/>
                <w:bCs w:val="1"/>
                <w:color w:val="auto"/>
                <w:w w:val="94"/>
              </w:rPr>
              <w:t>incorporation or organization)</w:t>
            </w:r>
          </w:p>
        </w:tc>
        <w:tc>
          <w:tcPr>
            <w:tcW w:w="4540" w:type="dxa"/>
            <w:vAlign w:val="bottom"/>
          </w:tcPr>
          <w:p>
            <w:pPr>
              <w:jc w:val="center"/>
              <w:ind w:left="3319"/>
              <w:spacing w:after="0"/>
              <w:rPr>
                <w:sz w:val="20"/>
                <w:szCs w:val="20"/>
                <w:color w:val="auto"/>
              </w:rPr>
            </w:pPr>
            <w:r>
              <w:rPr>
                <w:rFonts w:ascii="Arial" w:cs="Arial" w:eastAsia="Arial" w:hAnsi="Arial"/>
                <w:sz w:val="14"/>
                <w:szCs w:val="14"/>
                <w:b w:val="1"/>
                <w:bCs w:val="1"/>
                <w:color w:val="auto"/>
                <w:w w:val="96"/>
              </w:rPr>
              <w:t>Identification No.)</w:t>
            </w:r>
          </w:p>
        </w:tc>
      </w:tr>
      <w:tr>
        <w:trPr>
          <w:trHeight w:val="358"/>
        </w:trPr>
        <w:tc>
          <w:tcPr>
            <w:tcW w:w="2920" w:type="dxa"/>
            <w:vAlign w:val="bottom"/>
          </w:tcPr>
          <w:p>
            <w:pPr>
              <w:jc w:val="center"/>
              <w:ind w:right="479"/>
              <w:spacing w:after="0"/>
              <w:rPr>
                <w:sz w:val="20"/>
                <w:szCs w:val="20"/>
                <w:color w:val="auto"/>
              </w:rPr>
            </w:pPr>
            <w:r>
              <w:rPr>
                <w:rFonts w:ascii="Arial" w:cs="Arial" w:eastAsia="Arial" w:hAnsi="Arial"/>
                <w:sz w:val="18"/>
                <w:szCs w:val="18"/>
                <w:b w:val="1"/>
                <w:bCs w:val="1"/>
                <w:color w:val="auto"/>
                <w:w w:val="93"/>
              </w:rPr>
              <w:t>1901 Capital Parkway</w:t>
            </w:r>
          </w:p>
        </w:tc>
        <w:tc>
          <w:tcPr>
            <w:tcW w:w="4540" w:type="dxa"/>
            <w:vAlign w:val="bottom"/>
          </w:tcPr>
          <w:p>
            <w:pPr>
              <w:spacing w:after="0"/>
              <w:rPr>
                <w:sz w:val="24"/>
                <w:szCs w:val="24"/>
                <w:color w:val="auto"/>
              </w:rPr>
            </w:pPr>
          </w:p>
        </w:tc>
      </w:tr>
      <w:tr>
        <w:trPr>
          <w:trHeight w:val="234"/>
        </w:trPr>
        <w:tc>
          <w:tcPr>
            <w:tcW w:w="2920" w:type="dxa"/>
            <w:vAlign w:val="bottom"/>
          </w:tcPr>
          <w:p>
            <w:pPr>
              <w:jc w:val="center"/>
              <w:ind w:right="479"/>
              <w:spacing w:after="0"/>
              <w:rPr>
                <w:sz w:val="20"/>
                <w:szCs w:val="20"/>
                <w:color w:val="auto"/>
              </w:rPr>
            </w:pPr>
            <w:r>
              <w:rPr>
                <w:rFonts w:ascii="Arial" w:cs="Arial" w:eastAsia="Arial" w:hAnsi="Arial"/>
                <w:sz w:val="18"/>
                <w:szCs w:val="18"/>
                <w:b w:val="1"/>
                <w:bCs w:val="1"/>
                <w:color w:val="auto"/>
                <w:w w:val="88"/>
              </w:rPr>
              <w:t>Austin, Texas</w:t>
            </w:r>
          </w:p>
        </w:tc>
        <w:tc>
          <w:tcPr>
            <w:tcW w:w="4540" w:type="dxa"/>
            <w:vAlign w:val="bottom"/>
          </w:tcPr>
          <w:p>
            <w:pPr>
              <w:jc w:val="right"/>
              <w:ind w:right="259"/>
              <w:spacing w:after="0"/>
              <w:rPr>
                <w:sz w:val="20"/>
                <w:szCs w:val="20"/>
                <w:color w:val="auto"/>
              </w:rPr>
            </w:pPr>
            <w:r>
              <w:rPr>
                <w:rFonts w:ascii="Arial" w:cs="Arial" w:eastAsia="Arial" w:hAnsi="Arial"/>
                <w:sz w:val="18"/>
                <w:szCs w:val="18"/>
                <w:b w:val="1"/>
                <w:bCs w:val="1"/>
                <w:color w:val="auto"/>
              </w:rPr>
              <w:t>78746</w:t>
            </w:r>
          </w:p>
        </w:tc>
      </w:tr>
      <w:tr>
        <w:trPr>
          <w:trHeight w:val="218"/>
        </w:trPr>
        <w:tc>
          <w:tcPr>
            <w:tcW w:w="2920" w:type="dxa"/>
            <w:vAlign w:val="bottom"/>
          </w:tcPr>
          <w:p>
            <w:pPr>
              <w:jc w:val="center"/>
              <w:ind w:right="45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540" w:type="dxa"/>
            <w:vAlign w:val="bottom"/>
          </w:tcPr>
          <w:p>
            <w:pPr>
              <w:jc w:val="center"/>
              <w:ind w:left="3319"/>
              <w:spacing w:after="0"/>
              <w:rPr>
                <w:sz w:val="20"/>
                <w:szCs w:val="20"/>
                <w:color w:val="auto"/>
              </w:rPr>
            </w:pPr>
            <w:r>
              <w:rPr>
                <w:rFonts w:ascii="Arial" w:cs="Arial" w:eastAsia="Arial" w:hAnsi="Arial"/>
                <w:sz w:val="14"/>
                <w:szCs w:val="14"/>
                <w:b w:val="1"/>
                <w:bCs w:val="1"/>
                <w:color w:val="auto"/>
                <w:w w:val="95"/>
              </w:rPr>
              <w:t>(Zip Code)</w:t>
            </w:r>
          </w:p>
        </w:tc>
      </w:tr>
      <w:tr>
        <w:trPr>
          <w:trHeight w:val="390"/>
        </w:trPr>
        <w:tc>
          <w:tcPr>
            <w:tcW w:w="2920" w:type="dxa"/>
            <w:vAlign w:val="bottom"/>
          </w:tcPr>
          <w:p>
            <w:pPr>
              <w:spacing w:after="0"/>
              <w:rPr>
                <w:sz w:val="24"/>
                <w:szCs w:val="24"/>
                <w:color w:val="auto"/>
              </w:rPr>
            </w:pPr>
          </w:p>
        </w:tc>
        <w:tc>
          <w:tcPr>
            <w:tcW w:w="4540" w:type="dxa"/>
            <w:vAlign w:val="bottom"/>
          </w:tcPr>
          <w:p>
            <w:pPr>
              <w:jc w:val="right"/>
              <w:ind w:right="2779"/>
              <w:spacing w:after="0"/>
              <w:rPr>
                <w:sz w:val="20"/>
                <w:szCs w:val="20"/>
                <w:color w:val="auto"/>
              </w:rPr>
            </w:pPr>
            <w:r>
              <w:rPr>
                <w:rFonts w:ascii="Arial" w:cs="Arial" w:eastAsia="Arial" w:hAnsi="Arial"/>
                <w:sz w:val="18"/>
                <w:szCs w:val="18"/>
                <w:b w:val="1"/>
                <w:bCs w:val="1"/>
                <w:color w:val="auto"/>
              </w:rPr>
              <w:t>(512) 314-3400</w:t>
            </w:r>
          </w:p>
        </w:tc>
      </w:tr>
    </w:tbl>
    <w:p>
      <w:pPr>
        <w:spacing w:after="0" w:line="11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2397760</wp:posOffset>
            </wp:positionH>
            <wp:positionV relativeFrom="paragraph">
              <wp:posOffset>118110</wp:posOffset>
            </wp:positionV>
            <wp:extent cx="23926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ind w:right="480"/>
        <w:spacing w:after="0" w:line="264"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21"/>
          <w:szCs w:val="21"/>
          <w:color w:val="auto"/>
        </w:rPr>
        <w:t>x</w:t>
      </w:r>
      <w:r>
        <w:rPr>
          <w:rFonts w:ascii="Arial" w:cs="Arial" w:eastAsia="Arial" w:hAnsi="Arial"/>
          <w:sz w:val="18"/>
          <w:szCs w:val="18"/>
          <w:color w:val="auto"/>
        </w:rPr>
        <w:t xml:space="preserve"> No </w:t>
      </w:r>
      <w:r>
        <w:rPr>
          <w:rFonts w:ascii="MS PGothic" w:cs="MS PGothic" w:eastAsia="MS PGothic" w:hAnsi="MS PGothic"/>
          <w:sz w:val="21"/>
          <w:szCs w:val="21"/>
          <w:color w:val="auto"/>
        </w:rPr>
        <w:t>☐</w:t>
      </w:r>
    </w:p>
    <w:p>
      <w:pPr>
        <w:spacing w:after="0" w:line="210" w:lineRule="exact"/>
        <w:rPr>
          <w:sz w:val="24"/>
          <w:szCs w:val="24"/>
          <w:color w:val="auto"/>
        </w:rPr>
      </w:pPr>
    </w:p>
    <w:p>
      <w:pPr>
        <w:jc w:val="both"/>
        <w:spacing w:after="0" w:line="264"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Arial" w:cs="Arial" w:eastAsia="Arial" w:hAnsi="Arial"/>
          <w:sz w:val="21"/>
          <w:szCs w:val="21"/>
          <w:color w:val="auto"/>
        </w:rPr>
        <w:t>x</w:t>
      </w:r>
      <w:r>
        <w:rPr>
          <w:rFonts w:ascii="Arial" w:cs="Arial" w:eastAsia="Arial" w:hAnsi="Arial"/>
          <w:sz w:val="18"/>
          <w:szCs w:val="18"/>
          <w:color w:val="auto"/>
        </w:rPr>
        <w:t xml:space="preserve"> No </w:t>
      </w:r>
      <w:r>
        <w:rPr>
          <w:rFonts w:ascii="MS PGothic" w:cs="MS PGothic" w:eastAsia="MS PGothic" w:hAnsi="MS PGothic"/>
          <w:sz w:val="21"/>
          <w:szCs w:val="21"/>
          <w:color w:val="auto"/>
        </w:rPr>
        <w:t>☐</w:t>
      </w:r>
    </w:p>
    <w:p>
      <w:pPr>
        <w:spacing w:after="0" w:line="129" w:lineRule="exact"/>
        <w:rPr>
          <w:sz w:val="24"/>
          <w:szCs w:val="24"/>
          <w:color w:val="auto"/>
        </w:rPr>
      </w:pPr>
    </w:p>
    <w:p>
      <w:pPr>
        <w:ind w:right="40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w:t>
      </w:r>
    </w:p>
    <w:p>
      <w:pPr>
        <w:sectPr>
          <w:pgSz w:w="11900" w:h="16838" w:orient="portrait"/>
          <w:cols w:equalWidth="0" w:num="1">
            <w:col w:w="11420"/>
          </w:cols>
          <w:pgMar w:left="240" w:top="229" w:right="239" w:bottom="572" w:gutter="0" w:footer="0" w:header="0"/>
        </w:sectPr>
      </w:pPr>
    </w:p>
    <w:p>
      <w:pPr>
        <w:spacing w:after="0" w:line="147"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9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2" w:lineRule="exact"/>
        <w:rPr>
          <w:sz w:val="24"/>
          <w:szCs w:val="24"/>
          <w:color w:val="auto"/>
        </w:rPr>
      </w:pPr>
    </w:p>
    <w:p>
      <w:pPr>
        <w:sectPr>
          <w:pgSz w:w="11900" w:h="16838" w:orient="portrait"/>
          <w:cols w:equalWidth="0" w:num="4">
            <w:col w:w="1800" w:space="720"/>
            <w:col w:w="3900" w:space="720"/>
            <w:col w:w="2980" w:space="720"/>
            <w:col w:w="580"/>
          </w:cols>
          <w:pgMar w:left="240" w:top="229" w:right="239" w:bottom="572" w:gutter="0" w:footer="0" w:header="0"/>
          <w:type w:val="continuous"/>
        </w:sectPr>
      </w:pPr>
    </w:p>
    <w:p>
      <w:pPr>
        <w:spacing w:after="0" w:line="20"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77" w:lineRule="exact"/>
        <w:rPr>
          <w:sz w:val="24"/>
          <w:szCs w:val="24"/>
          <w:color w:val="auto"/>
        </w:rPr>
      </w:pPr>
    </w:p>
    <w:p>
      <w:pPr>
        <w:sectPr>
          <w:pgSz w:w="11900" w:h="16838" w:orient="portrait"/>
          <w:cols w:equalWidth="0" w:num="5">
            <w:col w:w="1800" w:space="720"/>
            <w:col w:w="160" w:space="100"/>
            <w:col w:w="3640" w:space="720"/>
            <w:col w:w="2980" w:space="720"/>
            <w:col w:w="580"/>
          </w:cols>
          <w:pgMar w:left="240" w:top="229" w:right="239" w:bottom="572" w:gutter="0" w:footer="0" w:header="0"/>
          <w:type w:val="continuous"/>
        </w:sectPr>
      </w:pPr>
    </w:p>
    <w:p>
      <w:pPr>
        <w:spacing w:after="0" w:line="74"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54"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54"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br w:type="column"/>
      </w:r>
    </w:p>
    <w:p>
      <w:pPr>
        <w:spacing w:after="0" w:line="20" w:lineRule="exact"/>
        <w:rPr>
          <w:sz w:val="24"/>
          <w:szCs w:val="24"/>
          <w:color w:val="auto"/>
        </w:rPr>
      </w:pPr>
    </w:p>
    <w:p>
      <w:pPr>
        <w:spacing w:after="0"/>
        <w:rPr>
          <w:sz w:val="20"/>
          <w:szCs w:val="20"/>
          <w:color w:val="auto"/>
        </w:rPr>
      </w:pPr>
      <w:r>
        <w:rPr>
          <w:rFonts w:ascii="Arial" w:cs="Arial" w:eastAsia="Arial" w:hAnsi="Arial"/>
          <w:sz w:val="22"/>
          <w:szCs w:val="22"/>
          <w:color w:val="auto"/>
        </w:rPr>
        <w:t>x</w:t>
      </w:r>
    </w:p>
    <w:p>
      <w:pPr>
        <w:spacing w:after="0" w:line="119" w:lineRule="exact"/>
        <w:rPr>
          <w:sz w:val="24"/>
          <w:szCs w:val="24"/>
          <w:color w:val="auto"/>
        </w:rPr>
      </w:pPr>
    </w:p>
    <w:p>
      <w:pPr>
        <w:sectPr>
          <w:pgSz w:w="11900" w:h="16838" w:orient="portrait"/>
          <w:cols w:equalWidth="0" w:num="5">
            <w:col w:w="8180" w:space="180"/>
            <w:col w:w="260" w:space="100"/>
            <w:col w:w="180" w:space="180"/>
            <w:col w:w="220" w:space="80"/>
            <w:col w:w="2040"/>
          </w:cols>
          <w:pgMar w:left="240" w:top="229" w:right="239" w:bottom="572" w:gutter="0" w:footer="0" w:header="0"/>
          <w:type w:val="continuous"/>
        </w:sectPr>
      </w:pPr>
    </w:p>
    <w:p>
      <w:pPr>
        <w:jc w:val="center"/>
        <w:spacing w:after="0"/>
        <w:rPr>
          <w:sz w:val="20"/>
          <w:szCs w:val="20"/>
          <w:color w:val="auto"/>
        </w:rPr>
      </w:pPr>
      <w:r>
        <w:rPr>
          <w:rFonts w:ascii="Arial" w:cs="Arial" w:eastAsia="Arial" w:hAnsi="Arial"/>
          <w:sz w:val="17"/>
          <w:szCs w:val="17"/>
          <w:color w:val="auto"/>
        </w:rPr>
        <w:t>APPLICABLE ONLY TO CORPORATE ISSUERS:</w:t>
      </w:r>
    </w:p>
    <w:p>
      <w:pPr>
        <w:sectPr>
          <w:pgSz w:w="11900" w:h="16838" w:orient="portrait"/>
          <w:cols w:equalWidth="0" w:num="1">
            <w:col w:w="11420"/>
          </w:cols>
          <w:pgMar w:left="240" w:top="229" w:right="239" w:bottom="572" w:gutter="0" w:footer="0" w:header="0"/>
          <w:type w:val="continuous"/>
        </w:sectPr>
      </w:pPr>
    </w:p>
    <w:p>
      <w:pPr>
        <w:spacing w:after="0" w:line="237" w:lineRule="exact"/>
        <w:rPr>
          <w:sz w:val="24"/>
          <w:szCs w:val="24"/>
          <w:color w:val="auto"/>
        </w:rPr>
      </w:pPr>
    </w:p>
    <w:p>
      <w:pPr>
        <w:ind w:right="420"/>
        <w:spacing w:after="0" w:line="277" w:lineRule="auto"/>
        <w:rPr>
          <w:sz w:val="20"/>
          <w:szCs w:val="20"/>
          <w:color w:val="auto"/>
        </w:rPr>
      </w:pPr>
      <w:r>
        <w:rPr>
          <w:rFonts w:ascii="Arial" w:cs="Arial" w:eastAsia="Arial" w:hAnsi="Arial"/>
          <w:sz w:val="18"/>
          <w:szCs w:val="18"/>
          <w:color w:val="auto"/>
        </w:rPr>
        <w:t>The only class of voting securities of the registrant issued and outstanding is the Class B Voting Common Stock, par value $.01 per share, all of which is owned by an affiliate of the registrant. There is no trading market for the Class B Voting Common Stock.</w:t>
      </w:r>
    </w:p>
    <w:p>
      <w:pPr>
        <w:spacing w:after="0" w:line="170"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As of December 31, 2012, 51,196,870 shares of the registrant’s Class A Non-voting Common Stock, par value $.01 per share, and 2,970,171 shares of the registrant’s Class B Voting Common Stock, par value $.01 per share, were outstanding.</w:t>
      </w:r>
    </w:p>
    <w:p>
      <w:pPr>
        <w:sectPr>
          <w:pgSz w:w="11900" w:h="16838" w:orient="portrait"/>
          <w:cols w:equalWidth="0" w:num="1">
            <w:col w:w="11420"/>
          </w:cols>
          <w:pgMar w:left="240" w:top="229" w:right="239" w:bottom="572"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11220" w:type="dxa"/>
            <w:vAlign w:val="bottom"/>
            <w:gridSpan w:val="22"/>
          </w:tcPr>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466"/>
        </w:trPr>
        <w:tc>
          <w:tcPr>
            <w:tcW w:w="4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300" w:type="dxa"/>
            <w:vAlign w:val="bottom"/>
            <w:gridSpan w:val="10"/>
          </w:tcPr>
          <w:p>
            <w:pPr>
              <w:jc w:val="center"/>
              <w:ind w:right="2720"/>
              <w:spacing w:after="0"/>
              <w:rPr>
                <w:sz w:val="20"/>
                <w:szCs w:val="20"/>
                <w:color w:val="auto"/>
              </w:rPr>
            </w:pPr>
            <w:r>
              <w:rPr>
                <w:rFonts w:ascii="Arial" w:cs="Arial" w:eastAsia="Arial" w:hAnsi="Arial"/>
                <w:sz w:val="18"/>
                <w:szCs w:val="18"/>
                <w:b w:val="1"/>
                <w:bCs w:val="1"/>
                <w:color w:val="auto"/>
                <w:w w:val="98"/>
              </w:rPr>
              <w:t>EZCORP, I</w:t>
            </w:r>
            <w:r>
              <w:rPr>
                <w:rFonts w:ascii="Arial" w:cs="Arial" w:eastAsia="Arial" w:hAnsi="Arial"/>
                <w:sz w:val="14"/>
                <w:szCs w:val="14"/>
                <w:b w:val="1"/>
                <w:bCs w:val="1"/>
                <w:color w:val="auto"/>
                <w:w w:val="98"/>
              </w:rPr>
              <w:t>NC</w:t>
            </w:r>
            <w:r>
              <w:rPr>
                <w:rFonts w:ascii="Arial" w:cs="Arial" w:eastAsia="Arial" w:hAnsi="Arial"/>
                <w:sz w:val="18"/>
                <w:szCs w:val="18"/>
                <w:b w:val="1"/>
                <w:bCs w:val="1"/>
                <w:color w:val="auto"/>
                <w:w w:val="98"/>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300" w:type="dxa"/>
            <w:vAlign w:val="bottom"/>
            <w:gridSpan w:val="10"/>
          </w:tcPr>
          <w:p>
            <w:pPr>
              <w:jc w:val="center"/>
              <w:ind w:right="2720"/>
              <w:spacing w:after="0"/>
              <w:rPr>
                <w:sz w:val="20"/>
                <w:szCs w:val="20"/>
                <w:color w:val="auto"/>
              </w:rPr>
            </w:pPr>
            <w:r>
              <w:rPr>
                <w:rFonts w:ascii="Arial" w:cs="Arial" w:eastAsia="Arial" w:hAnsi="Arial"/>
                <w:sz w:val="18"/>
                <w:szCs w:val="18"/>
                <w:b w:val="1"/>
                <w:bCs w:val="1"/>
                <w:color w:val="auto"/>
              </w:rPr>
              <w:t>INDEX TO FORM 10-Q</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27"/>
        </w:trPr>
        <w:tc>
          <w:tcPr>
            <w:tcW w:w="40" w:type="dxa"/>
            <w:vAlign w:val="bottom"/>
          </w:tcPr>
          <w:p>
            <w:pPr>
              <w:spacing w:after="0"/>
              <w:rPr>
                <w:sz w:val="24"/>
                <w:szCs w:val="24"/>
                <w:color w:val="auto"/>
              </w:rPr>
            </w:pPr>
          </w:p>
        </w:tc>
        <w:tc>
          <w:tcPr>
            <w:tcW w:w="2880" w:type="dxa"/>
            <w:vAlign w:val="bottom"/>
            <w:tcBorders>
              <w:bottom w:val="single" w:sz="8" w:color="0000FF"/>
            </w:tcBorders>
            <w:gridSpan w:val="11"/>
          </w:tcPr>
          <w:p>
            <w:pPr>
              <w:spacing w:after="0"/>
              <w:rPr>
                <w:rFonts w:ascii="Arial" w:cs="Arial" w:eastAsia="Arial" w:hAnsi="Arial"/>
                <w:sz w:val="18"/>
                <w:szCs w:val="18"/>
                <w:color w:val="0000FF"/>
                <w:w w:val="97"/>
              </w:rPr>
            </w:pPr>
            <w:hyperlink w:anchor="page2">
              <w:r>
                <w:rPr>
                  <w:rFonts w:ascii="Arial" w:cs="Arial" w:eastAsia="Arial" w:hAnsi="Arial"/>
                  <w:sz w:val="18"/>
                  <w:szCs w:val="18"/>
                  <w:color w:val="0000FF"/>
                  <w:w w:val="97"/>
                </w:rPr>
                <w:t>PART I. FINANCIAL INFORMATION</w:t>
              </w:r>
            </w:hyperlink>
          </w:p>
        </w:tc>
        <w:tc>
          <w:tcPr>
            <w:tcW w:w="8300" w:type="dxa"/>
            <w:vAlign w:val="bottom"/>
            <w:gridSpan w:val="10"/>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40" w:type="dxa"/>
            <w:vAlign w:val="bottom"/>
            <w:gridSpan w:val="20"/>
          </w:tcPr>
          <w:p>
            <w:pPr>
              <w:spacing w:after="0"/>
              <w:rPr>
                <w:rFonts w:ascii="Arial" w:cs="Arial" w:eastAsia="Arial" w:hAnsi="Arial"/>
                <w:sz w:val="18"/>
                <w:szCs w:val="18"/>
                <w:i w:val="1"/>
                <w:iCs w:val="1"/>
                <w:color w:val="0000FF"/>
              </w:rPr>
            </w:pPr>
            <w:hyperlink w:anchor="page3">
              <w:r>
                <w:rPr>
                  <w:rFonts w:ascii="Arial" w:cs="Arial" w:eastAsia="Arial" w:hAnsi="Arial"/>
                  <w:sz w:val="18"/>
                  <w:szCs w:val="18"/>
                  <w:i w:val="1"/>
                  <w:iCs w:val="1"/>
                  <w:color w:val="0000FF"/>
                </w:rPr>
                <w:t>Item 1. Financial Statements and Supplementary Data (Unaudited)</w:t>
              </w:r>
            </w:hyperlink>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500" w:type="dxa"/>
            <w:vAlign w:val="bottom"/>
            <w:gridSpan w:val="19"/>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Balance Sheets as of December 31, 2012, December 31, 2011 and September 30, 2012</w:t>
              </w:r>
            </w:hyperlink>
          </w:p>
        </w:tc>
        <w:tc>
          <w:tcPr>
            <w:tcW w:w="180" w:type="dxa"/>
            <w:vAlign w:val="bottom"/>
            <w:gridSpan w:val="2"/>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1</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900" w:type="dxa"/>
            <w:vAlign w:val="bottom"/>
            <w:tcBorders>
              <w:top w:val="single" w:sz="8" w:color="0000FF"/>
              <w:bottom w:val="single" w:sz="8" w:color="0000FF"/>
            </w:tcBorders>
            <w:gridSpan w:val="14"/>
          </w:tcPr>
          <w:p>
            <w:pPr>
              <w:spacing w:after="0"/>
              <w:rPr>
                <w:rFonts w:ascii="Arial" w:cs="Arial" w:eastAsia="Arial" w:hAnsi="Arial"/>
                <w:sz w:val="18"/>
                <w:szCs w:val="18"/>
                <w:color w:val="0000FF"/>
                <w:w w:val="89"/>
              </w:rPr>
            </w:pPr>
            <w:hyperlink w:anchor="page3">
              <w:r>
                <w:rPr>
                  <w:rFonts w:ascii="Arial" w:cs="Arial" w:eastAsia="Arial" w:hAnsi="Arial"/>
                  <w:sz w:val="18"/>
                  <w:szCs w:val="18"/>
                  <w:color w:val="0000FF"/>
                  <w:w w:val="89"/>
                </w:rPr>
                <w:t>Condensed Consolidated Statements of Operations for the Three Months Ended December 31, 2012 and 2011</w:t>
              </w:r>
            </w:hyperlink>
          </w:p>
        </w:tc>
        <w:tc>
          <w:tcPr>
            <w:tcW w:w="160" w:type="dxa"/>
            <w:vAlign w:val="bottom"/>
            <w:tcBorders>
              <w:top w:val="single" w:sz="8" w:color="0000FF"/>
            </w:tcBorders>
            <w:gridSpan w:val="2"/>
          </w:tcPr>
          <w:p>
            <w:pPr>
              <w:spacing w:after="0"/>
              <w:rPr>
                <w:sz w:val="24"/>
                <w:szCs w:val="24"/>
                <w:color w:val="auto"/>
              </w:rPr>
            </w:pPr>
          </w:p>
        </w:tc>
        <w:tc>
          <w:tcPr>
            <w:tcW w:w="2440" w:type="dxa"/>
            <w:vAlign w:val="bottom"/>
            <w:gridSpan w:val="3"/>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FF"/>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2</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500" w:type="dxa"/>
            <w:vAlign w:val="bottom"/>
            <w:gridSpan w:val="19"/>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Condensed Consolidated Statements of Comprehensive Income for the Three Months Ended December 31, 2012 and 2011</w:t>
              </w:r>
            </w:hyperlink>
          </w:p>
        </w:tc>
        <w:tc>
          <w:tcPr>
            <w:tcW w:w="180" w:type="dxa"/>
            <w:vAlign w:val="bottom"/>
            <w:gridSpan w:val="2"/>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3</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960" w:type="dxa"/>
            <w:vAlign w:val="bottom"/>
            <w:tcBorders>
              <w:top w:val="single" w:sz="8" w:color="0000FF"/>
              <w:bottom w:val="single" w:sz="8" w:color="0000FF"/>
            </w:tcBorders>
            <w:gridSpan w:val="15"/>
          </w:tcPr>
          <w:p>
            <w:pPr>
              <w:spacing w:after="0"/>
              <w:rPr>
                <w:rFonts w:ascii="Arial" w:cs="Arial" w:eastAsia="Arial" w:hAnsi="Arial"/>
                <w:sz w:val="18"/>
                <w:szCs w:val="18"/>
                <w:color w:val="0000FF"/>
                <w:w w:val="89"/>
              </w:rPr>
            </w:pPr>
            <w:hyperlink w:anchor="page5">
              <w:r>
                <w:rPr>
                  <w:rFonts w:ascii="Arial" w:cs="Arial" w:eastAsia="Arial" w:hAnsi="Arial"/>
                  <w:sz w:val="18"/>
                  <w:szCs w:val="18"/>
                  <w:color w:val="0000FF"/>
                  <w:w w:val="89"/>
                </w:rPr>
                <w:t>Condensed Consolidated Statements of Cash Flows for the Three Months Ended December 31, 2012 and 2011</w:t>
              </w:r>
            </w:hyperlink>
          </w:p>
        </w:tc>
        <w:tc>
          <w:tcPr>
            <w:tcW w:w="860" w:type="dxa"/>
            <w:vAlign w:val="bottom"/>
            <w:tcBorders>
              <w:top w:val="single" w:sz="8" w:color="0000FF"/>
            </w:tcBorders>
            <w:gridSpan w:val="3"/>
          </w:tcPr>
          <w:p>
            <w:pPr>
              <w:spacing w:after="0"/>
              <w:rPr>
                <w:sz w:val="24"/>
                <w:szCs w:val="24"/>
                <w:color w:val="auto"/>
              </w:rPr>
            </w:pPr>
          </w:p>
        </w:tc>
        <w:tc>
          <w:tcPr>
            <w:tcW w:w="1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FF"/>
              <w:bottom w:val="single" w:sz="8" w:color="0000FF"/>
            </w:tcBorders>
          </w:tcPr>
          <w:p>
            <w:pPr>
              <w:jc w:val="right"/>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4</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40" w:type="dxa"/>
            <w:vAlign w:val="bottom"/>
            <w:tcBorders>
              <w:bottom w:val="single" w:sz="8" w:color="0000FF"/>
            </w:tcBorders>
            <w:gridSpan w:val="17"/>
          </w:tcPr>
          <w:p>
            <w:pPr>
              <w:spacing w:after="0"/>
              <w:rPr>
                <w:rFonts w:ascii="Arial" w:cs="Arial" w:eastAsia="Arial" w:hAnsi="Arial"/>
                <w:sz w:val="18"/>
                <w:szCs w:val="18"/>
                <w:color w:val="0000FF"/>
                <w:w w:val="89"/>
              </w:rPr>
            </w:pPr>
            <w:hyperlink w:anchor="page6">
              <w:r>
                <w:rPr>
                  <w:rFonts w:ascii="Arial" w:cs="Arial" w:eastAsia="Arial" w:hAnsi="Arial"/>
                  <w:sz w:val="18"/>
                  <w:szCs w:val="18"/>
                  <w:color w:val="0000FF"/>
                  <w:w w:val="89"/>
                </w:rPr>
                <w:t>Condensed Consolidated Statements of Stockholders’ Equity for the Three Months Ended December 31, 2012 and 2011</w:t>
              </w:r>
            </w:hyperlink>
          </w:p>
        </w:tc>
        <w:tc>
          <w:tcPr>
            <w:tcW w:w="186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5</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560" w:type="dxa"/>
            <w:vAlign w:val="bottom"/>
            <w:tcBorders>
              <w:bottom w:val="single" w:sz="8" w:color="0000FF"/>
            </w:tcBorders>
            <w:gridSpan w:val="12"/>
          </w:tcPr>
          <w:p>
            <w:pPr>
              <w:spacing w:after="0"/>
              <w:rPr>
                <w:rFonts w:ascii="Arial" w:cs="Arial" w:eastAsia="Arial" w:hAnsi="Arial"/>
                <w:sz w:val="18"/>
                <w:szCs w:val="18"/>
                <w:color w:val="0000FF"/>
                <w:w w:val="89"/>
              </w:rPr>
            </w:pPr>
            <w:hyperlink w:anchor="page7">
              <w:r>
                <w:rPr>
                  <w:rFonts w:ascii="Arial" w:cs="Arial" w:eastAsia="Arial" w:hAnsi="Arial"/>
                  <w:sz w:val="18"/>
                  <w:szCs w:val="18"/>
                  <w:color w:val="0000FF"/>
                  <w:w w:val="89"/>
                </w:rPr>
                <w:t>Notes to Interim Condensed Consolidated Financial Statements</w:t>
              </w:r>
            </w:hyperlink>
          </w:p>
        </w:tc>
        <w:tc>
          <w:tcPr>
            <w:tcW w:w="5940" w:type="dxa"/>
            <w:vAlign w:val="bottom"/>
            <w:gridSpan w:val="7"/>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7">
              <w:r>
                <w:rPr>
                  <w:rFonts w:ascii="Arial" w:cs="Arial" w:eastAsia="Arial" w:hAnsi="Arial"/>
                  <w:sz w:val="18"/>
                  <w:szCs w:val="18"/>
                  <w:color w:val="0000FF"/>
                  <w:w w:val="79"/>
                </w:rPr>
                <w:t>6</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20" w:type="dxa"/>
            <w:vAlign w:val="bottom"/>
            <w:tcBorders>
              <w:bottom w:val="single" w:sz="8" w:color="0000FF"/>
            </w:tcBorders>
            <w:gridSpan w:val="14"/>
          </w:tcPr>
          <w:p>
            <w:pPr>
              <w:spacing w:after="0"/>
              <w:rPr>
                <w:rFonts w:ascii="Arial" w:cs="Arial" w:eastAsia="Arial" w:hAnsi="Arial"/>
                <w:sz w:val="18"/>
                <w:szCs w:val="18"/>
                <w:i w:val="1"/>
                <w:iCs w:val="1"/>
                <w:color w:val="0000FF"/>
                <w:w w:val="91"/>
              </w:rPr>
            </w:pPr>
            <w:hyperlink w:anchor="page36">
              <w:r>
                <w:rPr>
                  <w:rFonts w:ascii="Arial" w:cs="Arial" w:eastAsia="Arial" w:hAnsi="Arial"/>
                  <w:sz w:val="18"/>
                  <w:szCs w:val="18"/>
                  <w:i w:val="1"/>
                  <w:iCs w:val="1"/>
                  <w:color w:val="0000FF"/>
                  <w:w w:val="91"/>
                </w:rPr>
                <w:t>Item 2. Management’s Discussion and Analysis of Financial Condition and Results of Operations</w:t>
              </w:r>
            </w:hyperlink>
          </w:p>
        </w:tc>
        <w:tc>
          <w:tcPr>
            <w:tcW w:w="3820" w:type="dxa"/>
            <w:vAlign w:val="bottom"/>
            <w:gridSpan w:val="6"/>
          </w:tcPr>
          <w:p>
            <w:pPr>
              <w:spacing w:after="0"/>
              <w:rPr>
                <w:sz w:val="24"/>
                <w:szCs w:val="24"/>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6">
              <w:r>
                <w:rPr>
                  <w:rFonts w:ascii="Arial" w:cs="Arial" w:eastAsia="Arial" w:hAnsi="Arial"/>
                  <w:sz w:val="18"/>
                  <w:szCs w:val="18"/>
                  <w:color w:val="0000FF"/>
                  <w:w w:val="79"/>
                </w:rPr>
                <w:t>35</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40" w:type="dxa"/>
            <w:vAlign w:val="bottom"/>
            <w:gridSpan w:val="20"/>
          </w:tcPr>
          <w:p>
            <w:pPr>
              <w:spacing w:after="0"/>
              <w:rPr>
                <w:rFonts w:ascii="Arial" w:cs="Arial" w:eastAsia="Arial" w:hAnsi="Arial"/>
                <w:sz w:val="18"/>
                <w:szCs w:val="18"/>
                <w:i w:val="1"/>
                <w:iCs w:val="1"/>
                <w:color w:val="0000FF"/>
              </w:rPr>
            </w:pPr>
            <w:hyperlink w:anchor="page49">
              <w:r>
                <w:rPr>
                  <w:rFonts w:ascii="Arial" w:cs="Arial" w:eastAsia="Arial" w:hAnsi="Arial"/>
                  <w:sz w:val="18"/>
                  <w:szCs w:val="18"/>
                  <w:i w:val="1"/>
                  <w:iCs w:val="1"/>
                  <w:color w:val="0000FF"/>
                </w:rPr>
                <w:t>Item 3. Quantitative and Qualitative Disclosures about Market Risk</w:t>
              </w:r>
            </w:hyperlink>
          </w:p>
        </w:tc>
        <w:tc>
          <w:tcPr>
            <w:tcW w:w="180" w:type="dxa"/>
            <w:vAlign w:val="bottom"/>
            <w:gridSpan w:val="2"/>
          </w:tcPr>
          <w:p>
            <w:pPr>
              <w:jc w:val="right"/>
              <w:spacing w:after="0"/>
              <w:rPr>
                <w:rFonts w:ascii="Arial" w:cs="Arial" w:eastAsia="Arial" w:hAnsi="Arial"/>
                <w:sz w:val="18"/>
                <w:szCs w:val="18"/>
                <w:color w:val="0000FF"/>
                <w:w w:val="79"/>
              </w:rPr>
            </w:pPr>
            <w:hyperlink w:anchor="page49">
              <w:r>
                <w:rPr>
                  <w:rFonts w:ascii="Arial" w:cs="Arial" w:eastAsia="Arial" w:hAnsi="Arial"/>
                  <w:sz w:val="18"/>
                  <w:szCs w:val="18"/>
                  <w:color w:val="0000FF"/>
                  <w:w w:val="79"/>
                </w:rPr>
                <w:t>48</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360" w:type="dxa"/>
            <w:vAlign w:val="bottom"/>
            <w:tcBorders>
              <w:top w:val="single" w:sz="8" w:color="0000FF"/>
              <w:bottom w:val="single" w:sz="8" w:color="0000FF"/>
            </w:tcBorders>
            <w:gridSpan w:val="9"/>
          </w:tcPr>
          <w:p>
            <w:pPr>
              <w:spacing w:after="0"/>
              <w:rPr>
                <w:rFonts w:ascii="Arial" w:cs="Arial" w:eastAsia="Arial" w:hAnsi="Arial"/>
                <w:sz w:val="18"/>
                <w:szCs w:val="18"/>
                <w:i w:val="1"/>
                <w:iCs w:val="1"/>
                <w:color w:val="0000FF"/>
                <w:w w:val="90"/>
              </w:rPr>
            </w:pPr>
            <w:hyperlink w:anchor="page51">
              <w:r>
                <w:rPr>
                  <w:rFonts w:ascii="Arial" w:cs="Arial" w:eastAsia="Arial" w:hAnsi="Arial"/>
                  <w:sz w:val="18"/>
                  <w:szCs w:val="18"/>
                  <w:i w:val="1"/>
                  <w:iCs w:val="1"/>
                  <w:color w:val="0000FF"/>
                  <w:w w:val="90"/>
                </w:rPr>
                <w:t>Item 4. Controls and Procedures</w:t>
              </w:r>
            </w:hyperlink>
          </w:p>
        </w:tc>
        <w:tc>
          <w:tcPr>
            <w:tcW w:w="2520" w:type="dxa"/>
            <w:vAlign w:val="bottom"/>
            <w:tcBorders>
              <w:top w:val="single" w:sz="8" w:color="0000FF"/>
            </w:tcBorders>
            <w:gridSpan w:val="3"/>
          </w:tcPr>
          <w:p>
            <w:pPr>
              <w:spacing w:after="0"/>
              <w:rPr>
                <w:sz w:val="24"/>
                <w:szCs w:val="24"/>
                <w:color w:val="auto"/>
              </w:rPr>
            </w:pPr>
          </w:p>
        </w:tc>
        <w:tc>
          <w:tcPr>
            <w:tcW w:w="5960" w:type="dxa"/>
            <w:vAlign w:val="bottom"/>
            <w:gridSpan w:val="8"/>
          </w:tcPr>
          <w:p>
            <w:pPr>
              <w:spacing w:after="0"/>
              <w:rPr>
                <w:sz w:val="24"/>
                <w:szCs w:val="24"/>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51">
              <w:r>
                <w:rPr>
                  <w:rFonts w:ascii="Arial" w:cs="Arial" w:eastAsia="Arial" w:hAnsi="Arial"/>
                  <w:sz w:val="18"/>
                  <w:szCs w:val="18"/>
                  <w:color w:val="0000FF"/>
                  <w:w w:val="79"/>
                </w:rPr>
                <w:t>50</w:t>
              </w:r>
            </w:hyperlink>
          </w:p>
        </w:tc>
      </w:tr>
      <w:tr>
        <w:trPr>
          <w:trHeight w:val="372"/>
        </w:trPr>
        <w:tc>
          <w:tcPr>
            <w:tcW w:w="40" w:type="dxa"/>
            <w:vAlign w:val="bottom"/>
          </w:tcPr>
          <w:p>
            <w:pPr>
              <w:spacing w:after="0"/>
              <w:rPr>
                <w:sz w:val="24"/>
                <w:szCs w:val="24"/>
                <w:color w:val="auto"/>
              </w:rPr>
            </w:pPr>
          </w:p>
        </w:tc>
        <w:tc>
          <w:tcPr>
            <w:tcW w:w="11180" w:type="dxa"/>
            <w:vAlign w:val="bottom"/>
            <w:gridSpan w:val="21"/>
          </w:tcPr>
          <w:p>
            <w:pPr>
              <w:spacing w:after="0"/>
              <w:rPr>
                <w:rFonts w:ascii="Arial" w:cs="Arial" w:eastAsia="Arial" w:hAnsi="Arial"/>
                <w:sz w:val="18"/>
                <w:szCs w:val="18"/>
                <w:color w:val="0000FF"/>
              </w:rPr>
            </w:pPr>
            <w:hyperlink w:anchor="page52">
              <w:r>
                <w:rPr>
                  <w:rFonts w:ascii="Arial" w:cs="Arial" w:eastAsia="Arial" w:hAnsi="Arial"/>
                  <w:sz w:val="18"/>
                  <w:szCs w:val="18"/>
                  <w:color w:val="0000FF"/>
                </w:rPr>
                <w:t>PART II. OTHER INFORMATION</w:t>
              </w:r>
            </w:hyperlink>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40" w:type="dxa"/>
            <w:vAlign w:val="bottom"/>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1900" w:type="dxa"/>
            <w:vAlign w:val="bottom"/>
            <w:tcBorders>
              <w:top w:val="single" w:sz="8" w:color="0000FF"/>
              <w:bottom w:val="single" w:sz="8" w:color="0000FF"/>
            </w:tcBorders>
            <w:gridSpan w:val="7"/>
          </w:tcPr>
          <w:p>
            <w:pPr>
              <w:spacing w:after="0"/>
              <w:rPr>
                <w:rFonts w:ascii="Arial" w:cs="Arial" w:eastAsia="Arial" w:hAnsi="Arial"/>
                <w:sz w:val="18"/>
                <w:szCs w:val="18"/>
                <w:i w:val="1"/>
                <w:iCs w:val="1"/>
                <w:color w:val="0000FF"/>
                <w:w w:val="89"/>
              </w:rPr>
            </w:pPr>
            <w:hyperlink w:anchor="page53">
              <w:r>
                <w:rPr>
                  <w:rFonts w:ascii="Arial" w:cs="Arial" w:eastAsia="Arial" w:hAnsi="Arial"/>
                  <w:sz w:val="18"/>
                  <w:szCs w:val="18"/>
                  <w:i w:val="1"/>
                  <w:iCs w:val="1"/>
                  <w:color w:val="0000FF"/>
                  <w:w w:val="89"/>
                </w:rPr>
                <w:t>Item 1. Legal Proceedings</w:t>
              </w:r>
            </w:hyperlink>
          </w:p>
        </w:tc>
        <w:tc>
          <w:tcPr>
            <w:tcW w:w="320" w:type="dxa"/>
            <w:vAlign w:val="bottom"/>
            <w:tcBorders>
              <w:top w:val="single" w:sz="8" w:color="0000FF"/>
            </w:tcBorders>
          </w:tcPr>
          <w:p>
            <w:pPr>
              <w:spacing w:after="0"/>
              <w:rPr>
                <w:sz w:val="24"/>
                <w:szCs w:val="24"/>
                <w:color w:val="auto"/>
              </w:rPr>
            </w:pPr>
          </w:p>
        </w:tc>
        <w:tc>
          <w:tcPr>
            <w:tcW w:w="8620" w:type="dxa"/>
            <w:vAlign w:val="bottom"/>
            <w:gridSpan w:val="12"/>
          </w:tcPr>
          <w:p>
            <w:pPr>
              <w:spacing w:after="0"/>
              <w:rPr>
                <w:sz w:val="24"/>
                <w:szCs w:val="24"/>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53">
              <w:r>
                <w:rPr>
                  <w:rFonts w:ascii="Arial" w:cs="Arial" w:eastAsia="Arial" w:hAnsi="Arial"/>
                  <w:sz w:val="18"/>
                  <w:szCs w:val="18"/>
                  <w:color w:val="0000FF"/>
                  <w:w w:val="79"/>
                </w:rPr>
                <w:t>51</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80" w:type="dxa"/>
            <w:vAlign w:val="bottom"/>
            <w:tcBorders>
              <w:bottom w:val="single" w:sz="8" w:color="0000FF"/>
            </w:tcBorders>
            <w:gridSpan w:val="6"/>
          </w:tcPr>
          <w:p>
            <w:pPr>
              <w:spacing w:after="0"/>
              <w:rPr>
                <w:rFonts w:ascii="Arial" w:cs="Arial" w:eastAsia="Arial" w:hAnsi="Arial"/>
                <w:sz w:val="18"/>
                <w:szCs w:val="18"/>
                <w:i w:val="1"/>
                <w:iCs w:val="1"/>
                <w:color w:val="0000FF"/>
                <w:w w:val="90"/>
              </w:rPr>
            </w:pPr>
            <w:hyperlink w:anchor="page53">
              <w:r>
                <w:rPr>
                  <w:rFonts w:ascii="Arial" w:cs="Arial" w:eastAsia="Arial" w:hAnsi="Arial"/>
                  <w:sz w:val="18"/>
                  <w:szCs w:val="18"/>
                  <w:i w:val="1"/>
                  <w:iCs w:val="1"/>
                  <w:color w:val="0000FF"/>
                  <w:w w:val="90"/>
                </w:rPr>
                <w:t>Item 1A. Risk Factors</w:t>
              </w:r>
            </w:hyperlink>
          </w:p>
        </w:tc>
        <w:tc>
          <w:tcPr>
            <w:tcW w:w="9260" w:type="dxa"/>
            <w:vAlign w:val="bottom"/>
            <w:gridSpan w:val="14"/>
          </w:tcPr>
          <w:p>
            <w:pPr>
              <w:spacing w:after="0"/>
              <w:rPr>
                <w:sz w:val="24"/>
                <w:szCs w:val="24"/>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53">
              <w:r>
                <w:rPr>
                  <w:rFonts w:ascii="Arial" w:cs="Arial" w:eastAsia="Arial" w:hAnsi="Arial"/>
                  <w:sz w:val="18"/>
                  <w:szCs w:val="18"/>
                  <w:color w:val="0000FF"/>
                  <w:w w:val="79"/>
                </w:rPr>
                <w:t>51</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40" w:type="dxa"/>
            <w:vAlign w:val="bottom"/>
            <w:gridSpan w:val="20"/>
          </w:tcPr>
          <w:p>
            <w:pPr>
              <w:spacing w:after="0"/>
              <w:rPr>
                <w:rFonts w:ascii="Arial" w:cs="Arial" w:eastAsia="Arial" w:hAnsi="Arial"/>
                <w:sz w:val="18"/>
                <w:szCs w:val="18"/>
                <w:i w:val="1"/>
                <w:iCs w:val="1"/>
                <w:color w:val="0000FF"/>
              </w:rPr>
            </w:pPr>
            <w:hyperlink w:anchor="page53">
              <w:r>
                <w:rPr>
                  <w:rFonts w:ascii="Arial" w:cs="Arial" w:eastAsia="Arial" w:hAnsi="Arial"/>
                  <w:sz w:val="18"/>
                  <w:szCs w:val="18"/>
                  <w:i w:val="1"/>
                  <w:iCs w:val="1"/>
                  <w:color w:val="0000FF"/>
                </w:rPr>
                <w:t>Item 6. Exhibits</w:t>
              </w:r>
            </w:hyperlink>
          </w:p>
        </w:tc>
        <w:tc>
          <w:tcPr>
            <w:tcW w:w="180" w:type="dxa"/>
            <w:vAlign w:val="bottom"/>
            <w:gridSpan w:val="2"/>
          </w:tcPr>
          <w:p>
            <w:pPr>
              <w:jc w:val="right"/>
              <w:spacing w:after="0"/>
              <w:rPr>
                <w:rFonts w:ascii="Arial" w:cs="Arial" w:eastAsia="Arial" w:hAnsi="Arial"/>
                <w:sz w:val="18"/>
                <w:szCs w:val="18"/>
                <w:color w:val="0000FF"/>
                <w:w w:val="79"/>
              </w:rPr>
            </w:pPr>
            <w:hyperlink w:anchor="page53">
              <w:r>
                <w:rPr>
                  <w:rFonts w:ascii="Arial" w:cs="Arial" w:eastAsia="Arial" w:hAnsi="Arial"/>
                  <w:sz w:val="18"/>
                  <w:szCs w:val="18"/>
                  <w:color w:val="0000FF"/>
                  <w:w w:val="79"/>
                </w:rPr>
                <w:t>52</w:t>
              </w:r>
            </w:hyperlink>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700" w:type="dxa"/>
            <w:vAlign w:val="bottom"/>
            <w:gridSpan w:val="15"/>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1100" w:type="dxa"/>
            <w:vAlign w:val="bottom"/>
            <w:tcBorders>
              <w:bottom w:val="single" w:sz="8" w:color="0000FF"/>
            </w:tcBorders>
            <w:gridSpan w:val="4"/>
          </w:tcPr>
          <w:p>
            <w:pPr>
              <w:spacing w:after="0"/>
              <w:rPr>
                <w:rFonts w:ascii="Arial" w:cs="Arial" w:eastAsia="Arial" w:hAnsi="Arial"/>
                <w:sz w:val="18"/>
                <w:szCs w:val="18"/>
                <w:color w:val="0000FF"/>
                <w:w w:val="92"/>
              </w:rPr>
            </w:pPr>
            <w:hyperlink w:anchor="page54">
              <w:r>
                <w:rPr>
                  <w:rFonts w:ascii="Arial" w:cs="Arial" w:eastAsia="Arial" w:hAnsi="Arial"/>
                  <w:sz w:val="18"/>
                  <w:szCs w:val="18"/>
                  <w:color w:val="0000FF"/>
                  <w:w w:val="92"/>
                </w:rPr>
                <w:t>SIGNATURES</w:t>
              </w:r>
            </w:hyperlink>
          </w:p>
        </w:tc>
        <w:tc>
          <w:tcPr>
            <w:tcW w:w="10080" w:type="dxa"/>
            <w:vAlign w:val="bottom"/>
            <w:gridSpan w:val="17"/>
          </w:tcPr>
          <w:p>
            <w:pPr>
              <w:spacing w:after="0"/>
              <w:rPr>
                <w:sz w:val="24"/>
                <w:szCs w:val="24"/>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54">
              <w:r>
                <w:rPr>
                  <w:rFonts w:ascii="Arial" w:cs="Arial" w:eastAsia="Arial" w:hAnsi="Arial"/>
                  <w:sz w:val="18"/>
                  <w:szCs w:val="18"/>
                  <w:color w:val="0000FF"/>
                  <w:w w:val="79"/>
                </w:rPr>
                <w:t>53</w:t>
              </w:r>
            </w:hyperlink>
          </w:p>
        </w:tc>
      </w:tr>
      <w:tr>
        <w:trPr>
          <w:trHeight w:val="372"/>
        </w:trPr>
        <w:tc>
          <w:tcPr>
            <w:tcW w:w="40" w:type="dxa"/>
            <w:vAlign w:val="bottom"/>
          </w:tcPr>
          <w:p>
            <w:pPr>
              <w:spacing w:after="0"/>
              <w:rPr>
                <w:sz w:val="24"/>
                <w:szCs w:val="24"/>
                <w:color w:val="auto"/>
              </w:rPr>
            </w:pPr>
          </w:p>
        </w:tc>
        <w:tc>
          <w:tcPr>
            <w:tcW w:w="1320" w:type="dxa"/>
            <w:vAlign w:val="bottom"/>
            <w:tcBorders>
              <w:bottom w:val="single" w:sz="8" w:color="0000FF"/>
            </w:tcBorders>
            <w:gridSpan w:val="5"/>
          </w:tcPr>
          <w:p>
            <w:pPr>
              <w:spacing w:after="0"/>
              <w:rPr>
                <w:rFonts w:ascii="Arial" w:cs="Arial" w:eastAsia="Arial" w:hAnsi="Arial"/>
                <w:sz w:val="18"/>
                <w:szCs w:val="18"/>
                <w:color w:val="0000FF"/>
                <w:w w:val="99"/>
              </w:rPr>
            </w:pPr>
            <w:hyperlink w:anchor="page55">
              <w:r>
                <w:rPr>
                  <w:rFonts w:ascii="Arial" w:cs="Arial" w:eastAsia="Arial" w:hAnsi="Arial"/>
                  <w:sz w:val="18"/>
                  <w:szCs w:val="18"/>
                  <w:color w:val="0000FF"/>
                  <w:w w:val="99"/>
                </w:rPr>
                <w:t>EXHIBIT INDEX</w:t>
              </w:r>
            </w:hyperlink>
          </w:p>
        </w:tc>
        <w:tc>
          <w:tcPr>
            <w:tcW w:w="9860" w:type="dxa"/>
            <w:vAlign w:val="bottom"/>
            <w:gridSpan w:val="16"/>
          </w:tcPr>
          <w:p>
            <w:pPr>
              <w:spacing w:after="0"/>
              <w:rPr>
                <w:sz w:val="24"/>
                <w:szCs w:val="24"/>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55">
              <w:r>
                <w:rPr>
                  <w:rFonts w:ascii="Arial" w:cs="Arial" w:eastAsia="Arial" w:hAnsi="Arial"/>
                  <w:sz w:val="18"/>
                  <w:szCs w:val="18"/>
                  <w:color w:val="0000FF"/>
                  <w:w w:val="79"/>
                </w:rPr>
                <w:t>54</w:t>
              </w:r>
            </w:hyperlink>
          </w:p>
        </w:tc>
      </w:tr>
    </w:tbl>
    <w:p>
      <w:pPr>
        <w:sectPr>
          <w:pgSz w:w="11900" w:h="16838" w:orient="portrait"/>
          <w:cols w:equalWidth="0" w:num="1">
            <w:col w:w="11400"/>
          </w:cols>
          <w:pgMar w:left="240" w:top="114" w:right="259" w:bottom="1440" w:gutter="0" w:footer="0" w:header="0"/>
        </w:sectPr>
      </w:pPr>
    </w:p>
    <w:bookmarkStart w:id="2" w:name="page3"/>
    <w:bookmarkEnd w:id="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TEM</w:t>
      </w:r>
      <w:r>
        <w:rPr>
          <w:rFonts w:ascii="Arial" w:cs="Arial" w:eastAsia="Arial" w:hAnsi="Arial"/>
          <w:sz w:val="18"/>
          <w:szCs w:val="18"/>
          <w:b w:val="1"/>
          <w:bCs w:val="1"/>
          <w:color w:val="auto"/>
        </w:rPr>
        <w:t xml:space="preserve"> 1. F</w:t>
      </w:r>
      <w:r>
        <w:rPr>
          <w:rFonts w:ascii="Arial" w:cs="Arial" w:eastAsia="Arial" w:hAnsi="Arial"/>
          <w:sz w:val="14"/>
          <w:szCs w:val="14"/>
          <w:b w:val="1"/>
          <w:bCs w:val="1"/>
          <w:color w:val="auto"/>
        </w:rPr>
        <w:t>INANCIAL</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TATEMENTS AND</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UPPLEMENTARY</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ATA (UNAUDITED)</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EZCORP,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BALANCE SHEETS</w:t>
      </w:r>
    </w:p>
    <w:tbl>
      <w:tblPr>
        <w:tblLayout w:type="fixed"/>
        <w:tblInd w:w="0" w:type="dxa"/>
        <w:tblCellMar>
          <w:top w:w="0" w:type="dxa"/>
          <w:left w:w="0" w:type="dxa"/>
          <w:bottom w:w="0" w:type="dxa"/>
          <w:right w:w="0" w:type="dxa"/>
        </w:tblCellMar>
      </w:tblPr>
      <w:tr>
        <w:trPr>
          <w:trHeight w:val="154"/>
        </w:trPr>
        <w:tc>
          <w:tcPr>
            <w:tcW w:w="3280" w:type="dxa"/>
            <w:vAlign w:val="bottom"/>
          </w:tcPr>
          <w:p>
            <w:pPr>
              <w:spacing w:after="0"/>
              <w:rPr>
                <w:sz w:val="13"/>
                <w:szCs w:val="13"/>
                <w:color w:val="auto"/>
              </w:rPr>
            </w:pPr>
          </w:p>
        </w:tc>
        <w:tc>
          <w:tcPr>
            <w:tcW w:w="4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ind w:left="20"/>
              <w:spacing w:after="0" w:line="154" w:lineRule="exact"/>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3"/>
                <w:szCs w:val="13"/>
                <w:color w:val="auto"/>
              </w:rPr>
            </w:pPr>
          </w:p>
        </w:tc>
        <w:tc>
          <w:tcPr>
            <w:tcW w:w="1120" w:type="dxa"/>
            <w:vAlign w:val="bottom"/>
            <w:gridSpan w:val="2"/>
          </w:tcPr>
          <w:p>
            <w:pPr>
              <w:jc w:val="right"/>
              <w:ind w:right="280"/>
              <w:spacing w:after="0" w:line="154" w:lineRule="exact"/>
              <w:rPr>
                <w:sz w:val="20"/>
                <w:szCs w:val="20"/>
                <w:color w:val="auto"/>
              </w:rPr>
            </w:pPr>
            <w:r>
              <w:rPr>
                <w:rFonts w:ascii="Arial" w:cs="Arial" w:eastAsia="Arial" w:hAnsi="Arial"/>
                <w:sz w:val="14"/>
                <w:szCs w:val="14"/>
                <w:b w:val="1"/>
                <w:bCs w:val="1"/>
                <w:color w:val="auto"/>
                <w:w w:val="90"/>
              </w:rPr>
              <w:t>December 31,</w:t>
            </w:r>
          </w:p>
        </w:tc>
        <w:tc>
          <w:tcPr>
            <w:tcW w:w="100" w:type="dxa"/>
            <w:vAlign w:val="bottom"/>
          </w:tcPr>
          <w:p>
            <w:pPr>
              <w:spacing w:after="0"/>
              <w:rPr>
                <w:sz w:val="13"/>
                <w:szCs w:val="13"/>
                <w:color w:val="auto"/>
              </w:rPr>
            </w:pPr>
          </w:p>
        </w:tc>
        <w:tc>
          <w:tcPr>
            <w:tcW w:w="1020" w:type="dxa"/>
            <w:vAlign w:val="bottom"/>
          </w:tcPr>
          <w:p>
            <w:pPr>
              <w:jc w:val="right"/>
              <w:ind w:right="68"/>
              <w:spacing w:after="0" w:line="154" w:lineRule="exact"/>
              <w:rPr>
                <w:sz w:val="20"/>
                <w:szCs w:val="20"/>
                <w:color w:val="auto"/>
              </w:rPr>
            </w:pPr>
            <w:r>
              <w:rPr>
                <w:rFonts w:ascii="Arial" w:cs="Arial" w:eastAsia="Arial" w:hAnsi="Arial"/>
                <w:sz w:val="14"/>
                <w:szCs w:val="14"/>
                <w:b w:val="1"/>
                <w:bCs w:val="1"/>
                <w:color w:val="auto"/>
                <w:w w:val="89"/>
              </w:rPr>
              <w:t>September 30,</w:t>
            </w:r>
          </w:p>
        </w:tc>
        <w:tc>
          <w:tcPr>
            <w:tcW w:w="0" w:type="dxa"/>
            <w:vAlign w:val="bottom"/>
          </w:tcPr>
          <w:p>
            <w:pPr>
              <w:spacing w:after="0"/>
              <w:rPr>
                <w:sz w:val="1"/>
                <w:szCs w:val="1"/>
                <w:color w:val="auto"/>
              </w:rPr>
            </w:pPr>
          </w:p>
        </w:tc>
      </w:tr>
      <w:tr>
        <w:trPr>
          <w:trHeight w:val="192"/>
        </w:trPr>
        <w:tc>
          <w:tcPr>
            <w:tcW w:w="328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190"/>
        </w:trPr>
        <w:tc>
          <w:tcPr>
            <w:tcW w:w="328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4"/>
                <w:szCs w:val="14"/>
                <w:i w:val="1"/>
                <w:iCs w:val="1"/>
                <w:color w:val="auto"/>
                <w:w w:val="92"/>
              </w:rPr>
              <w:t>(in thousands)</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3280" w:type="dxa"/>
            <w:vAlign w:val="bottom"/>
          </w:tcPr>
          <w:p>
            <w:pPr>
              <w:spacing w:after="0"/>
              <w:rPr>
                <w:sz w:val="11"/>
                <w:szCs w:val="11"/>
                <w:color w:val="auto"/>
              </w:rPr>
            </w:pPr>
          </w:p>
        </w:tc>
        <w:tc>
          <w:tcPr>
            <w:tcW w:w="4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77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7780" w:type="dxa"/>
            <w:vAlign w:val="bottom"/>
            <w:gridSpan w:val="2"/>
          </w:tcPr>
          <w:p>
            <w:pPr>
              <w:ind w:left="380"/>
              <w:spacing w:after="0"/>
              <w:rPr>
                <w:sz w:val="20"/>
                <w:szCs w:val="20"/>
                <w:color w:val="auto"/>
              </w:rPr>
            </w:pPr>
            <w:r>
              <w:rPr>
                <w:rFonts w:ascii="Arial" w:cs="Arial" w:eastAsia="Arial" w:hAnsi="Arial"/>
                <w:sz w:val="14"/>
                <w:szCs w:val="14"/>
                <w:color w:val="auto"/>
              </w:rPr>
              <w:t>Current assets:</w:t>
            </w: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78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46,668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22,988</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48,477</w:t>
            </w:r>
          </w:p>
        </w:tc>
        <w:tc>
          <w:tcPr>
            <w:tcW w:w="0" w:type="dxa"/>
            <w:vAlign w:val="bottom"/>
          </w:tcPr>
          <w:p>
            <w:pPr>
              <w:spacing w:after="0"/>
              <w:rPr>
                <w:sz w:val="1"/>
                <w:szCs w:val="1"/>
                <w:color w:val="auto"/>
              </w:rPr>
            </w:pPr>
          </w:p>
        </w:tc>
      </w:tr>
      <w:tr>
        <w:trPr>
          <w:trHeight w:val="264"/>
        </w:trPr>
        <w:tc>
          <w:tcPr>
            <w:tcW w:w="7780" w:type="dxa"/>
            <w:vAlign w:val="bottom"/>
            <w:gridSpan w:val="2"/>
          </w:tcPr>
          <w:p>
            <w:pPr>
              <w:ind w:left="600"/>
              <w:spacing w:after="0"/>
              <w:rPr>
                <w:sz w:val="20"/>
                <w:szCs w:val="20"/>
                <w:color w:val="auto"/>
              </w:rPr>
            </w:pPr>
            <w:r>
              <w:rPr>
                <w:rFonts w:ascii="Arial" w:cs="Arial" w:eastAsia="Arial" w:hAnsi="Arial"/>
                <w:sz w:val="14"/>
                <w:szCs w:val="14"/>
                <w:color w:val="auto"/>
              </w:rPr>
              <w:t>Restricted cash</w:t>
            </w:r>
          </w:p>
        </w:tc>
        <w:tc>
          <w:tcPr>
            <w:tcW w:w="12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1,133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1,145</w:t>
            </w:r>
          </w:p>
        </w:tc>
        <w:tc>
          <w:tcPr>
            <w:tcW w:w="0" w:type="dxa"/>
            <w:vAlign w:val="bottom"/>
          </w:tcPr>
          <w:p>
            <w:pPr>
              <w:spacing w:after="0"/>
              <w:rPr>
                <w:sz w:val="1"/>
                <w:szCs w:val="1"/>
                <w:color w:val="auto"/>
              </w:rPr>
            </w:pPr>
          </w:p>
        </w:tc>
      </w:tr>
      <w:tr>
        <w:trPr>
          <w:trHeight w:val="276"/>
        </w:trPr>
        <w:tc>
          <w:tcPr>
            <w:tcW w:w="778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Pawn loans</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162,095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150,060</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157,648</w:t>
            </w:r>
          </w:p>
        </w:tc>
        <w:tc>
          <w:tcPr>
            <w:tcW w:w="0" w:type="dxa"/>
            <w:vAlign w:val="bottom"/>
          </w:tcPr>
          <w:p>
            <w:pPr>
              <w:spacing w:after="0"/>
              <w:rPr>
                <w:sz w:val="1"/>
                <w:szCs w:val="1"/>
                <w:color w:val="auto"/>
              </w:rPr>
            </w:pPr>
          </w:p>
        </w:tc>
      </w:tr>
      <w:tr>
        <w:trPr>
          <w:trHeight w:val="264"/>
        </w:trPr>
        <w:tc>
          <w:tcPr>
            <w:tcW w:w="7780" w:type="dxa"/>
            <w:vAlign w:val="bottom"/>
            <w:gridSpan w:val="2"/>
          </w:tcPr>
          <w:p>
            <w:pPr>
              <w:ind w:left="600"/>
              <w:spacing w:after="0"/>
              <w:rPr>
                <w:sz w:val="20"/>
                <w:szCs w:val="20"/>
                <w:color w:val="auto"/>
              </w:rPr>
            </w:pPr>
            <w:r>
              <w:rPr>
                <w:rFonts w:ascii="Arial" w:cs="Arial" w:eastAsia="Arial" w:hAnsi="Arial"/>
                <w:sz w:val="14"/>
                <w:szCs w:val="14"/>
                <w:color w:val="auto"/>
              </w:rPr>
              <w:t>Consumer loans, net</w:t>
            </w:r>
          </w:p>
        </w:tc>
        <w:tc>
          <w:tcPr>
            <w:tcW w:w="12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40,599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16,188</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34,152</w:t>
            </w:r>
          </w:p>
        </w:tc>
        <w:tc>
          <w:tcPr>
            <w:tcW w:w="0" w:type="dxa"/>
            <w:vAlign w:val="bottom"/>
          </w:tcPr>
          <w:p>
            <w:pPr>
              <w:spacing w:after="0"/>
              <w:rPr>
                <w:sz w:val="1"/>
                <w:szCs w:val="1"/>
                <w:color w:val="auto"/>
              </w:rPr>
            </w:pPr>
          </w:p>
        </w:tc>
      </w:tr>
      <w:tr>
        <w:trPr>
          <w:trHeight w:val="276"/>
        </w:trPr>
        <w:tc>
          <w:tcPr>
            <w:tcW w:w="778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Pawn service charges receivable, net</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31,077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28,593</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29,401</w:t>
            </w:r>
          </w:p>
        </w:tc>
        <w:tc>
          <w:tcPr>
            <w:tcW w:w="0" w:type="dxa"/>
            <w:vAlign w:val="bottom"/>
          </w:tcPr>
          <w:p>
            <w:pPr>
              <w:spacing w:after="0"/>
              <w:rPr>
                <w:sz w:val="1"/>
                <w:szCs w:val="1"/>
                <w:color w:val="auto"/>
              </w:rPr>
            </w:pPr>
          </w:p>
        </w:tc>
      </w:tr>
      <w:tr>
        <w:trPr>
          <w:trHeight w:val="264"/>
        </w:trPr>
        <w:tc>
          <w:tcPr>
            <w:tcW w:w="7780" w:type="dxa"/>
            <w:vAlign w:val="bottom"/>
            <w:gridSpan w:val="2"/>
          </w:tcPr>
          <w:p>
            <w:pPr>
              <w:ind w:left="600"/>
              <w:spacing w:after="0"/>
              <w:rPr>
                <w:sz w:val="20"/>
                <w:szCs w:val="20"/>
                <w:color w:val="auto"/>
              </w:rPr>
            </w:pPr>
            <w:r>
              <w:rPr>
                <w:rFonts w:ascii="Arial" w:cs="Arial" w:eastAsia="Arial" w:hAnsi="Arial"/>
                <w:sz w:val="14"/>
                <w:szCs w:val="14"/>
                <w:color w:val="auto"/>
              </w:rPr>
              <w:t>Consumer loan fees receivable, net</w:t>
            </w:r>
          </w:p>
        </w:tc>
        <w:tc>
          <w:tcPr>
            <w:tcW w:w="12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34,074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7,611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30,416</w:t>
            </w:r>
          </w:p>
        </w:tc>
        <w:tc>
          <w:tcPr>
            <w:tcW w:w="0" w:type="dxa"/>
            <w:vAlign w:val="bottom"/>
          </w:tcPr>
          <w:p>
            <w:pPr>
              <w:spacing w:after="0"/>
              <w:rPr>
                <w:sz w:val="1"/>
                <w:szCs w:val="1"/>
                <w:color w:val="auto"/>
              </w:rPr>
            </w:pPr>
          </w:p>
        </w:tc>
      </w:tr>
      <w:tr>
        <w:trPr>
          <w:trHeight w:val="276"/>
        </w:trPr>
        <w:tc>
          <w:tcPr>
            <w:tcW w:w="778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Inventory, net</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120,326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100,385</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109,214</w:t>
            </w:r>
          </w:p>
        </w:tc>
        <w:tc>
          <w:tcPr>
            <w:tcW w:w="0" w:type="dxa"/>
            <w:vAlign w:val="bottom"/>
          </w:tcPr>
          <w:p>
            <w:pPr>
              <w:spacing w:after="0"/>
              <w:rPr>
                <w:sz w:val="1"/>
                <w:szCs w:val="1"/>
                <w:color w:val="auto"/>
              </w:rPr>
            </w:pPr>
          </w:p>
        </w:tc>
      </w:tr>
      <w:tr>
        <w:trPr>
          <w:trHeight w:val="264"/>
        </w:trPr>
        <w:tc>
          <w:tcPr>
            <w:tcW w:w="7780" w:type="dxa"/>
            <w:vAlign w:val="bottom"/>
            <w:gridSpan w:val="2"/>
          </w:tcPr>
          <w:p>
            <w:pPr>
              <w:ind w:left="600"/>
              <w:spacing w:after="0"/>
              <w:rPr>
                <w:sz w:val="20"/>
                <w:szCs w:val="20"/>
                <w:color w:val="auto"/>
              </w:rPr>
            </w:pPr>
            <w:r>
              <w:rPr>
                <w:rFonts w:ascii="Arial" w:cs="Arial" w:eastAsia="Arial" w:hAnsi="Arial"/>
                <w:sz w:val="14"/>
                <w:szCs w:val="14"/>
                <w:color w:val="auto"/>
              </w:rPr>
              <w:t>Deferred tax asset</w:t>
            </w:r>
          </w:p>
        </w:tc>
        <w:tc>
          <w:tcPr>
            <w:tcW w:w="12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15,716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18,169</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14,984</w:t>
            </w:r>
          </w:p>
        </w:tc>
        <w:tc>
          <w:tcPr>
            <w:tcW w:w="0" w:type="dxa"/>
            <w:vAlign w:val="bottom"/>
          </w:tcPr>
          <w:p>
            <w:pPr>
              <w:spacing w:after="0"/>
              <w:rPr>
                <w:sz w:val="1"/>
                <w:szCs w:val="1"/>
                <w:color w:val="auto"/>
              </w:rPr>
            </w:pPr>
          </w:p>
        </w:tc>
      </w:tr>
      <w:tr>
        <w:trPr>
          <w:trHeight w:val="276"/>
        </w:trPr>
        <w:tc>
          <w:tcPr>
            <w:tcW w:w="778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Income tax receivable</w:t>
            </w:r>
          </w:p>
        </w:tc>
        <w:tc>
          <w:tcPr>
            <w:tcW w:w="1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10,511</w:t>
            </w:r>
          </w:p>
        </w:tc>
        <w:tc>
          <w:tcPr>
            <w:tcW w:w="0" w:type="dxa"/>
            <w:vAlign w:val="bottom"/>
          </w:tcPr>
          <w:p>
            <w:pPr>
              <w:spacing w:after="0"/>
              <w:rPr>
                <w:sz w:val="1"/>
                <w:szCs w:val="1"/>
                <w:color w:val="auto"/>
              </w:rPr>
            </w:pPr>
          </w:p>
        </w:tc>
      </w:tr>
      <w:tr>
        <w:trPr>
          <w:trHeight w:val="264"/>
        </w:trPr>
        <w:tc>
          <w:tcPr>
            <w:tcW w:w="7780" w:type="dxa"/>
            <w:vAlign w:val="bottom"/>
            <w:tcBorders>
              <w:bottom w:val="single" w:sz="8" w:color="CCEEFF"/>
            </w:tcBorders>
            <w:gridSpan w:val="2"/>
          </w:tcPr>
          <w:p>
            <w:pPr>
              <w:ind w:left="600"/>
              <w:spacing w:after="0"/>
              <w:rPr>
                <w:sz w:val="20"/>
                <w:szCs w:val="20"/>
                <w:color w:val="auto"/>
              </w:rPr>
            </w:pPr>
            <w:r>
              <w:rPr>
                <w:rFonts w:ascii="Arial" w:cs="Arial" w:eastAsia="Arial" w:hAnsi="Arial"/>
                <w:sz w:val="14"/>
                <w:szCs w:val="14"/>
                <w:color w:val="auto"/>
              </w:rPr>
              <w:t>Prepaid expenses and other assets</w:t>
            </w: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50,394</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38,901</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45,451</w:t>
            </w:r>
          </w:p>
        </w:tc>
        <w:tc>
          <w:tcPr>
            <w:tcW w:w="0" w:type="dxa"/>
            <w:vAlign w:val="bottom"/>
          </w:tcPr>
          <w:p>
            <w:pPr>
              <w:spacing w:after="0"/>
              <w:rPr>
                <w:sz w:val="1"/>
                <w:szCs w:val="1"/>
                <w:color w:val="auto"/>
              </w:rPr>
            </w:pPr>
          </w:p>
        </w:tc>
      </w:tr>
      <w:tr>
        <w:trPr>
          <w:trHeight w:val="256"/>
        </w:trPr>
        <w:tc>
          <w:tcPr>
            <w:tcW w:w="7780" w:type="dxa"/>
            <w:vAlign w:val="bottom"/>
            <w:gridSpan w:val="2"/>
            <w:shd w:val="clear" w:color="auto" w:fill="CCEEFF"/>
          </w:tcPr>
          <w:p>
            <w:pPr>
              <w:ind w:left="820"/>
              <w:spacing w:after="0"/>
              <w:rPr>
                <w:sz w:val="20"/>
                <w:szCs w:val="20"/>
                <w:color w:val="auto"/>
              </w:rPr>
            </w:pPr>
            <w:r>
              <w:rPr>
                <w:rFonts w:ascii="Arial" w:cs="Arial" w:eastAsia="Arial" w:hAnsi="Arial"/>
                <w:sz w:val="14"/>
                <w:szCs w:val="14"/>
                <w:color w:val="auto"/>
              </w:rPr>
              <w:t>Total current assets</w:t>
            </w:r>
          </w:p>
        </w:tc>
        <w:tc>
          <w:tcPr>
            <w:tcW w:w="1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502,082</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382,895</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481,399</w:t>
            </w:r>
          </w:p>
        </w:tc>
        <w:tc>
          <w:tcPr>
            <w:tcW w:w="0" w:type="dxa"/>
            <w:vAlign w:val="bottom"/>
          </w:tcPr>
          <w:p>
            <w:pPr>
              <w:spacing w:after="0"/>
              <w:rPr>
                <w:sz w:val="1"/>
                <w:szCs w:val="1"/>
                <w:color w:val="auto"/>
              </w:rPr>
            </w:pPr>
          </w:p>
        </w:tc>
      </w:tr>
      <w:tr>
        <w:trPr>
          <w:trHeight w:val="264"/>
        </w:trPr>
        <w:tc>
          <w:tcPr>
            <w:tcW w:w="7780" w:type="dxa"/>
            <w:vAlign w:val="bottom"/>
            <w:gridSpan w:val="2"/>
          </w:tcPr>
          <w:p>
            <w:pPr>
              <w:ind w:left="380"/>
              <w:spacing w:after="0"/>
              <w:rPr>
                <w:sz w:val="20"/>
                <w:szCs w:val="20"/>
                <w:color w:val="auto"/>
              </w:rPr>
            </w:pPr>
            <w:r>
              <w:rPr>
                <w:rFonts w:ascii="Arial" w:cs="Arial" w:eastAsia="Arial" w:hAnsi="Arial"/>
                <w:sz w:val="14"/>
                <w:szCs w:val="14"/>
                <w:color w:val="auto"/>
              </w:rPr>
              <w:t>Investments in unconsolidated affiliates</w:t>
            </w:r>
          </w:p>
        </w:tc>
        <w:tc>
          <w:tcPr>
            <w:tcW w:w="12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144,232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117,820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126,066</w:t>
            </w:r>
          </w:p>
        </w:tc>
        <w:tc>
          <w:tcPr>
            <w:tcW w:w="0" w:type="dxa"/>
            <w:vAlign w:val="bottom"/>
          </w:tcPr>
          <w:p>
            <w:pPr>
              <w:spacing w:after="0"/>
              <w:rPr>
                <w:sz w:val="1"/>
                <w:szCs w:val="1"/>
                <w:color w:val="auto"/>
              </w:rPr>
            </w:pPr>
          </w:p>
        </w:tc>
      </w:tr>
      <w:tr>
        <w:trPr>
          <w:trHeight w:val="276"/>
        </w:trPr>
        <w:tc>
          <w:tcPr>
            <w:tcW w:w="77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Property and equipment, net</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114,676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84,513</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108,131</w:t>
            </w:r>
          </w:p>
        </w:tc>
        <w:tc>
          <w:tcPr>
            <w:tcW w:w="0" w:type="dxa"/>
            <w:vAlign w:val="bottom"/>
          </w:tcPr>
          <w:p>
            <w:pPr>
              <w:spacing w:after="0"/>
              <w:rPr>
                <w:sz w:val="1"/>
                <w:szCs w:val="1"/>
                <w:color w:val="auto"/>
              </w:rPr>
            </w:pPr>
          </w:p>
        </w:tc>
      </w:tr>
      <w:tr>
        <w:trPr>
          <w:trHeight w:val="264"/>
        </w:trPr>
        <w:tc>
          <w:tcPr>
            <w:tcW w:w="7780" w:type="dxa"/>
            <w:vAlign w:val="bottom"/>
            <w:gridSpan w:val="2"/>
          </w:tcPr>
          <w:p>
            <w:pPr>
              <w:ind w:left="380"/>
              <w:spacing w:after="0"/>
              <w:rPr>
                <w:sz w:val="20"/>
                <w:szCs w:val="20"/>
                <w:color w:val="auto"/>
              </w:rPr>
            </w:pPr>
            <w:r>
              <w:rPr>
                <w:rFonts w:ascii="Arial" w:cs="Arial" w:eastAsia="Arial" w:hAnsi="Arial"/>
                <w:sz w:val="14"/>
                <w:szCs w:val="14"/>
                <w:color w:val="auto"/>
              </w:rPr>
              <w:t>Restricted cash, non-current</w:t>
            </w:r>
          </w:p>
        </w:tc>
        <w:tc>
          <w:tcPr>
            <w:tcW w:w="12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1,994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4,337</w:t>
            </w:r>
          </w:p>
        </w:tc>
        <w:tc>
          <w:tcPr>
            <w:tcW w:w="0" w:type="dxa"/>
            <w:vAlign w:val="bottom"/>
          </w:tcPr>
          <w:p>
            <w:pPr>
              <w:spacing w:after="0"/>
              <w:rPr>
                <w:sz w:val="1"/>
                <w:szCs w:val="1"/>
                <w:color w:val="auto"/>
              </w:rPr>
            </w:pPr>
          </w:p>
        </w:tc>
      </w:tr>
      <w:tr>
        <w:trPr>
          <w:trHeight w:val="276"/>
        </w:trPr>
        <w:tc>
          <w:tcPr>
            <w:tcW w:w="77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Goodwill</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428,011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212,263</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374,663</w:t>
            </w:r>
          </w:p>
        </w:tc>
        <w:tc>
          <w:tcPr>
            <w:tcW w:w="0" w:type="dxa"/>
            <w:vAlign w:val="bottom"/>
          </w:tcPr>
          <w:p>
            <w:pPr>
              <w:spacing w:after="0"/>
              <w:rPr>
                <w:sz w:val="1"/>
                <w:szCs w:val="1"/>
                <w:color w:val="auto"/>
              </w:rPr>
            </w:pPr>
          </w:p>
        </w:tc>
      </w:tr>
      <w:tr>
        <w:trPr>
          <w:trHeight w:val="264"/>
        </w:trPr>
        <w:tc>
          <w:tcPr>
            <w:tcW w:w="7780" w:type="dxa"/>
            <w:vAlign w:val="bottom"/>
            <w:gridSpan w:val="2"/>
          </w:tcPr>
          <w:p>
            <w:pPr>
              <w:ind w:left="380"/>
              <w:spacing w:after="0"/>
              <w:rPr>
                <w:sz w:val="20"/>
                <w:szCs w:val="20"/>
                <w:color w:val="auto"/>
              </w:rPr>
            </w:pPr>
            <w:r>
              <w:rPr>
                <w:rFonts w:ascii="Arial" w:cs="Arial" w:eastAsia="Arial" w:hAnsi="Arial"/>
                <w:sz w:val="14"/>
                <w:szCs w:val="14"/>
                <w:color w:val="auto"/>
              </w:rPr>
              <w:t>Intangible assets, net</w:t>
            </w:r>
          </w:p>
        </w:tc>
        <w:tc>
          <w:tcPr>
            <w:tcW w:w="12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60,662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20,568</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45,185</w:t>
            </w:r>
          </w:p>
        </w:tc>
        <w:tc>
          <w:tcPr>
            <w:tcW w:w="0" w:type="dxa"/>
            <w:vAlign w:val="bottom"/>
          </w:tcPr>
          <w:p>
            <w:pPr>
              <w:spacing w:after="0"/>
              <w:rPr>
                <w:sz w:val="1"/>
                <w:szCs w:val="1"/>
                <w:color w:val="auto"/>
              </w:rPr>
            </w:pPr>
          </w:p>
        </w:tc>
      </w:tr>
      <w:tr>
        <w:trPr>
          <w:trHeight w:val="276"/>
        </w:trPr>
        <w:tc>
          <w:tcPr>
            <w:tcW w:w="77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Non-current consumer loans, net</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66,615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61,997</w:t>
            </w:r>
          </w:p>
        </w:tc>
        <w:tc>
          <w:tcPr>
            <w:tcW w:w="0" w:type="dxa"/>
            <w:vAlign w:val="bottom"/>
          </w:tcPr>
          <w:p>
            <w:pPr>
              <w:spacing w:after="0"/>
              <w:rPr>
                <w:sz w:val="1"/>
                <w:szCs w:val="1"/>
                <w:color w:val="auto"/>
              </w:rPr>
            </w:pPr>
          </w:p>
        </w:tc>
      </w:tr>
      <w:tr>
        <w:trPr>
          <w:trHeight w:val="264"/>
        </w:trPr>
        <w:tc>
          <w:tcPr>
            <w:tcW w:w="7780" w:type="dxa"/>
            <w:vAlign w:val="bottom"/>
            <w:tcBorders>
              <w:bottom w:val="single" w:sz="8" w:color="CCEEFF"/>
            </w:tcBorders>
            <w:gridSpan w:val="2"/>
          </w:tcPr>
          <w:p>
            <w:pPr>
              <w:ind w:left="380"/>
              <w:spacing w:after="0"/>
              <w:rPr>
                <w:sz w:val="20"/>
                <w:szCs w:val="20"/>
                <w:color w:val="auto"/>
              </w:rPr>
            </w:pPr>
            <w:r>
              <w:rPr>
                <w:rFonts w:ascii="Arial" w:cs="Arial" w:eastAsia="Arial" w:hAnsi="Arial"/>
                <w:sz w:val="14"/>
                <w:szCs w:val="14"/>
                <w:color w:val="auto"/>
              </w:rPr>
              <w:t>Other assets, net</w:t>
            </w: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19,074</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7,781</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16,229</w:t>
            </w:r>
          </w:p>
        </w:tc>
        <w:tc>
          <w:tcPr>
            <w:tcW w:w="0" w:type="dxa"/>
            <w:vAlign w:val="bottom"/>
          </w:tcPr>
          <w:p>
            <w:pPr>
              <w:spacing w:after="0"/>
              <w:rPr>
                <w:sz w:val="1"/>
                <w:szCs w:val="1"/>
                <w:color w:val="auto"/>
              </w:rPr>
            </w:pPr>
          </w:p>
        </w:tc>
      </w:tr>
      <w:tr>
        <w:trPr>
          <w:trHeight w:val="243"/>
        </w:trPr>
        <w:tc>
          <w:tcPr>
            <w:tcW w:w="778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4"/>
                <w:szCs w:val="14"/>
                <w:color w:val="auto"/>
              </w:rPr>
              <w:t>Total assets (1)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1,337,346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825,840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1,218,007</w:t>
            </w:r>
          </w:p>
        </w:tc>
        <w:tc>
          <w:tcPr>
            <w:tcW w:w="0" w:type="dxa"/>
            <w:vAlign w:val="bottom"/>
          </w:tcPr>
          <w:p>
            <w:pPr>
              <w:spacing w:after="0"/>
              <w:rPr>
                <w:sz w:val="1"/>
                <w:szCs w:val="1"/>
                <w:color w:val="auto"/>
              </w:rPr>
            </w:pPr>
          </w:p>
        </w:tc>
      </w:tr>
      <w:tr>
        <w:trPr>
          <w:trHeight w:val="20"/>
        </w:trPr>
        <w:tc>
          <w:tcPr>
            <w:tcW w:w="7780" w:type="dxa"/>
            <w:vAlign w:val="bottom"/>
            <w:gridSpan w:val="2"/>
            <w:vMerge w:val="restart"/>
          </w:tcPr>
          <w:p>
            <w:pPr>
              <w:ind w:left="40"/>
              <w:spacing w:after="0"/>
              <w:rPr>
                <w:sz w:val="20"/>
                <w:szCs w:val="20"/>
                <w:color w:val="auto"/>
              </w:rPr>
            </w:pPr>
            <w:r>
              <w:rPr>
                <w:rFonts w:ascii="Arial" w:cs="Arial" w:eastAsia="Arial" w:hAnsi="Arial"/>
                <w:sz w:val="14"/>
                <w:szCs w:val="14"/>
                <w:color w:val="auto"/>
              </w:rPr>
              <w:t>Liabilities and stockholders’ equity:</w:t>
            </w: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778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77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Current liabilities:</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780" w:type="dxa"/>
            <w:vAlign w:val="bottom"/>
            <w:gridSpan w:val="2"/>
          </w:tcPr>
          <w:p>
            <w:pPr>
              <w:ind w:left="600"/>
              <w:spacing w:after="0"/>
              <w:rPr>
                <w:sz w:val="20"/>
                <w:szCs w:val="20"/>
                <w:color w:val="auto"/>
              </w:rPr>
            </w:pPr>
            <w:r>
              <w:rPr>
                <w:rFonts w:ascii="Arial" w:cs="Arial" w:eastAsia="Arial" w:hAnsi="Arial"/>
                <w:sz w:val="14"/>
                <w:szCs w:val="14"/>
                <w:color w:val="auto"/>
              </w:rPr>
              <w:t>Current maturities of long-term debt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27,562</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21,085</w:t>
            </w:r>
          </w:p>
        </w:tc>
        <w:tc>
          <w:tcPr>
            <w:tcW w:w="0" w:type="dxa"/>
            <w:vAlign w:val="bottom"/>
          </w:tcPr>
          <w:p>
            <w:pPr>
              <w:spacing w:after="0"/>
              <w:rPr>
                <w:sz w:val="1"/>
                <w:szCs w:val="1"/>
                <w:color w:val="auto"/>
              </w:rPr>
            </w:pPr>
          </w:p>
        </w:tc>
      </w:tr>
      <w:tr>
        <w:trPr>
          <w:trHeight w:val="276"/>
        </w:trPr>
        <w:tc>
          <w:tcPr>
            <w:tcW w:w="778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Current capital lease obligations</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533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594</w:t>
            </w:r>
          </w:p>
        </w:tc>
        <w:tc>
          <w:tcPr>
            <w:tcW w:w="0" w:type="dxa"/>
            <w:vAlign w:val="bottom"/>
          </w:tcPr>
          <w:p>
            <w:pPr>
              <w:spacing w:after="0"/>
              <w:rPr>
                <w:sz w:val="1"/>
                <w:szCs w:val="1"/>
                <w:color w:val="auto"/>
              </w:rPr>
            </w:pPr>
          </w:p>
        </w:tc>
      </w:tr>
      <w:tr>
        <w:trPr>
          <w:trHeight w:val="264"/>
        </w:trPr>
        <w:tc>
          <w:tcPr>
            <w:tcW w:w="7780" w:type="dxa"/>
            <w:vAlign w:val="bottom"/>
            <w:gridSpan w:val="2"/>
          </w:tcPr>
          <w:p>
            <w:pPr>
              <w:ind w:left="600"/>
              <w:spacing w:after="0"/>
              <w:rPr>
                <w:sz w:val="20"/>
                <w:szCs w:val="20"/>
                <w:color w:val="auto"/>
              </w:rPr>
            </w:pPr>
            <w:r>
              <w:rPr>
                <w:rFonts w:ascii="Arial" w:cs="Arial" w:eastAsia="Arial" w:hAnsi="Arial"/>
                <w:sz w:val="14"/>
                <w:szCs w:val="14"/>
                <w:color w:val="auto"/>
              </w:rPr>
              <w:t>Accounts payable and other accrued expenses</w:t>
            </w:r>
          </w:p>
        </w:tc>
        <w:tc>
          <w:tcPr>
            <w:tcW w:w="12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70,719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53,087</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64,104</w:t>
            </w:r>
          </w:p>
        </w:tc>
        <w:tc>
          <w:tcPr>
            <w:tcW w:w="0" w:type="dxa"/>
            <w:vAlign w:val="bottom"/>
          </w:tcPr>
          <w:p>
            <w:pPr>
              <w:spacing w:after="0"/>
              <w:rPr>
                <w:sz w:val="1"/>
                <w:szCs w:val="1"/>
                <w:color w:val="auto"/>
              </w:rPr>
            </w:pPr>
          </w:p>
        </w:tc>
      </w:tr>
      <w:tr>
        <w:trPr>
          <w:trHeight w:val="276"/>
        </w:trPr>
        <w:tc>
          <w:tcPr>
            <w:tcW w:w="778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Other current liabilities</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24,396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4,325</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14,821</w:t>
            </w:r>
          </w:p>
        </w:tc>
        <w:tc>
          <w:tcPr>
            <w:tcW w:w="0" w:type="dxa"/>
            <w:vAlign w:val="bottom"/>
          </w:tcPr>
          <w:p>
            <w:pPr>
              <w:spacing w:after="0"/>
              <w:rPr>
                <w:sz w:val="1"/>
                <w:szCs w:val="1"/>
                <w:color w:val="auto"/>
              </w:rPr>
            </w:pPr>
          </w:p>
        </w:tc>
      </w:tr>
      <w:tr>
        <w:trPr>
          <w:trHeight w:val="264"/>
        </w:trPr>
        <w:tc>
          <w:tcPr>
            <w:tcW w:w="7780" w:type="dxa"/>
            <w:vAlign w:val="bottom"/>
            <w:gridSpan w:val="2"/>
          </w:tcPr>
          <w:p>
            <w:pPr>
              <w:ind w:left="600"/>
              <w:spacing w:after="0"/>
              <w:rPr>
                <w:sz w:val="20"/>
                <w:szCs w:val="20"/>
                <w:color w:val="auto"/>
              </w:rPr>
            </w:pPr>
            <w:r>
              <w:rPr>
                <w:rFonts w:ascii="Arial" w:cs="Arial" w:eastAsia="Arial" w:hAnsi="Arial"/>
                <w:sz w:val="14"/>
                <w:szCs w:val="14"/>
                <w:color w:val="auto"/>
              </w:rPr>
              <w:t>Customer layaway deposits</w:t>
            </w:r>
          </w:p>
        </w:tc>
        <w:tc>
          <w:tcPr>
            <w:tcW w:w="12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6,254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6,152</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7,238</w:t>
            </w:r>
          </w:p>
        </w:tc>
        <w:tc>
          <w:tcPr>
            <w:tcW w:w="0" w:type="dxa"/>
            <w:vAlign w:val="bottom"/>
          </w:tcPr>
          <w:p>
            <w:pPr>
              <w:spacing w:after="0"/>
              <w:rPr>
                <w:sz w:val="1"/>
                <w:szCs w:val="1"/>
                <w:color w:val="auto"/>
              </w:rPr>
            </w:pPr>
          </w:p>
        </w:tc>
      </w:tr>
      <w:tr>
        <w:trPr>
          <w:trHeight w:val="270"/>
        </w:trPr>
        <w:tc>
          <w:tcPr>
            <w:tcW w:w="778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Income taxes payable</w:t>
            </w:r>
          </w:p>
        </w:tc>
        <w:tc>
          <w:tcPr>
            <w:tcW w:w="1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659</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12,672</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7780" w:type="dxa"/>
            <w:vAlign w:val="bottom"/>
            <w:gridSpan w:val="2"/>
          </w:tcPr>
          <w:p>
            <w:pPr>
              <w:ind w:left="820"/>
              <w:spacing w:after="0"/>
              <w:rPr>
                <w:sz w:val="20"/>
                <w:szCs w:val="20"/>
                <w:color w:val="auto"/>
              </w:rPr>
            </w:pPr>
            <w:r>
              <w:rPr>
                <w:rFonts w:ascii="Arial" w:cs="Arial" w:eastAsia="Arial" w:hAnsi="Arial"/>
                <w:sz w:val="14"/>
                <w:szCs w:val="14"/>
                <w:color w:val="auto"/>
              </w:rPr>
              <w:t>Total current liabilities</w:t>
            </w:r>
          </w:p>
        </w:tc>
        <w:tc>
          <w:tcPr>
            <w:tcW w:w="120" w:type="dxa"/>
            <w:vAlign w:val="bottom"/>
          </w:tcPr>
          <w:p>
            <w:pPr>
              <w:spacing w:after="0"/>
              <w:rPr>
                <w:sz w:val="21"/>
                <w:szCs w:val="21"/>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130,123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76,236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107,842</w:t>
            </w:r>
          </w:p>
        </w:tc>
        <w:tc>
          <w:tcPr>
            <w:tcW w:w="0" w:type="dxa"/>
            <w:vAlign w:val="bottom"/>
          </w:tcPr>
          <w:p>
            <w:pPr>
              <w:spacing w:after="0"/>
              <w:rPr>
                <w:sz w:val="1"/>
                <w:szCs w:val="1"/>
                <w:color w:val="auto"/>
              </w:rPr>
            </w:pPr>
          </w:p>
        </w:tc>
      </w:tr>
      <w:tr>
        <w:trPr>
          <w:trHeight w:val="276"/>
        </w:trPr>
        <w:tc>
          <w:tcPr>
            <w:tcW w:w="77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Long-term debt, less current maturities</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207,978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40,500</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198,836</w:t>
            </w:r>
          </w:p>
        </w:tc>
        <w:tc>
          <w:tcPr>
            <w:tcW w:w="0" w:type="dxa"/>
            <w:vAlign w:val="bottom"/>
          </w:tcPr>
          <w:p>
            <w:pPr>
              <w:spacing w:after="0"/>
              <w:rPr>
                <w:sz w:val="1"/>
                <w:szCs w:val="1"/>
                <w:color w:val="auto"/>
              </w:rPr>
            </w:pPr>
          </w:p>
        </w:tc>
      </w:tr>
      <w:tr>
        <w:trPr>
          <w:trHeight w:val="264"/>
        </w:trPr>
        <w:tc>
          <w:tcPr>
            <w:tcW w:w="7780" w:type="dxa"/>
            <w:vAlign w:val="bottom"/>
            <w:gridSpan w:val="2"/>
          </w:tcPr>
          <w:p>
            <w:pPr>
              <w:ind w:left="380"/>
              <w:spacing w:after="0"/>
              <w:rPr>
                <w:sz w:val="20"/>
                <w:szCs w:val="20"/>
                <w:color w:val="auto"/>
              </w:rPr>
            </w:pPr>
            <w:r>
              <w:rPr>
                <w:rFonts w:ascii="Arial" w:cs="Arial" w:eastAsia="Arial" w:hAnsi="Arial"/>
                <w:sz w:val="14"/>
                <w:szCs w:val="14"/>
                <w:color w:val="auto"/>
              </w:rPr>
              <w:t>Long-term capital lease obligations</w:t>
            </w:r>
          </w:p>
        </w:tc>
        <w:tc>
          <w:tcPr>
            <w:tcW w:w="12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771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995</w:t>
            </w:r>
          </w:p>
        </w:tc>
        <w:tc>
          <w:tcPr>
            <w:tcW w:w="0" w:type="dxa"/>
            <w:vAlign w:val="bottom"/>
          </w:tcPr>
          <w:p>
            <w:pPr>
              <w:spacing w:after="0"/>
              <w:rPr>
                <w:sz w:val="1"/>
                <w:szCs w:val="1"/>
                <w:color w:val="auto"/>
              </w:rPr>
            </w:pPr>
          </w:p>
        </w:tc>
      </w:tr>
      <w:tr>
        <w:trPr>
          <w:trHeight w:val="276"/>
        </w:trPr>
        <w:tc>
          <w:tcPr>
            <w:tcW w:w="77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Deferred tax liability</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10,815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8,724</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7,922</w:t>
            </w:r>
          </w:p>
        </w:tc>
        <w:tc>
          <w:tcPr>
            <w:tcW w:w="0" w:type="dxa"/>
            <w:vAlign w:val="bottom"/>
          </w:tcPr>
          <w:p>
            <w:pPr>
              <w:spacing w:after="0"/>
              <w:rPr>
                <w:sz w:val="1"/>
                <w:szCs w:val="1"/>
                <w:color w:val="auto"/>
              </w:rPr>
            </w:pPr>
          </w:p>
        </w:tc>
      </w:tr>
      <w:tr>
        <w:trPr>
          <w:trHeight w:val="264"/>
        </w:trPr>
        <w:tc>
          <w:tcPr>
            <w:tcW w:w="7780" w:type="dxa"/>
            <w:vAlign w:val="bottom"/>
            <w:tcBorders>
              <w:bottom w:val="single" w:sz="8" w:color="CCEEFF"/>
            </w:tcBorders>
            <w:gridSpan w:val="2"/>
          </w:tcPr>
          <w:p>
            <w:pPr>
              <w:ind w:left="380"/>
              <w:spacing w:after="0"/>
              <w:rPr>
                <w:sz w:val="20"/>
                <w:szCs w:val="20"/>
                <w:color w:val="auto"/>
              </w:rPr>
            </w:pPr>
            <w:r>
              <w:rPr>
                <w:rFonts w:ascii="Arial" w:cs="Arial" w:eastAsia="Arial" w:hAnsi="Arial"/>
                <w:sz w:val="14"/>
                <w:szCs w:val="14"/>
                <w:color w:val="auto"/>
              </w:rPr>
              <w:t>Deferred gains and other long-term liabilities</w:t>
            </w: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26,227</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1,997</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13,903</w:t>
            </w:r>
          </w:p>
        </w:tc>
        <w:tc>
          <w:tcPr>
            <w:tcW w:w="0" w:type="dxa"/>
            <w:vAlign w:val="bottom"/>
          </w:tcPr>
          <w:p>
            <w:pPr>
              <w:spacing w:after="0"/>
              <w:rPr>
                <w:sz w:val="1"/>
                <w:szCs w:val="1"/>
                <w:color w:val="auto"/>
              </w:rPr>
            </w:pPr>
          </w:p>
        </w:tc>
      </w:tr>
      <w:tr>
        <w:trPr>
          <w:trHeight w:val="256"/>
        </w:trPr>
        <w:tc>
          <w:tcPr>
            <w:tcW w:w="7780" w:type="dxa"/>
            <w:vAlign w:val="bottom"/>
            <w:gridSpan w:val="2"/>
            <w:shd w:val="clear" w:color="auto" w:fill="CCEEFF"/>
          </w:tcPr>
          <w:p>
            <w:pPr>
              <w:ind w:left="820"/>
              <w:spacing w:after="0"/>
              <w:rPr>
                <w:sz w:val="20"/>
                <w:szCs w:val="20"/>
                <w:color w:val="auto"/>
              </w:rPr>
            </w:pPr>
            <w:r>
              <w:rPr>
                <w:rFonts w:ascii="Arial" w:cs="Arial" w:eastAsia="Arial" w:hAnsi="Arial"/>
                <w:sz w:val="14"/>
                <w:szCs w:val="14"/>
                <w:color w:val="auto"/>
              </w:rPr>
              <w:t>Total liabilities (2)</w:t>
            </w:r>
          </w:p>
        </w:tc>
        <w:tc>
          <w:tcPr>
            <w:tcW w:w="1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375,914</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127,457</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329,498</w:t>
            </w:r>
          </w:p>
        </w:tc>
        <w:tc>
          <w:tcPr>
            <w:tcW w:w="0" w:type="dxa"/>
            <w:vAlign w:val="bottom"/>
          </w:tcPr>
          <w:p>
            <w:pPr>
              <w:spacing w:after="0"/>
              <w:rPr>
                <w:sz w:val="1"/>
                <w:szCs w:val="1"/>
                <w:color w:val="auto"/>
              </w:rPr>
            </w:pPr>
          </w:p>
        </w:tc>
      </w:tr>
      <w:tr>
        <w:trPr>
          <w:trHeight w:val="264"/>
        </w:trPr>
        <w:tc>
          <w:tcPr>
            <w:tcW w:w="7780" w:type="dxa"/>
            <w:vAlign w:val="bottom"/>
            <w:gridSpan w:val="2"/>
          </w:tcPr>
          <w:p>
            <w:pPr>
              <w:ind w:left="380"/>
              <w:spacing w:after="0"/>
              <w:rPr>
                <w:sz w:val="20"/>
                <w:szCs w:val="20"/>
                <w:color w:val="auto"/>
              </w:rPr>
            </w:pPr>
            <w:r>
              <w:rPr>
                <w:rFonts w:ascii="Arial" w:cs="Arial" w:eastAsia="Arial" w:hAnsi="Arial"/>
                <w:sz w:val="14"/>
                <w:szCs w:val="14"/>
                <w:color w:val="auto"/>
              </w:rPr>
              <w:t>Commitments and contingencies</w:t>
            </w: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7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Temporary equity:</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780" w:type="dxa"/>
            <w:vAlign w:val="bottom"/>
            <w:gridSpan w:val="2"/>
          </w:tcPr>
          <w:p>
            <w:pPr>
              <w:ind w:left="600"/>
              <w:spacing w:after="0"/>
              <w:rPr>
                <w:sz w:val="20"/>
                <w:szCs w:val="20"/>
                <w:color w:val="auto"/>
              </w:rPr>
            </w:pPr>
            <w:r>
              <w:rPr>
                <w:rFonts w:ascii="Arial" w:cs="Arial" w:eastAsia="Arial" w:hAnsi="Arial"/>
                <w:sz w:val="14"/>
                <w:szCs w:val="14"/>
                <w:color w:val="auto"/>
              </w:rPr>
              <w:t>Redeemable noncontrolling interest</w:t>
            </w:r>
          </w:p>
        </w:tc>
        <w:tc>
          <w:tcPr>
            <w:tcW w:w="12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49,323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53,681</w:t>
            </w:r>
          </w:p>
        </w:tc>
        <w:tc>
          <w:tcPr>
            <w:tcW w:w="0" w:type="dxa"/>
            <w:vAlign w:val="bottom"/>
          </w:tcPr>
          <w:p>
            <w:pPr>
              <w:spacing w:after="0"/>
              <w:rPr>
                <w:sz w:val="1"/>
                <w:szCs w:val="1"/>
                <w:color w:val="auto"/>
              </w:rPr>
            </w:pPr>
          </w:p>
        </w:tc>
      </w:tr>
      <w:tr>
        <w:trPr>
          <w:trHeight w:val="276"/>
        </w:trPr>
        <w:tc>
          <w:tcPr>
            <w:tcW w:w="77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Stockholders’ equity:</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7780" w:type="dxa"/>
            <w:vAlign w:val="bottom"/>
            <w:gridSpan w:val="2"/>
          </w:tcPr>
          <w:p>
            <w:pPr>
              <w:ind w:left="600"/>
              <w:spacing w:after="0" w:line="157" w:lineRule="exact"/>
              <w:rPr>
                <w:sz w:val="20"/>
                <w:szCs w:val="20"/>
                <w:color w:val="auto"/>
              </w:rPr>
            </w:pPr>
            <w:r>
              <w:rPr>
                <w:rFonts w:ascii="Arial" w:cs="Arial" w:eastAsia="Arial" w:hAnsi="Arial"/>
                <w:sz w:val="14"/>
                <w:szCs w:val="14"/>
                <w:color w:val="auto"/>
                <w:w w:val="99"/>
              </w:rPr>
              <w:t>Class A Non-voting Common Stock, par value $.01 per share; authorized 54 million shares; issued and outstanding:</w:t>
            </w: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7780" w:type="dxa"/>
            <w:vAlign w:val="bottom"/>
            <w:gridSpan w:val="2"/>
          </w:tcPr>
          <w:p>
            <w:pPr>
              <w:ind w:left="600"/>
              <w:spacing w:after="0"/>
              <w:rPr>
                <w:sz w:val="20"/>
                <w:szCs w:val="20"/>
                <w:color w:val="auto"/>
              </w:rPr>
            </w:pPr>
            <w:r>
              <w:rPr>
                <w:rFonts w:ascii="Arial" w:cs="Arial" w:eastAsia="Arial" w:hAnsi="Arial"/>
                <w:sz w:val="14"/>
                <w:szCs w:val="14"/>
                <w:color w:val="auto"/>
              </w:rPr>
              <w:t>51,196,870 and 47,409,234 at December 31, 2012 and 2011; and 48,255,536 at September 30, 2012</w:t>
            </w:r>
          </w:p>
        </w:tc>
        <w:tc>
          <w:tcPr>
            <w:tcW w:w="120" w:type="dxa"/>
            <w:vAlign w:val="bottom"/>
          </w:tcPr>
          <w:p>
            <w:pPr>
              <w:spacing w:after="0"/>
              <w:rPr>
                <w:sz w:val="16"/>
                <w:szCs w:val="16"/>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508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474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482</w:t>
            </w:r>
          </w:p>
        </w:tc>
        <w:tc>
          <w:tcPr>
            <w:tcW w:w="0" w:type="dxa"/>
            <w:vAlign w:val="bottom"/>
          </w:tcPr>
          <w:p>
            <w:pPr>
              <w:spacing w:after="0"/>
              <w:rPr>
                <w:sz w:val="1"/>
                <w:szCs w:val="1"/>
                <w:color w:val="auto"/>
              </w:rPr>
            </w:pPr>
          </w:p>
        </w:tc>
      </w:tr>
      <w:tr>
        <w:trPr>
          <w:trHeight w:val="163"/>
        </w:trPr>
        <w:tc>
          <w:tcPr>
            <w:tcW w:w="778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w w:val="94"/>
              </w:rPr>
              <w:t>Class B Voting Common Stock, convertible, par value $.01 per share; 3 million shares authorized; issued and outstanding:</w:t>
            </w: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280" w:type="dxa"/>
            <w:vAlign w:val="bottom"/>
            <w:shd w:val="clear" w:color="auto" w:fill="CCEEFF"/>
          </w:tcPr>
          <w:p>
            <w:pPr>
              <w:ind w:left="600"/>
              <w:spacing w:after="0"/>
              <w:rPr>
                <w:sz w:val="20"/>
                <w:szCs w:val="20"/>
                <w:color w:val="auto"/>
              </w:rPr>
            </w:pPr>
            <w:r>
              <w:rPr>
                <w:rFonts w:ascii="Arial" w:cs="Arial" w:eastAsia="Arial" w:hAnsi="Arial"/>
                <w:sz w:val="14"/>
                <w:szCs w:val="14"/>
                <w:color w:val="auto"/>
              </w:rPr>
              <w:t>2,970,171</w:t>
            </w:r>
          </w:p>
        </w:tc>
        <w:tc>
          <w:tcPr>
            <w:tcW w:w="4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264"/>
        </w:trPr>
        <w:tc>
          <w:tcPr>
            <w:tcW w:w="7780" w:type="dxa"/>
            <w:vAlign w:val="bottom"/>
            <w:gridSpan w:val="2"/>
          </w:tcPr>
          <w:p>
            <w:pPr>
              <w:ind w:left="600"/>
              <w:spacing w:after="0"/>
              <w:rPr>
                <w:sz w:val="20"/>
                <w:szCs w:val="20"/>
                <w:color w:val="auto"/>
              </w:rPr>
            </w:pPr>
            <w:r>
              <w:rPr>
                <w:rFonts w:ascii="Arial" w:cs="Arial" w:eastAsia="Arial" w:hAnsi="Arial"/>
                <w:sz w:val="14"/>
                <w:szCs w:val="14"/>
                <w:color w:val="auto"/>
              </w:rPr>
              <w:t>Additional paid-in capital</w:t>
            </w:r>
          </w:p>
        </w:tc>
        <w:tc>
          <w:tcPr>
            <w:tcW w:w="12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313,068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243,919</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268,626</w:t>
            </w:r>
          </w:p>
        </w:tc>
        <w:tc>
          <w:tcPr>
            <w:tcW w:w="0" w:type="dxa"/>
            <w:vAlign w:val="bottom"/>
          </w:tcPr>
          <w:p>
            <w:pPr>
              <w:spacing w:after="0"/>
              <w:rPr>
                <w:sz w:val="1"/>
                <w:szCs w:val="1"/>
                <w:color w:val="auto"/>
              </w:rPr>
            </w:pPr>
          </w:p>
        </w:tc>
      </w:tr>
      <w:tr>
        <w:trPr>
          <w:trHeight w:val="276"/>
        </w:trPr>
        <w:tc>
          <w:tcPr>
            <w:tcW w:w="778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Retained earnings</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596,520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461,447</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565,803</w:t>
            </w:r>
          </w:p>
        </w:tc>
        <w:tc>
          <w:tcPr>
            <w:tcW w:w="0" w:type="dxa"/>
            <w:vAlign w:val="bottom"/>
          </w:tcPr>
          <w:p>
            <w:pPr>
              <w:spacing w:after="0"/>
              <w:rPr>
                <w:sz w:val="1"/>
                <w:szCs w:val="1"/>
                <w:color w:val="auto"/>
              </w:rPr>
            </w:pPr>
          </w:p>
        </w:tc>
      </w:tr>
      <w:tr>
        <w:trPr>
          <w:trHeight w:val="264"/>
        </w:trPr>
        <w:tc>
          <w:tcPr>
            <w:tcW w:w="7780" w:type="dxa"/>
            <w:vAlign w:val="bottom"/>
            <w:tcBorders>
              <w:bottom w:val="single" w:sz="8" w:color="CCEEFF"/>
            </w:tcBorders>
            <w:gridSpan w:val="2"/>
          </w:tcPr>
          <w:p>
            <w:pPr>
              <w:ind w:left="600"/>
              <w:spacing w:after="0"/>
              <w:rPr>
                <w:sz w:val="20"/>
                <w:szCs w:val="20"/>
                <w:color w:val="auto"/>
              </w:rPr>
            </w:pPr>
            <w:r>
              <w:rPr>
                <w:rFonts w:ascii="Arial" w:cs="Arial" w:eastAsia="Arial" w:hAnsi="Arial"/>
                <w:sz w:val="14"/>
                <w:szCs w:val="14"/>
                <w:color w:val="auto"/>
              </w:rPr>
              <w:t>Accumulated other comprehensive income (loss)</w:t>
            </w: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1,983</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(7,487)</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w:t>
            </w:r>
          </w:p>
        </w:tc>
        <w:tc>
          <w:tcPr>
            <w:tcW w:w="0" w:type="dxa"/>
            <w:vAlign w:val="bottom"/>
          </w:tcPr>
          <w:p>
            <w:pPr>
              <w:spacing w:after="0"/>
              <w:rPr>
                <w:sz w:val="1"/>
                <w:szCs w:val="1"/>
                <w:color w:val="auto"/>
              </w:rPr>
            </w:pPr>
          </w:p>
        </w:tc>
      </w:tr>
      <w:tr>
        <w:trPr>
          <w:trHeight w:val="250"/>
        </w:trPr>
        <w:tc>
          <w:tcPr>
            <w:tcW w:w="778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EZCORP, Inc. stockholders’ equity</w:t>
            </w:r>
          </w:p>
        </w:tc>
        <w:tc>
          <w:tcPr>
            <w:tcW w:w="1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912,109</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698,383</w:t>
            </w:r>
          </w:p>
        </w:tc>
        <w:tc>
          <w:tcPr>
            <w:tcW w:w="10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834,828</w:t>
            </w:r>
          </w:p>
        </w:tc>
        <w:tc>
          <w:tcPr>
            <w:tcW w:w="0" w:type="dxa"/>
            <w:vAlign w:val="bottom"/>
          </w:tcPr>
          <w:p>
            <w:pPr>
              <w:spacing w:after="0"/>
              <w:rPr>
                <w:sz w:val="1"/>
                <w:szCs w:val="1"/>
                <w:color w:val="auto"/>
              </w:rPr>
            </w:pPr>
          </w:p>
        </w:tc>
      </w:tr>
      <w:tr>
        <w:trPr>
          <w:trHeight w:val="243"/>
        </w:trPr>
        <w:tc>
          <w:tcPr>
            <w:tcW w:w="7780" w:type="dxa"/>
            <w:vAlign w:val="bottom"/>
            <w:gridSpan w:val="2"/>
          </w:tcPr>
          <w:p>
            <w:pPr>
              <w:ind w:left="600"/>
              <w:spacing w:after="0"/>
              <w:rPr>
                <w:sz w:val="20"/>
                <w:szCs w:val="20"/>
                <w:color w:val="auto"/>
              </w:rPr>
            </w:pPr>
            <w:r>
              <w:rPr>
                <w:rFonts w:ascii="Arial" w:cs="Arial" w:eastAsia="Arial" w:hAnsi="Arial"/>
                <w:sz w:val="14"/>
                <w:szCs w:val="14"/>
                <w:color w:val="auto"/>
              </w:rPr>
              <w:t>Total liabilities and stockholders’ equity</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1,337,346</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825,840</w:t>
            </w:r>
          </w:p>
        </w:tc>
        <w:tc>
          <w:tcPr>
            <w:tcW w:w="10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1,218,007</w:t>
            </w:r>
          </w:p>
        </w:tc>
        <w:tc>
          <w:tcPr>
            <w:tcW w:w="0" w:type="dxa"/>
            <w:vAlign w:val="bottom"/>
          </w:tcPr>
          <w:p>
            <w:pPr>
              <w:spacing w:after="0"/>
              <w:rPr>
                <w:sz w:val="1"/>
                <w:szCs w:val="1"/>
                <w:color w:val="auto"/>
              </w:rPr>
            </w:pPr>
          </w:p>
        </w:tc>
      </w:tr>
      <w:tr>
        <w:trPr>
          <w:trHeight w:val="20"/>
        </w:trPr>
        <w:tc>
          <w:tcPr>
            <w:tcW w:w="3280" w:type="dxa"/>
            <w:vAlign w:val="bottom"/>
            <w:vMerge w:val="restart"/>
          </w:tcPr>
          <w:p>
            <w:pPr>
              <w:spacing w:after="0"/>
              <w:rPr>
                <w:sz w:val="20"/>
                <w:szCs w:val="20"/>
                <w:color w:val="auto"/>
              </w:rPr>
            </w:pPr>
            <w:r>
              <w:rPr>
                <w:rFonts w:ascii="Arial" w:cs="Arial" w:eastAsia="Arial" w:hAnsi="Arial"/>
                <w:sz w:val="14"/>
                <w:szCs w:val="14"/>
                <w:b w:val="1"/>
                <w:bCs w:val="1"/>
                <w:color w:val="auto"/>
                <w:w w:val="86"/>
              </w:rPr>
              <w:t>Assets and Liabilities of Crediamigo Securitization Trust</w:t>
            </w:r>
          </w:p>
        </w:tc>
        <w:tc>
          <w:tcPr>
            <w:tcW w:w="450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280" w:type="dxa"/>
            <w:vAlign w:val="bottom"/>
            <w:tcBorders>
              <w:bottom w:val="single" w:sz="8" w:color="auto"/>
            </w:tcBorders>
            <w:vMerge w:val="continue"/>
          </w:tcPr>
          <w:p>
            <w:pPr>
              <w:spacing w:after="0"/>
              <w:rPr>
                <w:sz w:val="14"/>
                <w:szCs w:val="14"/>
                <w:color w:val="auto"/>
              </w:rPr>
            </w:pPr>
          </w:p>
        </w:tc>
        <w:tc>
          <w:tcPr>
            <w:tcW w:w="45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30" w:lineRule="exact"/>
        <w:rPr>
          <w:sz w:val="20"/>
          <w:szCs w:val="20"/>
          <w:color w:val="auto"/>
        </w:rPr>
      </w:pPr>
    </w:p>
    <w:p>
      <w:pPr>
        <w:ind w:right="60" w:firstLine="8"/>
        <w:spacing w:after="0"/>
        <w:tabs>
          <w:tab w:leader="none" w:pos="191"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consolidated assets as of December 31, 2012 and September 30, 2012, include the following assets of the Crediamigo securitization trust that can only be used to settle its liabilities: Restricted cash, $2.0 million and $4.3 million; Consumer loans, net, $35.1 million and $33.6 million; Consumer loan fees receivable, net, $8.5 million and $7.7 million; Intangible assets, net $3.1 million and $2.6 million and total assets, $48.7 million and $48.2 million respectively.</w:t>
      </w:r>
    </w:p>
    <w:p>
      <w:pPr>
        <w:spacing w:after="0" w:line="1" w:lineRule="exact"/>
        <w:rPr>
          <w:rFonts w:ascii="Arial" w:cs="Arial" w:eastAsia="Arial" w:hAnsi="Arial"/>
          <w:sz w:val="14"/>
          <w:szCs w:val="14"/>
          <w:color w:val="auto"/>
        </w:rPr>
      </w:pPr>
    </w:p>
    <w:p>
      <w:pPr>
        <w:ind w:right="140" w:firstLine="8"/>
        <w:spacing w:after="0" w:line="217" w:lineRule="auto"/>
        <w:tabs>
          <w:tab w:leader="none" w:pos="191"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consolidated liabilities as of December 31, 2012 and September 30, 2012, include $32.3 million and $32.7 million of long-term debt for which the creditors of the Crediamigo securitization trust do not have recourse to EZCORP, Inc.</w:t>
      </w:r>
    </w:p>
    <w:p>
      <w:pPr>
        <w:spacing w:after="0"/>
        <w:rPr>
          <w:rFonts w:ascii="Arial" w:cs="Arial" w:eastAsia="Arial" w:hAnsi="Arial"/>
          <w:sz w:val="14"/>
          <w:szCs w:val="14"/>
          <w:color w:val="auto"/>
        </w:rPr>
      </w:pPr>
      <w:r>
        <w:rPr>
          <w:rFonts w:ascii="Arial" w:cs="Arial" w:eastAsia="Arial" w:hAnsi="Arial"/>
          <w:sz w:val="13"/>
          <w:szCs w:val="13"/>
          <w:i w:val="1"/>
          <w:iCs w:val="1"/>
          <w:color w:val="auto"/>
        </w:rPr>
        <w:t>See accompanying notes to interim condensed consolidated financial statements.</w:t>
      </w:r>
    </w:p>
    <w:p>
      <w:pPr>
        <w:sectPr>
          <w:pgSz w:w="11900" w:h="16838" w:orient="portrait"/>
          <w:cols w:equalWidth="0" w:num="1">
            <w:col w:w="11420"/>
          </w:cols>
          <w:pgMar w:left="240" w:top="121" w:right="239" w:bottom="0" w:gutter="0" w:footer="0" w:header="0"/>
        </w:sect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21" w:right="239" w:bottom="0" w:gutter="0" w:footer="0" w:header="0"/>
          <w:type w:val="continuous"/>
        </w:sectPr>
      </w:pPr>
    </w:p>
    <w:bookmarkStart w:id="3" w:name="page4"/>
    <w:bookmarkEnd w:id="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EZCORP,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OPERATIONS</w:t>
      </w:r>
    </w:p>
    <w:tbl>
      <w:tblPr>
        <w:tblLayout w:type="fixed"/>
        <w:tblInd w:w="0" w:type="dxa"/>
        <w:tblCellMar>
          <w:top w:w="0" w:type="dxa"/>
          <w:left w:w="0" w:type="dxa"/>
          <w:bottom w:w="0" w:type="dxa"/>
          <w:right w:w="0" w:type="dxa"/>
        </w:tblCellMar>
      </w:tblPr>
      <w:tr>
        <w:trPr>
          <w:trHeight w:val="154"/>
        </w:trPr>
        <w:tc>
          <w:tcPr>
            <w:tcW w:w="8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60" w:type="dxa"/>
            <w:vAlign w:val="bottom"/>
            <w:gridSpan w:val="3"/>
          </w:tcPr>
          <w:p>
            <w:pPr>
              <w:jc w:val="center"/>
              <w:ind w:right="188"/>
              <w:spacing w:after="0" w:line="154" w:lineRule="exact"/>
              <w:rPr>
                <w:sz w:val="20"/>
                <w:szCs w:val="20"/>
                <w:color w:val="auto"/>
              </w:rPr>
            </w:pPr>
            <w:r>
              <w:rPr>
                <w:rFonts w:ascii="Arial" w:cs="Arial" w:eastAsia="Arial" w:hAnsi="Arial"/>
                <w:sz w:val="14"/>
                <w:szCs w:val="14"/>
                <w:b w:val="1"/>
                <w:bCs w:val="1"/>
                <w:color w:val="auto"/>
                <w:w w:val="95"/>
              </w:rPr>
              <w:t>Three Months Ended</w:t>
            </w: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824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center"/>
              <w:ind w:right="188"/>
              <w:spacing w:after="0"/>
              <w:rPr>
                <w:sz w:val="20"/>
                <w:szCs w:val="20"/>
                <w:color w:val="auto"/>
              </w:rPr>
            </w:pPr>
            <w:r>
              <w:rPr>
                <w:rFonts w:ascii="Arial" w:cs="Arial" w:eastAsia="Arial" w:hAnsi="Arial"/>
                <w:sz w:val="14"/>
                <w:szCs w:val="14"/>
                <w:b w:val="1"/>
                <w:bCs w:val="1"/>
                <w:color w:val="auto"/>
                <w:w w:val="92"/>
              </w:rPr>
              <w:t>December 31,</w:t>
            </w: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24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2011</w:t>
            </w:r>
          </w:p>
        </w:tc>
        <w:tc>
          <w:tcPr>
            <w:tcW w:w="6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240" w:type="dxa"/>
            <w:vAlign w:val="bottom"/>
          </w:tcPr>
          <w:p>
            <w:pPr>
              <w:spacing w:after="0"/>
              <w:rPr>
                <w:sz w:val="17"/>
                <w:szCs w:val="17"/>
                <w:color w:val="auto"/>
              </w:rPr>
            </w:pPr>
          </w:p>
        </w:tc>
        <w:tc>
          <w:tcPr>
            <w:tcW w:w="3180" w:type="dxa"/>
            <w:vAlign w:val="bottom"/>
            <w:gridSpan w:val="5"/>
          </w:tcPr>
          <w:p>
            <w:pPr>
              <w:jc w:val="center"/>
              <w:spacing w:after="0"/>
              <w:rPr>
                <w:sz w:val="20"/>
                <w:szCs w:val="20"/>
                <w:color w:val="auto"/>
              </w:rPr>
            </w:pPr>
            <w:r>
              <w:rPr>
                <w:rFonts w:ascii="Arial" w:cs="Arial" w:eastAsia="Arial" w:hAnsi="Arial"/>
                <w:sz w:val="14"/>
                <w:szCs w:val="14"/>
                <w:i w:val="1"/>
                <w:iCs w:val="1"/>
                <w:color w:val="auto"/>
                <w:w w:val="91"/>
              </w:rPr>
              <w:t>(in thousands, except per share amounts)</w:t>
            </w:r>
          </w:p>
        </w:tc>
        <w:tc>
          <w:tcPr>
            <w:tcW w:w="0" w:type="dxa"/>
            <w:vAlign w:val="bottom"/>
          </w:tcPr>
          <w:p>
            <w:pPr>
              <w:spacing w:after="0"/>
              <w:rPr>
                <w:sz w:val="1"/>
                <w:szCs w:val="1"/>
                <w:color w:val="auto"/>
              </w:rPr>
            </w:pPr>
          </w:p>
        </w:tc>
      </w:tr>
      <w:tr>
        <w:trPr>
          <w:trHeight w:val="276"/>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w:t>
            </w:r>
          </w:p>
        </w:tc>
        <w:tc>
          <w:tcPr>
            <w:tcW w:w="9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240" w:type="dxa"/>
            <w:vAlign w:val="bottom"/>
          </w:tcPr>
          <w:p>
            <w:pPr>
              <w:ind w:left="380"/>
              <w:spacing w:after="0"/>
              <w:rPr>
                <w:sz w:val="20"/>
                <w:szCs w:val="20"/>
                <w:color w:val="auto"/>
              </w:rPr>
            </w:pPr>
            <w:r>
              <w:rPr>
                <w:rFonts w:ascii="Arial" w:cs="Arial" w:eastAsia="Arial" w:hAnsi="Arial"/>
                <w:sz w:val="14"/>
                <w:szCs w:val="14"/>
                <w:color w:val="auto"/>
              </w:rPr>
              <w:t>Merchandise sales</w:t>
            </w:r>
          </w:p>
        </w:tc>
        <w:tc>
          <w:tcPr>
            <w:tcW w:w="90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95,582</w:t>
            </w:r>
          </w:p>
        </w:tc>
        <w:tc>
          <w:tcPr>
            <w:tcW w:w="100" w:type="dxa"/>
            <w:vAlign w:val="bottom"/>
          </w:tcPr>
          <w:p>
            <w:pPr>
              <w:spacing w:after="0"/>
              <w:rPr>
                <w:sz w:val="22"/>
                <w:szCs w:val="22"/>
                <w:color w:val="auto"/>
              </w:rPr>
            </w:pPr>
          </w:p>
        </w:tc>
        <w:tc>
          <w:tcPr>
            <w:tcW w:w="960" w:type="dxa"/>
            <w:vAlign w:val="bottom"/>
          </w:tcPr>
          <w:p>
            <w:pPr>
              <w:jc w:val="right"/>
              <w:ind w:right="78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86,894</w:t>
            </w:r>
          </w:p>
        </w:tc>
        <w:tc>
          <w:tcPr>
            <w:tcW w:w="0" w:type="dxa"/>
            <w:vAlign w:val="bottom"/>
          </w:tcPr>
          <w:p>
            <w:pPr>
              <w:spacing w:after="0"/>
              <w:rPr>
                <w:sz w:val="1"/>
                <w:szCs w:val="1"/>
                <w:color w:val="auto"/>
              </w:rPr>
            </w:pPr>
          </w:p>
        </w:tc>
      </w:tr>
      <w:tr>
        <w:trPr>
          <w:trHeight w:val="276"/>
        </w:trPr>
        <w:tc>
          <w:tcPr>
            <w:tcW w:w="82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Jewelry scrapping sales</w:t>
            </w:r>
          </w:p>
        </w:tc>
        <w:tc>
          <w:tcPr>
            <w:tcW w:w="9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45,925</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56,403</w:t>
            </w:r>
          </w:p>
        </w:tc>
        <w:tc>
          <w:tcPr>
            <w:tcW w:w="0" w:type="dxa"/>
            <w:vAlign w:val="bottom"/>
          </w:tcPr>
          <w:p>
            <w:pPr>
              <w:spacing w:after="0"/>
              <w:rPr>
                <w:sz w:val="1"/>
                <w:szCs w:val="1"/>
                <w:color w:val="auto"/>
              </w:rPr>
            </w:pPr>
          </w:p>
        </w:tc>
      </w:tr>
      <w:tr>
        <w:trPr>
          <w:trHeight w:val="264"/>
        </w:trPr>
        <w:tc>
          <w:tcPr>
            <w:tcW w:w="8240" w:type="dxa"/>
            <w:vAlign w:val="bottom"/>
          </w:tcPr>
          <w:p>
            <w:pPr>
              <w:ind w:left="380"/>
              <w:spacing w:after="0"/>
              <w:rPr>
                <w:sz w:val="20"/>
                <w:szCs w:val="20"/>
                <w:color w:val="auto"/>
              </w:rPr>
            </w:pPr>
            <w:r>
              <w:rPr>
                <w:rFonts w:ascii="Arial" w:cs="Arial" w:eastAsia="Arial" w:hAnsi="Arial"/>
                <w:sz w:val="14"/>
                <w:szCs w:val="14"/>
                <w:color w:val="auto"/>
              </w:rPr>
              <w:t>Pawn service charges</w:t>
            </w:r>
          </w:p>
        </w:tc>
        <w:tc>
          <w:tcPr>
            <w:tcW w:w="9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66,024</w:t>
            </w: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59,792</w:t>
            </w:r>
          </w:p>
        </w:tc>
        <w:tc>
          <w:tcPr>
            <w:tcW w:w="0" w:type="dxa"/>
            <w:vAlign w:val="bottom"/>
          </w:tcPr>
          <w:p>
            <w:pPr>
              <w:spacing w:after="0"/>
              <w:rPr>
                <w:sz w:val="1"/>
                <w:szCs w:val="1"/>
                <w:color w:val="auto"/>
              </w:rPr>
            </w:pPr>
          </w:p>
        </w:tc>
      </w:tr>
      <w:tr>
        <w:trPr>
          <w:trHeight w:val="276"/>
        </w:trPr>
        <w:tc>
          <w:tcPr>
            <w:tcW w:w="82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Consumer loan fees</w:t>
            </w:r>
          </w:p>
        </w:tc>
        <w:tc>
          <w:tcPr>
            <w:tcW w:w="9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64,765</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45,088</w:t>
            </w:r>
          </w:p>
        </w:tc>
        <w:tc>
          <w:tcPr>
            <w:tcW w:w="0" w:type="dxa"/>
            <w:vAlign w:val="bottom"/>
          </w:tcPr>
          <w:p>
            <w:pPr>
              <w:spacing w:after="0"/>
              <w:rPr>
                <w:sz w:val="1"/>
                <w:szCs w:val="1"/>
                <w:color w:val="auto"/>
              </w:rPr>
            </w:pPr>
          </w:p>
        </w:tc>
      </w:tr>
      <w:tr>
        <w:trPr>
          <w:trHeight w:val="264"/>
        </w:trPr>
        <w:tc>
          <w:tcPr>
            <w:tcW w:w="824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Other revenues</w:t>
            </w:r>
          </w:p>
        </w:tc>
        <w:tc>
          <w:tcPr>
            <w:tcW w:w="9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4,830</w:t>
            </w:r>
          </w:p>
        </w:tc>
        <w:tc>
          <w:tcPr>
            <w:tcW w:w="10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696</w:t>
            </w:r>
          </w:p>
        </w:tc>
        <w:tc>
          <w:tcPr>
            <w:tcW w:w="0" w:type="dxa"/>
            <w:vAlign w:val="bottom"/>
          </w:tcPr>
          <w:p>
            <w:pPr>
              <w:spacing w:after="0"/>
              <w:rPr>
                <w:sz w:val="1"/>
                <w:szCs w:val="1"/>
                <w:color w:val="auto"/>
              </w:rPr>
            </w:pPr>
          </w:p>
        </w:tc>
      </w:tr>
      <w:tr>
        <w:trPr>
          <w:trHeight w:val="256"/>
        </w:trPr>
        <w:tc>
          <w:tcPr>
            <w:tcW w:w="8240" w:type="dxa"/>
            <w:vAlign w:val="bottom"/>
            <w:shd w:val="clear" w:color="auto" w:fill="CCEEFF"/>
          </w:tcPr>
          <w:p>
            <w:pPr>
              <w:ind w:left="720"/>
              <w:spacing w:after="0"/>
              <w:rPr>
                <w:sz w:val="20"/>
                <w:szCs w:val="20"/>
                <w:color w:val="auto"/>
              </w:rPr>
            </w:pPr>
            <w:r>
              <w:rPr>
                <w:rFonts w:ascii="Arial" w:cs="Arial" w:eastAsia="Arial" w:hAnsi="Arial"/>
                <w:sz w:val="14"/>
                <w:szCs w:val="14"/>
                <w:color w:val="auto"/>
              </w:rPr>
              <w:t>Total revenues</w:t>
            </w:r>
          </w:p>
        </w:tc>
        <w:tc>
          <w:tcPr>
            <w:tcW w:w="90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90"/>
              </w:rPr>
              <w:t>277,126</w:t>
            </w: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98"/>
              </w:rPr>
              <w:t>248,873</w:t>
            </w:r>
          </w:p>
        </w:tc>
        <w:tc>
          <w:tcPr>
            <w:tcW w:w="0" w:type="dxa"/>
            <w:vAlign w:val="bottom"/>
          </w:tcPr>
          <w:p>
            <w:pPr>
              <w:spacing w:after="0"/>
              <w:rPr>
                <w:sz w:val="1"/>
                <w:szCs w:val="1"/>
                <w:color w:val="auto"/>
              </w:rPr>
            </w:pPr>
          </w:p>
        </w:tc>
      </w:tr>
      <w:tr>
        <w:trPr>
          <w:trHeight w:val="264"/>
        </w:trPr>
        <w:tc>
          <w:tcPr>
            <w:tcW w:w="8240" w:type="dxa"/>
            <w:vAlign w:val="bottom"/>
          </w:tcPr>
          <w:p>
            <w:pPr>
              <w:ind w:left="40"/>
              <w:spacing w:after="0"/>
              <w:rPr>
                <w:sz w:val="20"/>
                <w:szCs w:val="20"/>
                <w:color w:val="auto"/>
              </w:rPr>
            </w:pPr>
            <w:r>
              <w:rPr>
                <w:rFonts w:ascii="Arial" w:cs="Arial" w:eastAsia="Arial" w:hAnsi="Arial"/>
                <w:sz w:val="14"/>
                <w:szCs w:val="14"/>
                <w:color w:val="auto"/>
              </w:rPr>
              <w:t>Merchandise cost of goods sold</w:t>
            </w:r>
          </w:p>
        </w:tc>
        <w:tc>
          <w:tcPr>
            <w:tcW w:w="9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55,501</w:t>
            </w: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48,396</w:t>
            </w:r>
          </w:p>
        </w:tc>
        <w:tc>
          <w:tcPr>
            <w:tcW w:w="0" w:type="dxa"/>
            <w:vAlign w:val="bottom"/>
          </w:tcPr>
          <w:p>
            <w:pPr>
              <w:spacing w:after="0"/>
              <w:rPr>
                <w:sz w:val="1"/>
                <w:szCs w:val="1"/>
                <w:color w:val="auto"/>
              </w:rPr>
            </w:pPr>
          </w:p>
        </w:tc>
      </w:tr>
      <w:tr>
        <w:trPr>
          <w:trHeight w:val="276"/>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Jewelry scrapping cost of goods sold</w:t>
            </w:r>
          </w:p>
        </w:tc>
        <w:tc>
          <w:tcPr>
            <w:tcW w:w="9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32,199</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35,424</w:t>
            </w:r>
          </w:p>
        </w:tc>
        <w:tc>
          <w:tcPr>
            <w:tcW w:w="0" w:type="dxa"/>
            <w:vAlign w:val="bottom"/>
          </w:tcPr>
          <w:p>
            <w:pPr>
              <w:spacing w:after="0"/>
              <w:rPr>
                <w:sz w:val="1"/>
                <w:szCs w:val="1"/>
                <w:color w:val="auto"/>
              </w:rPr>
            </w:pPr>
          </w:p>
        </w:tc>
      </w:tr>
      <w:tr>
        <w:trPr>
          <w:trHeight w:val="264"/>
        </w:trPr>
        <w:tc>
          <w:tcPr>
            <w:tcW w:w="82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Consumer loan bad debt</w:t>
            </w:r>
          </w:p>
        </w:tc>
        <w:tc>
          <w:tcPr>
            <w:tcW w:w="9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14,074</w:t>
            </w:r>
          </w:p>
        </w:tc>
        <w:tc>
          <w:tcPr>
            <w:tcW w:w="10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11,025</w:t>
            </w:r>
          </w:p>
        </w:tc>
        <w:tc>
          <w:tcPr>
            <w:tcW w:w="0" w:type="dxa"/>
            <w:vAlign w:val="bottom"/>
          </w:tcPr>
          <w:p>
            <w:pPr>
              <w:spacing w:after="0"/>
              <w:rPr>
                <w:sz w:val="1"/>
                <w:szCs w:val="1"/>
                <w:color w:val="auto"/>
              </w:rPr>
            </w:pPr>
          </w:p>
        </w:tc>
      </w:tr>
      <w:tr>
        <w:trPr>
          <w:trHeight w:val="256"/>
        </w:trPr>
        <w:tc>
          <w:tcPr>
            <w:tcW w:w="8240" w:type="dxa"/>
            <w:vAlign w:val="bottom"/>
            <w:shd w:val="clear" w:color="auto" w:fill="CCEEFF"/>
          </w:tcPr>
          <w:p>
            <w:pPr>
              <w:ind w:left="720"/>
              <w:spacing w:after="0"/>
              <w:rPr>
                <w:sz w:val="20"/>
                <w:szCs w:val="20"/>
                <w:color w:val="auto"/>
              </w:rPr>
            </w:pPr>
            <w:r>
              <w:rPr>
                <w:rFonts w:ascii="Arial" w:cs="Arial" w:eastAsia="Arial" w:hAnsi="Arial"/>
                <w:sz w:val="14"/>
                <w:szCs w:val="14"/>
                <w:color w:val="auto"/>
              </w:rPr>
              <w:t>Net revenues</w:t>
            </w:r>
          </w:p>
        </w:tc>
        <w:tc>
          <w:tcPr>
            <w:tcW w:w="90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90"/>
              </w:rPr>
              <w:t>175,352</w:t>
            </w: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98"/>
              </w:rPr>
              <w:t>154,028</w:t>
            </w:r>
          </w:p>
        </w:tc>
        <w:tc>
          <w:tcPr>
            <w:tcW w:w="0" w:type="dxa"/>
            <w:vAlign w:val="bottom"/>
          </w:tcPr>
          <w:p>
            <w:pPr>
              <w:spacing w:after="0"/>
              <w:rPr>
                <w:sz w:val="1"/>
                <w:szCs w:val="1"/>
                <w:color w:val="auto"/>
              </w:rPr>
            </w:pPr>
          </w:p>
        </w:tc>
      </w:tr>
      <w:tr>
        <w:trPr>
          <w:trHeight w:val="264"/>
        </w:trPr>
        <w:tc>
          <w:tcPr>
            <w:tcW w:w="8240" w:type="dxa"/>
            <w:vAlign w:val="bottom"/>
          </w:tcPr>
          <w:p>
            <w:pPr>
              <w:ind w:left="40"/>
              <w:spacing w:after="0"/>
              <w:rPr>
                <w:sz w:val="20"/>
                <w:szCs w:val="20"/>
                <w:color w:val="auto"/>
              </w:rPr>
            </w:pPr>
            <w:r>
              <w:rPr>
                <w:rFonts w:ascii="Arial" w:cs="Arial" w:eastAsia="Arial" w:hAnsi="Arial"/>
                <w:sz w:val="14"/>
                <w:szCs w:val="14"/>
                <w:color w:val="auto"/>
              </w:rPr>
              <w:t>Operating expenses:</w:t>
            </w:r>
          </w:p>
        </w:tc>
        <w:tc>
          <w:tcPr>
            <w:tcW w:w="9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Operations</w:t>
            </w:r>
          </w:p>
        </w:tc>
        <w:tc>
          <w:tcPr>
            <w:tcW w:w="9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90"/>
              </w:rPr>
              <w:t>107,262</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82,558</w:t>
            </w:r>
          </w:p>
        </w:tc>
        <w:tc>
          <w:tcPr>
            <w:tcW w:w="0" w:type="dxa"/>
            <w:vAlign w:val="bottom"/>
          </w:tcPr>
          <w:p>
            <w:pPr>
              <w:spacing w:after="0"/>
              <w:rPr>
                <w:sz w:val="1"/>
                <w:szCs w:val="1"/>
                <w:color w:val="auto"/>
              </w:rPr>
            </w:pPr>
          </w:p>
        </w:tc>
      </w:tr>
      <w:tr>
        <w:trPr>
          <w:trHeight w:val="264"/>
        </w:trPr>
        <w:tc>
          <w:tcPr>
            <w:tcW w:w="8240" w:type="dxa"/>
            <w:vAlign w:val="bottom"/>
          </w:tcPr>
          <w:p>
            <w:pPr>
              <w:ind w:left="40"/>
              <w:spacing w:after="0"/>
              <w:rPr>
                <w:sz w:val="20"/>
                <w:szCs w:val="20"/>
                <w:color w:val="auto"/>
              </w:rPr>
            </w:pPr>
            <w:r>
              <w:rPr>
                <w:rFonts w:ascii="Arial" w:cs="Arial" w:eastAsia="Arial" w:hAnsi="Arial"/>
                <w:sz w:val="14"/>
                <w:szCs w:val="14"/>
                <w:color w:val="auto"/>
              </w:rPr>
              <w:t>Administrative</w:t>
            </w:r>
          </w:p>
        </w:tc>
        <w:tc>
          <w:tcPr>
            <w:tcW w:w="9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13,671</w:t>
            </w: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11,654</w:t>
            </w:r>
          </w:p>
        </w:tc>
        <w:tc>
          <w:tcPr>
            <w:tcW w:w="0" w:type="dxa"/>
            <w:vAlign w:val="bottom"/>
          </w:tcPr>
          <w:p>
            <w:pPr>
              <w:spacing w:after="0"/>
              <w:rPr>
                <w:sz w:val="1"/>
                <w:szCs w:val="1"/>
                <w:color w:val="auto"/>
              </w:rPr>
            </w:pPr>
          </w:p>
        </w:tc>
      </w:tr>
      <w:tr>
        <w:trPr>
          <w:trHeight w:val="276"/>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Depreciation and amortization</w:t>
            </w:r>
          </w:p>
        </w:tc>
        <w:tc>
          <w:tcPr>
            <w:tcW w:w="9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7,652</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5,255</w:t>
            </w:r>
          </w:p>
        </w:tc>
        <w:tc>
          <w:tcPr>
            <w:tcW w:w="0" w:type="dxa"/>
            <w:vAlign w:val="bottom"/>
          </w:tcPr>
          <w:p>
            <w:pPr>
              <w:spacing w:after="0"/>
              <w:rPr>
                <w:sz w:val="1"/>
                <w:szCs w:val="1"/>
                <w:color w:val="auto"/>
              </w:rPr>
            </w:pPr>
          </w:p>
        </w:tc>
      </w:tr>
      <w:tr>
        <w:trPr>
          <w:trHeight w:val="264"/>
        </w:trPr>
        <w:tc>
          <w:tcPr>
            <w:tcW w:w="82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(Gain) loss on sale or disposal of assets</w:t>
            </w:r>
          </w:p>
        </w:tc>
        <w:tc>
          <w:tcPr>
            <w:tcW w:w="9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29</w:t>
            </w:r>
          </w:p>
        </w:tc>
        <w:tc>
          <w:tcPr>
            <w:tcW w:w="10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w:t>
            </w:r>
          </w:p>
        </w:tc>
        <w:tc>
          <w:tcPr>
            <w:tcW w:w="0" w:type="dxa"/>
            <w:vAlign w:val="bottom"/>
          </w:tcPr>
          <w:p>
            <w:pPr>
              <w:spacing w:after="0"/>
              <w:rPr>
                <w:sz w:val="1"/>
                <w:szCs w:val="1"/>
                <w:color w:val="auto"/>
              </w:rPr>
            </w:pPr>
          </w:p>
        </w:tc>
      </w:tr>
      <w:tr>
        <w:trPr>
          <w:trHeight w:val="250"/>
        </w:trPr>
        <w:tc>
          <w:tcPr>
            <w:tcW w:w="8240" w:type="dxa"/>
            <w:vAlign w:val="bottom"/>
            <w:shd w:val="clear" w:color="auto" w:fill="CCEEFF"/>
          </w:tcPr>
          <w:p>
            <w:pPr>
              <w:ind w:left="720"/>
              <w:spacing w:after="0"/>
              <w:rPr>
                <w:sz w:val="20"/>
                <w:szCs w:val="20"/>
                <w:color w:val="auto"/>
              </w:rPr>
            </w:pPr>
            <w:r>
              <w:rPr>
                <w:rFonts w:ascii="Arial" w:cs="Arial" w:eastAsia="Arial" w:hAnsi="Arial"/>
                <w:sz w:val="14"/>
                <w:szCs w:val="14"/>
                <w:color w:val="auto"/>
              </w:rPr>
              <w:t>Total operating expenses</w:t>
            </w:r>
          </w:p>
        </w:tc>
        <w:tc>
          <w:tcPr>
            <w:tcW w:w="90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90"/>
              </w:rPr>
              <w:t>128,614</w:t>
            </w:r>
          </w:p>
        </w:tc>
        <w:tc>
          <w:tcPr>
            <w:tcW w:w="100" w:type="dxa"/>
            <w:vAlign w:val="bottom"/>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99,266</w:t>
            </w:r>
          </w:p>
        </w:tc>
        <w:tc>
          <w:tcPr>
            <w:tcW w:w="0" w:type="dxa"/>
            <w:vAlign w:val="bottom"/>
          </w:tcPr>
          <w:p>
            <w:pPr>
              <w:spacing w:after="0"/>
              <w:rPr>
                <w:sz w:val="1"/>
                <w:szCs w:val="1"/>
                <w:color w:val="auto"/>
              </w:rPr>
            </w:pPr>
          </w:p>
        </w:tc>
      </w:tr>
      <w:tr>
        <w:trPr>
          <w:trHeight w:val="250"/>
        </w:trPr>
        <w:tc>
          <w:tcPr>
            <w:tcW w:w="8240" w:type="dxa"/>
            <w:vAlign w:val="bottom"/>
          </w:tcPr>
          <w:p>
            <w:pPr>
              <w:ind w:left="40"/>
              <w:spacing w:after="0"/>
              <w:rPr>
                <w:sz w:val="20"/>
                <w:szCs w:val="20"/>
                <w:color w:val="auto"/>
              </w:rPr>
            </w:pPr>
            <w:r>
              <w:rPr>
                <w:rFonts w:ascii="Arial" w:cs="Arial" w:eastAsia="Arial" w:hAnsi="Arial"/>
                <w:sz w:val="14"/>
                <w:szCs w:val="14"/>
                <w:color w:val="auto"/>
              </w:rPr>
              <w:t>Operating income</w:t>
            </w:r>
          </w:p>
        </w:tc>
        <w:tc>
          <w:tcPr>
            <w:tcW w:w="900" w:type="dxa"/>
            <w:vAlign w:val="bottom"/>
          </w:tcPr>
          <w:p>
            <w:pPr>
              <w:spacing w:after="0"/>
              <w:rPr>
                <w:sz w:val="21"/>
                <w:szCs w:val="21"/>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46,738</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54,762</w:t>
            </w:r>
          </w:p>
        </w:tc>
        <w:tc>
          <w:tcPr>
            <w:tcW w:w="0" w:type="dxa"/>
            <w:vAlign w:val="bottom"/>
          </w:tcPr>
          <w:p>
            <w:pPr>
              <w:spacing w:after="0"/>
              <w:rPr>
                <w:sz w:val="1"/>
                <w:szCs w:val="1"/>
                <w:color w:val="auto"/>
              </w:rPr>
            </w:pPr>
          </w:p>
        </w:tc>
      </w:tr>
      <w:tr>
        <w:trPr>
          <w:trHeight w:val="276"/>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income</w:t>
            </w:r>
          </w:p>
        </w:tc>
        <w:tc>
          <w:tcPr>
            <w:tcW w:w="9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(178)</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264"/>
        </w:trPr>
        <w:tc>
          <w:tcPr>
            <w:tcW w:w="8240" w:type="dxa"/>
            <w:vAlign w:val="bottom"/>
          </w:tcPr>
          <w:p>
            <w:pPr>
              <w:ind w:left="40"/>
              <w:spacing w:after="0"/>
              <w:rPr>
                <w:sz w:val="20"/>
                <w:szCs w:val="20"/>
                <w:color w:val="auto"/>
              </w:rPr>
            </w:pPr>
            <w:r>
              <w:rPr>
                <w:rFonts w:ascii="Arial" w:cs="Arial" w:eastAsia="Arial" w:hAnsi="Arial"/>
                <w:sz w:val="14"/>
                <w:szCs w:val="14"/>
                <w:color w:val="auto"/>
              </w:rPr>
              <w:t>Interest expense</w:t>
            </w:r>
          </w:p>
        </w:tc>
        <w:tc>
          <w:tcPr>
            <w:tcW w:w="9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3,815</w:t>
            </w: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590</w:t>
            </w:r>
          </w:p>
        </w:tc>
        <w:tc>
          <w:tcPr>
            <w:tcW w:w="0" w:type="dxa"/>
            <w:vAlign w:val="bottom"/>
          </w:tcPr>
          <w:p>
            <w:pPr>
              <w:spacing w:after="0"/>
              <w:rPr>
                <w:sz w:val="1"/>
                <w:szCs w:val="1"/>
                <w:color w:val="auto"/>
              </w:rPr>
            </w:pPr>
          </w:p>
        </w:tc>
      </w:tr>
      <w:tr>
        <w:trPr>
          <w:trHeight w:val="276"/>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 in net income of unconsolidated affiliates</w:t>
            </w:r>
          </w:p>
        </w:tc>
        <w:tc>
          <w:tcPr>
            <w:tcW w:w="9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(5,038)</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(4,161)</w:t>
            </w:r>
          </w:p>
        </w:tc>
        <w:tc>
          <w:tcPr>
            <w:tcW w:w="0" w:type="dxa"/>
            <w:vAlign w:val="bottom"/>
          </w:tcPr>
          <w:p>
            <w:pPr>
              <w:spacing w:after="0"/>
              <w:rPr>
                <w:sz w:val="1"/>
                <w:szCs w:val="1"/>
                <w:color w:val="auto"/>
              </w:rPr>
            </w:pPr>
          </w:p>
        </w:tc>
      </w:tr>
      <w:tr>
        <w:trPr>
          <w:trHeight w:val="264"/>
        </w:trPr>
        <w:tc>
          <w:tcPr>
            <w:tcW w:w="82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income</w:t>
            </w:r>
          </w:p>
        </w:tc>
        <w:tc>
          <w:tcPr>
            <w:tcW w:w="9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(501)</w:t>
            </w:r>
          </w:p>
        </w:tc>
        <w:tc>
          <w:tcPr>
            <w:tcW w:w="10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(1,119)</w:t>
            </w:r>
          </w:p>
        </w:tc>
        <w:tc>
          <w:tcPr>
            <w:tcW w:w="0" w:type="dxa"/>
            <w:vAlign w:val="bottom"/>
          </w:tcPr>
          <w:p>
            <w:pPr>
              <w:spacing w:after="0"/>
              <w:rPr>
                <w:sz w:val="1"/>
                <w:szCs w:val="1"/>
                <w:color w:val="auto"/>
              </w:rPr>
            </w:pPr>
          </w:p>
        </w:tc>
      </w:tr>
      <w:tr>
        <w:trPr>
          <w:trHeight w:val="256"/>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before income taxes</w:t>
            </w:r>
          </w:p>
        </w:tc>
        <w:tc>
          <w:tcPr>
            <w:tcW w:w="90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48,640</w:t>
            </w: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59,491</w:t>
            </w:r>
          </w:p>
        </w:tc>
        <w:tc>
          <w:tcPr>
            <w:tcW w:w="0" w:type="dxa"/>
            <w:vAlign w:val="bottom"/>
          </w:tcPr>
          <w:p>
            <w:pPr>
              <w:spacing w:after="0"/>
              <w:rPr>
                <w:sz w:val="1"/>
                <w:szCs w:val="1"/>
                <w:color w:val="auto"/>
              </w:rPr>
            </w:pPr>
          </w:p>
        </w:tc>
      </w:tr>
      <w:tr>
        <w:trPr>
          <w:trHeight w:val="264"/>
        </w:trPr>
        <w:tc>
          <w:tcPr>
            <w:tcW w:w="82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Income tax expense</w:t>
            </w:r>
          </w:p>
        </w:tc>
        <w:tc>
          <w:tcPr>
            <w:tcW w:w="9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16,485</w:t>
            </w:r>
          </w:p>
        </w:tc>
        <w:tc>
          <w:tcPr>
            <w:tcW w:w="10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20,139</w:t>
            </w:r>
          </w:p>
        </w:tc>
        <w:tc>
          <w:tcPr>
            <w:tcW w:w="0" w:type="dxa"/>
            <w:vAlign w:val="bottom"/>
          </w:tcPr>
          <w:p>
            <w:pPr>
              <w:spacing w:after="0"/>
              <w:rPr>
                <w:sz w:val="1"/>
                <w:szCs w:val="1"/>
                <w:color w:val="auto"/>
              </w:rPr>
            </w:pPr>
          </w:p>
        </w:tc>
      </w:tr>
      <w:tr>
        <w:trPr>
          <w:trHeight w:val="256"/>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90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32,155</w:t>
            </w: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39,352</w:t>
            </w:r>
          </w:p>
        </w:tc>
        <w:tc>
          <w:tcPr>
            <w:tcW w:w="0" w:type="dxa"/>
            <w:vAlign w:val="bottom"/>
          </w:tcPr>
          <w:p>
            <w:pPr>
              <w:spacing w:after="0"/>
              <w:rPr>
                <w:sz w:val="1"/>
                <w:szCs w:val="1"/>
                <w:color w:val="auto"/>
              </w:rPr>
            </w:pPr>
          </w:p>
        </w:tc>
      </w:tr>
      <w:tr>
        <w:trPr>
          <w:trHeight w:val="264"/>
        </w:trPr>
        <w:tc>
          <w:tcPr>
            <w:tcW w:w="82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income attributable to redeemable noncontrolling interest</w:t>
            </w:r>
          </w:p>
        </w:tc>
        <w:tc>
          <w:tcPr>
            <w:tcW w:w="9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1,438</w:t>
            </w:r>
          </w:p>
        </w:tc>
        <w:tc>
          <w:tcPr>
            <w:tcW w:w="10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income attributable to EZCORP, Inc.</w:t>
            </w:r>
          </w:p>
        </w:tc>
        <w:tc>
          <w:tcPr>
            <w:tcW w:w="900" w:type="dxa"/>
            <w:vAlign w:val="bottom"/>
            <w:tcBorders>
              <w:bottom w:val="single" w:sz="8" w:color="auto"/>
            </w:tcBorders>
            <w:shd w:val="clear" w:color="auto" w:fill="CCEEFF"/>
          </w:tcPr>
          <w:p>
            <w:pPr>
              <w:jc w:val="right"/>
              <w:ind w:right="72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30,717</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8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39,352</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per common share:</w:t>
            </w:r>
          </w:p>
        </w:tc>
        <w:tc>
          <w:tcPr>
            <w:tcW w:w="9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824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Basic</w:t>
            </w:r>
          </w:p>
        </w:tc>
        <w:tc>
          <w:tcPr>
            <w:tcW w:w="90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0.59</w:t>
            </w:r>
          </w:p>
        </w:tc>
        <w:tc>
          <w:tcPr>
            <w:tcW w:w="100" w:type="dxa"/>
            <w:vAlign w:val="bottom"/>
            <w:tcBorders>
              <w:bottom w:val="single" w:sz="8" w:color="CCEEFF"/>
            </w:tcBorders>
          </w:tcPr>
          <w:p>
            <w:pPr>
              <w:spacing w:after="0"/>
              <w:rPr>
                <w:sz w:val="24"/>
                <w:szCs w:val="24"/>
                <w:color w:val="auto"/>
              </w:rPr>
            </w:pPr>
          </w:p>
        </w:tc>
        <w:tc>
          <w:tcPr>
            <w:tcW w:w="96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0.78</w:t>
            </w:r>
          </w:p>
        </w:tc>
        <w:tc>
          <w:tcPr>
            <w:tcW w:w="0" w:type="dxa"/>
            <w:vAlign w:val="bottom"/>
          </w:tcPr>
          <w:p>
            <w:pPr>
              <w:spacing w:after="0"/>
              <w:rPr>
                <w:sz w:val="1"/>
                <w:szCs w:val="1"/>
                <w:color w:val="auto"/>
              </w:rPr>
            </w:pPr>
          </w:p>
        </w:tc>
      </w:tr>
      <w:tr>
        <w:trPr>
          <w:trHeight w:val="210"/>
        </w:trPr>
        <w:tc>
          <w:tcPr>
            <w:tcW w:w="8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4"/>
                <w:szCs w:val="14"/>
                <w:color w:val="auto"/>
              </w:rPr>
              <w:t>Diluted</w:t>
            </w:r>
          </w:p>
        </w:tc>
        <w:tc>
          <w:tcPr>
            <w:tcW w:w="900" w:type="dxa"/>
            <w:vAlign w:val="bottom"/>
            <w:tcBorders>
              <w:bottom w:val="single" w:sz="8" w:color="auto"/>
            </w:tcBorders>
            <w:shd w:val="clear" w:color="auto" w:fill="CCEEFF"/>
          </w:tcPr>
          <w:p>
            <w:pPr>
              <w:jc w:val="right"/>
              <w:ind w:right="72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0.59</w:t>
            </w: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78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0.78</w:t>
            </w:r>
          </w:p>
        </w:tc>
        <w:tc>
          <w:tcPr>
            <w:tcW w:w="0" w:type="dxa"/>
            <w:vAlign w:val="bottom"/>
          </w:tcPr>
          <w:p>
            <w:pPr>
              <w:spacing w:after="0"/>
              <w:rPr>
                <w:sz w:val="1"/>
                <w:szCs w:val="1"/>
                <w:color w:val="auto"/>
              </w:rPr>
            </w:pPr>
          </w:p>
        </w:tc>
      </w:tr>
      <w:tr>
        <w:trPr>
          <w:trHeight w:val="20"/>
        </w:trPr>
        <w:tc>
          <w:tcPr>
            <w:tcW w:w="8240" w:type="dxa"/>
            <w:vAlign w:val="bottom"/>
            <w:vMerge w:val="restart"/>
          </w:tcPr>
          <w:p>
            <w:pPr>
              <w:ind w:left="40"/>
              <w:spacing w:after="0"/>
              <w:rPr>
                <w:sz w:val="20"/>
                <w:szCs w:val="20"/>
                <w:color w:val="auto"/>
              </w:rPr>
            </w:pPr>
            <w:r>
              <w:rPr>
                <w:rFonts w:ascii="Arial" w:cs="Arial" w:eastAsia="Arial" w:hAnsi="Arial"/>
                <w:sz w:val="14"/>
                <w:szCs w:val="14"/>
                <w:color w:val="auto"/>
              </w:rPr>
              <w:t>Weighted average shares outstanding:</w:t>
            </w: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8240" w:type="dxa"/>
            <w:vAlign w:val="bottom"/>
            <w:vMerge w:val="continue"/>
          </w:tcPr>
          <w:p>
            <w:pPr>
              <w:spacing w:after="0"/>
              <w:rPr>
                <w:sz w:val="21"/>
                <w:szCs w:val="21"/>
                <w:color w:val="auto"/>
              </w:rPr>
            </w:pPr>
          </w:p>
        </w:tc>
        <w:tc>
          <w:tcPr>
            <w:tcW w:w="9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82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Basic</w:t>
            </w:r>
          </w:p>
        </w:tc>
        <w:tc>
          <w:tcPr>
            <w:tcW w:w="9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52,049</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50,355</w:t>
            </w:r>
          </w:p>
        </w:tc>
        <w:tc>
          <w:tcPr>
            <w:tcW w:w="0" w:type="dxa"/>
            <w:vAlign w:val="bottom"/>
          </w:tcPr>
          <w:p>
            <w:pPr>
              <w:spacing w:after="0"/>
              <w:rPr>
                <w:sz w:val="1"/>
                <w:szCs w:val="1"/>
                <w:color w:val="auto"/>
              </w:rPr>
            </w:pPr>
          </w:p>
        </w:tc>
      </w:tr>
      <w:tr>
        <w:trPr>
          <w:trHeight w:val="258"/>
        </w:trPr>
        <w:tc>
          <w:tcPr>
            <w:tcW w:w="8240" w:type="dxa"/>
            <w:vAlign w:val="bottom"/>
          </w:tcPr>
          <w:p>
            <w:pPr>
              <w:ind w:left="380"/>
              <w:spacing w:after="0"/>
              <w:rPr>
                <w:sz w:val="20"/>
                <w:szCs w:val="20"/>
                <w:color w:val="auto"/>
              </w:rPr>
            </w:pPr>
            <w:r>
              <w:rPr>
                <w:rFonts w:ascii="Arial" w:cs="Arial" w:eastAsia="Arial" w:hAnsi="Arial"/>
                <w:sz w:val="14"/>
                <w:szCs w:val="14"/>
                <w:color w:val="auto"/>
              </w:rPr>
              <w:t>Diluted</w:t>
            </w:r>
          </w:p>
        </w:tc>
        <w:tc>
          <w:tcPr>
            <w:tcW w:w="9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52,112</w:t>
            </w: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50,693</w:t>
            </w:r>
          </w:p>
        </w:tc>
        <w:tc>
          <w:tcPr>
            <w:tcW w:w="0" w:type="dxa"/>
            <w:vAlign w:val="bottom"/>
          </w:tcPr>
          <w:p>
            <w:pPr>
              <w:spacing w:after="0"/>
              <w:rPr>
                <w:sz w:val="1"/>
                <w:szCs w:val="1"/>
                <w:color w:val="auto"/>
              </w:rPr>
            </w:pPr>
          </w:p>
        </w:tc>
      </w:tr>
    </w:tbl>
    <w:p>
      <w:pPr>
        <w:spacing w:after="0" w:line="16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interim condensed consolidated financial statements.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COMPREHENSIVE INCOME</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080" w:type="dxa"/>
            <w:vAlign w:val="bottom"/>
            <w:tcBorders>
              <w:bottom w:val="single" w:sz="8" w:color="auto"/>
            </w:tcBorders>
            <w:gridSpan w:val="5"/>
          </w:tcPr>
          <w:p>
            <w:pPr>
              <w:jc w:val="right"/>
              <w:ind w:right="368"/>
              <w:spacing w:after="0"/>
              <w:rPr>
                <w:sz w:val="20"/>
                <w:szCs w:val="20"/>
                <w:color w:val="auto"/>
              </w:rPr>
            </w:pPr>
            <w:r>
              <w:rPr>
                <w:rFonts w:ascii="Arial" w:cs="Arial" w:eastAsia="Arial" w:hAnsi="Arial"/>
                <w:sz w:val="14"/>
                <w:szCs w:val="14"/>
                <w:b w:val="1"/>
                <w:bCs w:val="1"/>
                <w:color w:val="auto"/>
              </w:rPr>
              <w:t>Three Months Ended December 31,</w:t>
            </w:r>
          </w:p>
        </w:tc>
        <w:tc>
          <w:tcPr>
            <w:tcW w:w="0" w:type="dxa"/>
            <w:vAlign w:val="bottom"/>
          </w:tcPr>
          <w:p>
            <w:pPr>
              <w:spacing w:after="0"/>
              <w:rPr>
                <w:sz w:val="1"/>
                <w:szCs w:val="1"/>
                <w:color w:val="auto"/>
              </w:rPr>
            </w:pPr>
          </w:p>
        </w:tc>
      </w:tr>
      <w:tr>
        <w:trPr>
          <w:trHeight w:val="264"/>
        </w:trPr>
        <w:tc>
          <w:tcPr>
            <w:tcW w:w="8340" w:type="dxa"/>
            <w:vAlign w:val="bottom"/>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196"/>
        </w:trPr>
        <w:tc>
          <w:tcPr>
            <w:tcW w:w="8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40" w:type="dxa"/>
            <w:vAlign w:val="bottom"/>
            <w:gridSpan w:val="3"/>
          </w:tcPr>
          <w:p>
            <w:pPr>
              <w:jc w:val="right"/>
              <w:ind w:right="48"/>
              <w:spacing w:after="0"/>
              <w:rPr>
                <w:sz w:val="20"/>
                <w:szCs w:val="20"/>
                <w:color w:val="auto"/>
              </w:rPr>
            </w:pPr>
            <w:r>
              <w:rPr>
                <w:rFonts w:ascii="Arial" w:cs="Arial" w:eastAsia="Arial" w:hAnsi="Arial"/>
                <w:sz w:val="14"/>
                <w:szCs w:val="14"/>
                <w:i w:val="1"/>
                <w:iCs w:val="1"/>
                <w:color w:val="auto"/>
              </w:rPr>
              <w:t>(in thousands)</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940" w:type="dxa"/>
            <w:vAlign w:val="bottom"/>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97"/>
              </w:rPr>
              <w:t>32,155</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39,352</w:t>
            </w:r>
          </w:p>
        </w:tc>
        <w:tc>
          <w:tcPr>
            <w:tcW w:w="0" w:type="dxa"/>
            <w:vAlign w:val="bottom"/>
          </w:tcPr>
          <w:p>
            <w:pPr>
              <w:spacing w:after="0"/>
              <w:rPr>
                <w:sz w:val="1"/>
                <w:szCs w:val="1"/>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Other comprehensive income (loss):</w:t>
            </w:r>
          </w:p>
        </w:tc>
        <w:tc>
          <w:tcPr>
            <w:tcW w:w="9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Foreign currency translation gain (loss)</w:t>
            </w:r>
          </w:p>
        </w:tc>
        <w:tc>
          <w:tcPr>
            <w:tcW w:w="94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3,468</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(8,768)</w:t>
            </w:r>
          </w:p>
        </w:tc>
        <w:tc>
          <w:tcPr>
            <w:tcW w:w="0" w:type="dxa"/>
            <w:vAlign w:val="bottom"/>
          </w:tcPr>
          <w:p>
            <w:pPr>
              <w:spacing w:after="0"/>
              <w:rPr>
                <w:sz w:val="1"/>
                <w:szCs w:val="1"/>
                <w:color w:val="auto"/>
              </w:rPr>
            </w:pPr>
          </w:p>
        </w:tc>
      </w:tr>
      <w:tr>
        <w:trPr>
          <w:trHeight w:val="264"/>
        </w:trPr>
        <w:tc>
          <w:tcPr>
            <w:tcW w:w="8340" w:type="dxa"/>
            <w:vAlign w:val="bottom"/>
          </w:tcPr>
          <w:p>
            <w:pPr>
              <w:ind w:left="380"/>
              <w:spacing w:after="0"/>
              <w:rPr>
                <w:sz w:val="20"/>
                <w:szCs w:val="20"/>
                <w:color w:val="auto"/>
              </w:rPr>
            </w:pPr>
            <w:r>
              <w:rPr>
                <w:rFonts w:ascii="Arial" w:cs="Arial" w:eastAsia="Arial" w:hAnsi="Arial"/>
                <w:sz w:val="14"/>
                <w:szCs w:val="14"/>
                <w:color w:val="auto"/>
              </w:rPr>
              <w:t>Unrealized holding loss arising during period</w:t>
            </w:r>
          </w:p>
        </w:tc>
        <w:tc>
          <w:tcPr>
            <w:tcW w:w="940" w:type="dxa"/>
            <w:vAlign w:val="bottom"/>
          </w:tcPr>
          <w:p>
            <w:pPr>
              <w:spacing w:after="0"/>
              <w:rPr>
                <w:sz w:val="22"/>
                <w:szCs w:val="22"/>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(43)</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(559)</w:t>
            </w:r>
          </w:p>
        </w:tc>
        <w:tc>
          <w:tcPr>
            <w:tcW w:w="0" w:type="dxa"/>
            <w:vAlign w:val="bottom"/>
          </w:tcPr>
          <w:p>
            <w:pPr>
              <w:spacing w:after="0"/>
              <w:rPr>
                <w:sz w:val="1"/>
                <w:szCs w:val="1"/>
                <w:color w:val="auto"/>
              </w:rPr>
            </w:pPr>
          </w:p>
        </w:tc>
      </w:tr>
      <w:tr>
        <w:trPr>
          <w:trHeight w:val="270"/>
        </w:trPr>
        <w:tc>
          <w:tcPr>
            <w:tcW w:w="83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Income tax benefit (provision)</w:t>
            </w:r>
          </w:p>
        </w:tc>
        <w:tc>
          <w:tcPr>
            <w:tcW w:w="94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(1,980)</w:t>
            </w:r>
          </w:p>
        </w:tc>
        <w:tc>
          <w:tcPr>
            <w:tcW w:w="12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2,586</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comprehensive income (loss), net of tax</w:t>
            </w:r>
          </w:p>
        </w:tc>
        <w:tc>
          <w:tcPr>
            <w:tcW w:w="9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1,445</w:t>
            </w:r>
          </w:p>
        </w:tc>
        <w:tc>
          <w:tcPr>
            <w:tcW w:w="12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(6,741)</w:t>
            </w:r>
          </w:p>
        </w:tc>
        <w:tc>
          <w:tcPr>
            <w:tcW w:w="0" w:type="dxa"/>
            <w:vAlign w:val="bottom"/>
          </w:tcPr>
          <w:p>
            <w:pPr>
              <w:spacing w:after="0"/>
              <w:rPr>
                <w:sz w:val="1"/>
                <w:szCs w:val="1"/>
                <w:color w:val="auto"/>
              </w:rPr>
            </w:pPr>
          </w:p>
        </w:tc>
      </w:tr>
      <w:tr>
        <w:trPr>
          <w:trHeight w:val="243"/>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Comprehensive income</w:t>
            </w:r>
          </w:p>
        </w:tc>
        <w:tc>
          <w:tcPr>
            <w:tcW w:w="940" w:type="dxa"/>
            <w:vAlign w:val="bottom"/>
            <w:tcBorders>
              <w:bottom w:val="single" w:sz="8" w:color="auto"/>
            </w:tcBorders>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97"/>
              </w:rPr>
              <w:t>33,600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32,611</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380"/>
              <w:spacing w:after="0"/>
              <w:rPr>
                <w:sz w:val="20"/>
                <w:szCs w:val="20"/>
                <w:color w:val="auto"/>
              </w:rPr>
            </w:pPr>
            <w:r>
              <w:rPr>
                <w:rFonts w:ascii="Arial" w:cs="Arial" w:eastAsia="Arial" w:hAnsi="Arial"/>
                <w:sz w:val="14"/>
                <w:szCs w:val="14"/>
                <w:color w:val="auto"/>
              </w:rPr>
              <w:t>Attributable to redeemable noncontrolling interest:</w:t>
            </w: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8340" w:type="dxa"/>
            <w:vAlign w:val="bottom"/>
            <w:vMerge w:val="continue"/>
          </w:tcPr>
          <w:p>
            <w:pPr>
              <w:spacing w:after="0"/>
              <w:rPr>
                <w:sz w:val="21"/>
                <w:szCs w:val="21"/>
                <w:color w:val="auto"/>
              </w:rPr>
            </w:pPr>
          </w:p>
        </w:tc>
        <w:tc>
          <w:tcPr>
            <w:tcW w:w="9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Net income</w:t>
            </w:r>
          </w:p>
        </w:tc>
        <w:tc>
          <w:tcPr>
            <w:tcW w:w="94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1,438</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Foreign currency translation loss</w:t>
            </w:r>
          </w:p>
        </w:tc>
        <w:tc>
          <w:tcPr>
            <w:tcW w:w="9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(651)</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Comprehensive income attributable to redeemable noncontrolling interest</w:t>
            </w:r>
          </w:p>
        </w:tc>
        <w:tc>
          <w:tcPr>
            <w:tcW w:w="94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787</w:t>
            </w:r>
          </w:p>
        </w:tc>
        <w:tc>
          <w:tcPr>
            <w:tcW w:w="12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4"/>
                <w:szCs w:val="14"/>
                <w:color w:val="auto"/>
              </w:rPr>
              <w:t>Comprehensive income attributable to EZCORP, Inc.</w:t>
            </w:r>
          </w:p>
        </w:tc>
        <w:tc>
          <w:tcPr>
            <w:tcW w:w="940" w:type="dxa"/>
            <w:vAlign w:val="bottom"/>
            <w:tcBorders>
              <w:bottom w:val="single" w:sz="8" w:color="auto"/>
            </w:tcBorders>
          </w:tcPr>
          <w:p>
            <w:pPr>
              <w:jc w:val="right"/>
              <w:ind w:right="76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97"/>
              </w:rPr>
              <w:t>32,813</w:t>
            </w:r>
          </w:p>
        </w:tc>
        <w:tc>
          <w:tcPr>
            <w:tcW w:w="120" w:type="dxa"/>
            <w:vAlign w:val="bottom"/>
          </w:tcPr>
          <w:p>
            <w:pPr>
              <w:spacing w:after="0"/>
              <w:rPr>
                <w:sz w:val="21"/>
                <w:szCs w:val="21"/>
                <w:color w:val="auto"/>
              </w:rPr>
            </w:pP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32,611</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interim condensed consolidated financial statements.</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5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248"/>
              <w:spacing w:after="0"/>
              <w:rPr>
                <w:sz w:val="20"/>
                <w:szCs w:val="20"/>
                <w:color w:val="auto"/>
              </w:rPr>
            </w:pPr>
            <w:r>
              <w:rPr>
                <w:rFonts w:ascii="Arial" w:cs="Arial" w:eastAsia="Arial" w:hAnsi="Arial"/>
                <w:sz w:val="14"/>
                <w:szCs w:val="14"/>
                <w:b w:val="1"/>
                <w:bCs w:val="1"/>
                <w:color w:val="auto"/>
                <w:w w:val="97"/>
              </w:rPr>
              <w:t>Three Months Ended December 31,</w:t>
            </w:r>
          </w:p>
        </w:tc>
        <w:tc>
          <w:tcPr>
            <w:tcW w:w="0" w:type="dxa"/>
            <w:vAlign w:val="bottom"/>
          </w:tcPr>
          <w:p>
            <w:pPr>
              <w:spacing w:after="0"/>
              <w:rPr>
                <w:sz w:val="1"/>
                <w:szCs w:val="1"/>
                <w:color w:val="auto"/>
              </w:rPr>
            </w:pPr>
          </w:p>
        </w:tc>
      </w:tr>
      <w:tr>
        <w:trPr>
          <w:trHeight w:val="262"/>
        </w:trPr>
        <w:tc>
          <w:tcPr>
            <w:tcW w:w="85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196"/>
        </w:trPr>
        <w:tc>
          <w:tcPr>
            <w:tcW w:w="8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gridSpan w:val="3"/>
          </w:tcPr>
          <w:p>
            <w:pPr>
              <w:jc w:val="right"/>
              <w:ind w:right="28"/>
              <w:spacing w:after="0"/>
              <w:rPr>
                <w:sz w:val="20"/>
                <w:szCs w:val="20"/>
                <w:color w:val="auto"/>
              </w:rPr>
            </w:pPr>
            <w:r>
              <w:rPr>
                <w:rFonts w:ascii="Arial" w:cs="Arial" w:eastAsia="Arial" w:hAnsi="Arial"/>
                <w:sz w:val="14"/>
                <w:szCs w:val="14"/>
                <w:i w:val="1"/>
                <w:iCs w:val="1"/>
                <w:color w:val="auto"/>
              </w:rPr>
              <w:t>(in thousands)</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Activities:</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580" w:type="dxa"/>
            <w:vAlign w:val="bottom"/>
          </w:tcPr>
          <w:p>
            <w:pPr>
              <w:ind w:left="380"/>
              <w:spacing w:after="0"/>
              <w:rPr>
                <w:sz w:val="20"/>
                <w:szCs w:val="20"/>
                <w:color w:val="auto"/>
              </w:rPr>
            </w:pPr>
            <w:r>
              <w:rPr>
                <w:rFonts w:ascii="Arial" w:cs="Arial" w:eastAsia="Arial" w:hAnsi="Arial"/>
                <w:sz w:val="14"/>
                <w:szCs w:val="14"/>
                <w:color w:val="auto"/>
              </w:rPr>
              <w:t>Net income</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32,155</w:t>
            </w:r>
          </w:p>
        </w:tc>
        <w:tc>
          <w:tcPr>
            <w:tcW w:w="100" w:type="dxa"/>
            <w:vAlign w:val="bottom"/>
          </w:tcPr>
          <w:p>
            <w:pPr>
              <w:spacing w:after="0"/>
              <w:rPr>
                <w:sz w:val="22"/>
                <w:szCs w:val="22"/>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39,352</w:t>
            </w:r>
          </w:p>
        </w:tc>
        <w:tc>
          <w:tcPr>
            <w:tcW w:w="0" w:type="dxa"/>
            <w:vAlign w:val="bottom"/>
          </w:tcPr>
          <w:p>
            <w:pPr>
              <w:spacing w:after="0"/>
              <w:rPr>
                <w:sz w:val="1"/>
                <w:szCs w:val="1"/>
                <w:color w:val="auto"/>
              </w:rPr>
            </w:pPr>
          </w:p>
        </w:tc>
      </w:tr>
      <w:tr>
        <w:trPr>
          <w:trHeight w:val="276"/>
        </w:trPr>
        <w:tc>
          <w:tcPr>
            <w:tcW w:w="85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580" w:type="dxa"/>
            <w:vAlign w:val="bottom"/>
          </w:tcPr>
          <w:p>
            <w:pPr>
              <w:ind w:left="720"/>
              <w:spacing w:after="0"/>
              <w:rPr>
                <w:sz w:val="20"/>
                <w:szCs w:val="20"/>
                <w:color w:val="auto"/>
              </w:rPr>
            </w:pPr>
            <w:r>
              <w:rPr>
                <w:rFonts w:ascii="Arial" w:cs="Arial" w:eastAsia="Arial" w:hAnsi="Arial"/>
                <w:sz w:val="14"/>
                <w:szCs w:val="14"/>
                <w:color w:val="auto"/>
              </w:rPr>
              <w:t>Depreciation and amortization</w:t>
            </w:r>
          </w:p>
        </w:tc>
        <w:tc>
          <w:tcPr>
            <w:tcW w:w="22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7,652</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5,255</w:t>
            </w:r>
          </w:p>
        </w:tc>
        <w:tc>
          <w:tcPr>
            <w:tcW w:w="0" w:type="dxa"/>
            <w:vAlign w:val="bottom"/>
          </w:tcPr>
          <w:p>
            <w:pPr>
              <w:spacing w:after="0"/>
              <w:rPr>
                <w:sz w:val="1"/>
                <w:szCs w:val="1"/>
                <w:color w:val="auto"/>
              </w:rPr>
            </w:pPr>
          </w:p>
        </w:tc>
      </w:tr>
      <w:tr>
        <w:trPr>
          <w:trHeight w:val="276"/>
        </w:trPr>
        <w:tc>
          <w:tcPr>
            <w:tcW w:w="8580" w:type="dxa"/>
            <w:vAlign w:val="bottom"/>
            <w:shd w:val="clear" w:color="auto" w:fill="CCEEFF"/>
          </w:tcPr>
          <w:p>
            <w:pPr>
              <w:ind w:left="720"/>
              <w:spacing w:after="0"/>
              <w:rPr>
                <w:sz w:val="20"/>
                <w:szCs w:val="20"/>
                <w:color w:val="auto"/>
              </w:rPr>
            </w:pPr>
            <w:r>
              <w:rPr>
                <w:rFonts w:ascii="Arial" w:cs="Arial" w:eastAsia="Arial" w:hAnsi="Arial"/>
                <w:sz w:val="14"/>
                <w:szCs w:val="14"/>
                <w:color w:val="auto"/>
              </w:rPr>
              <w:t>Consumer loan loss provision</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7,990</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4,035</w:t>
            </w:r>
          </w:p>
        </w:tc>
        <w:tc>
          <w:tcPr>
            <w:tcW w:w="0" w:type="dxa"/>
            <w:vAlign w:val="bottom"/>
          </w:tcPr>
          <w:p>
            <w:pPr>
              <w:spacing w:after="0"/>
              <w:rPr>
                <w:sz w:val="1"/>
                <w:szCs w:val="1"/>
                <w:color w:val="auto"/>
              </w:rPr>
            </w:pPr>
          </w:p>
        </w:tc>
      </w:tr>
      <w:tr>
        <w:trPr>
          <w:trHeight w:val="264"/>
        </w:trPr>
        <w:tc>
          <w:tcPr>
            <w:tcW w:w="8580" w:type="dxa"/>
            <w:vAlign w:val="bottom"/>
          </w:tcPr>
          <w:p>
            <w:pPr>
              <w:ind w:left="720"/>
              <w:spacing w:after="0"/>
              <w:rPr>
                <w:sz w:val="20"/>
                <w:szCs w:val="20"/>
                <w:color w:val="auto"/>
              </w:rPr>
            </w:pPr>
            <w:r>
              <w:rPr>
                <w:rFonts w:ascii="Arial" w:cs="Arial" w:eastAsia="Arial" w:hAnsi="Arial"/>
                <w:sz w:val="14"/>
                <w:szCs w:val="14"/>
                <w:color w:val="auto"/>
              </w:rPr>
              <w:t>Deferred income taxes</w:t>
            </w:r>
          </w:p>
        </w:tc>
        <w:tc>
          <w:tcPr>
            <w:tcW w:w="22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2,214</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257</w:t>
            </w:r>
          </w:p>
        </w:tc>
        <w:tc>
          <w:tcPr>
            <w:tcW w:w="0" w:type="dxa"/>
            <w:vAlign w:val="bottom"/>
          </w:tcPr>
          <w:p>
            <w:pPr>
              <w:spacing w:after="0"/>
              <w:rPr>
                <w:sz w:val="1"/>
                <w:szCs w:val="1"/>
                <w:color w:val="auto"/>
              </w:rPr>
            </w:pPr>
          </w:p>
        </w:tc>
      </w:tr>
      <w:tr>
        <w:trPr>
          <w:trHeight w:val="276"/>
        </w:trPr>
        <w:tc>
          <w:tcPr>
            <w:tcW w:w="8580" w:type="dxa"/>
            <w:vAlign w:val="bottom"/>
            <w:shd w:val="clear" w:color="auto" w:fill="CCEEFF"/>
          </w:tcPr>
          <w:p>
            <w:pPr>
              <w:ind w:left="720"/>
              <w:spacing w:after="0"/>
              <w:rPr>
                <w:sz w:val="20"/>
                <w:szCs w:val="20"/>
                <w:color w:val="auto"/>
              </w:rPr>
            </w:pPr>
            <w:r>
              <w:rPr>
                <w:rFonts w:ascii="Arial" w:cs="Arial" w:eastAsia="Arial" w:hAnsi="Arial"/>
                <w:sz w:val="14"/>
                <w:szCs w:val="14"/>
                <w:color w:val="auto"/>
              </w:rPr>
              <w:t>(Gain) loss on sale or disposal of assets</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w:t>
            </w:r>
          </w:p>
        </w:tc>
        <w:tc>
          <w:tcPr>
            <w:tcW w:w="0" w:type="dxa"/>
            <w:vAlign w:val="bottom"/>
          </w:tcPr>
          <w:p>
            <w:pPr>
              <w:spacing w:after="0"/>
              <w:rPr>
                <w:sz w:val="1"/>
                <w:szCs w:val="1"/>
                <w:color w:val="auto"/>
              </w:rPr>
            </w:pPr>
          </w:p>
        </w:tc>
      </w:tr>
      <w:tr>
        <w:trPr>
          <w:trHeight w:val="264"/>
        </w:trPr>
        <w:tc>
          <w:tcPr>
            <w:tcW w:w="8580" w:type="dxa"/>
            <w:vAlign w:val="bottom"/>
          </w:tcPr>
          <w:p>
            <w:pPr>
              <w:ind w:left="720"/>
              <w:spacing w:after="0"/>
              <w:rPr>
                <w:sz w:val="20"/>
                <w:szCs w:val="20"/>
                <w:color w:val="auto"/>
              </w:rPr>
            </w:pPr>
            <w:r>
              <w:rPr>
                <w:rFonts w:ascii="Arial" w:cs="Arial" w:eastAsia="Arial" w:hAnsi="Arial"/>
                <w:sz w:val="14"/>
                <w:szCs w:val="14"/>
                <w:color w:val="auto"/>
              </w:rPr>
              <w:t>Stock compensation</w:t>
            </w:r>
          </w:p>
        </w:tc>
        <w:tc>
          <w:tcPr>
            <w:tcW w:w="22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925</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1,513</w:t>
            </w:r>
          </w:p>
        </w:tc>
        <w:tc>
          <w:tcPr>
            <w:tcW w:w="0" w:type="dxa"/>
            <w:vAlign w:val="bottom"/>
          </w:tcPr>
          <w:p>
            <w:pPr>
              <w:spacing w:after="0"/>
              <w:rPr>
                <w:sz w:val="1"/>
                <w:szCs w:val="1"/>
                <w:color w:val="auto"/>
              </w:rPr>
            </w:pPr>
          </w:p>
        </w:tc>
      </w:tr>
      <w:tr>
        <w:trPr>
          <w:trHeight w:val="276"/>
        </w:trPr>
        <w:tc>
          <w:tcPr>
            <w:tcW w:w="8580" w:type="dxa"/>
            <w:vAlign w:val="bottom"/>
            <w:shd w:val="clear" w:color="auto" w:fill="CCEEFF"/>
          </w:tcPr>
          <w:p>
            <w:pPr>
              <w:ind w:left="720"/>
              <w:spacing w:after="0"/>
              <w:rPr>
                <w:sz w:val="20"/>
                <w:szCs w:val="20"/>
                <w:color w:val="auto"/>
              </w:rPr>
            </w:pPr>
            <w:r>
              <w:rPr>
                <w:rFonts w:ascii="Arial" w:cs="Arial" w:eastAsia="Arial" w:hAnsi="Arial"/>
                <w:sz w:val="14"/>
                <w:szCs w:val="14"/>
                <w:color w:val="auto"/>
              </w:rPr>
              <w:t>Income from investments in unconsolidated affiliates</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(5,038)</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(4,161)</w:t>
            </w:r>
          </w:p>
        </w:tc>
        <w:tc>
          <w:tcPr>
            <w:tcW w:w="0" w:type="dxa"/>
            <w:vAlign w:val="bottom"/>
          </w:tcPr>
          <w:p>
            <w:pPr>
              <w:spacing w:after="0"/>
              <w:rPr>
                <w:sz w:val="1"/>
                <w:szCs w:val="1"/>
                <w:color w:val="auto"/>
              </w:rPr>
            </w:pPr>
          </w:p>
        </w:tc>
      </w:tr>
      <w:tr>
        <w:trPr>
          <w:trHeight w:val="264"/>
        </w:trPr>
        <w:tc>
          <w:tcPr>
            <w:tcW w:w="8580" w:type="dxa"/>
            <w:vAlign w:val="bottom"/>
          </w:tcPr>
          <w:p>
            <w:pPr>
              <w:ind w:left="380"/>
              <w:spacing w:after="0"/>
              <w:rPr>
                <w:sz w:val="20"/>
                <w:szCs w:val="20"/>
                <w:color w:val="auto"/>
              </w:rPr>
            </w:pPr>
            <w:r>
              <w:rPr>
                <w:rFonts w:ascii="Arial" w:cs="Arial" w:eastAsia="Arial" w:hAnsi="Arial"/>
                <w:sz w:val="14"/>
                <w:szCs w:val="14"/>
                <w:color w:val="auto"/>
              </w:rPr>
              <w:t>Changes in operating assets and liabilities, net of business acquisitions:</w:t>
            </w:r>
          </w:p>
        </w:tc>
        <w:tc>
          <w:tcPr>
            <w:tcW w:w="2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8580" w:type="dxa"/>
            <w:vAlign w:val="bottom"/>
            <w:shd w:val="clear" w:color="auto" w:fill="CCEEFF"/>
          </w:tcPr>
          <w:p>
            <w:pPr>
              <w:ind w:left="720"/>
              <w:spacing w:after="0"/>
              <w:rPr>
                <w:sz w:val="20"/>
                <w:szCs w:val="20"/>
                <w:color w:val="auto"/>
              </w:rPr>
            </w:pPr>
            <w:r>
              <w:rPr>
                <w:rFonts w:ascii="Arial" w:cs="Arial" w:eastAsia="Arial" w:hAnsi="Arial"/>
                <w:sz w:val="14"/>
                <w:szCs w:val="14"/>
                <w:color w:val="auto"/>
              </w:rPr>
              <w:t>Service charges and fees receivable, net</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(5,192)</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(2,392)</w:t>
            </w:r>
          </w:p>
        </w:tc>
        <w:tc>
          <w:tcPr>
            <w:tcW w:w="0" w:type="dxa"/>
            <w:vAlign w:val="bottom"/>
          </w:tcPr>
          <w:p>
            <w:pPr>
              <w:spacing w:after="0"/>
              <w:rPr>
                <w:sz w:val="1"/>
                <w:szCs w:val="1"/>
                <w:color w:val="auto"/>
              </w:rPr>
            </w:pPr>
          </w:p>
        </w:tc>
      </w:tr>
      <w:tr>
        <w:trPr>
          <w:trHeight w:val="264"/>
        </w:trPr>
        <w:tc>
          <w:tcPr>
            <w:tcW w:w="8580" w:type="dxa"/>
            <w:vAlign w:val="bottom"/>
          </w:tcPr>
          <w:p>
            <w:pPr>
              <w:ind w:left="720"/>
              <w:spacing w:after="0"/>
              <w:rPr>
                <w:sz w:val="20"/>
                <w:szCs w:val="20"/>
                <w:color w:val="auto"/>
              </w:rPr>
            </w:pPr>
            <w:r>
              <w:rPr>
                <w:rFonts w:ascii="Arial" w:cs="Arial" w:eastAsia="Arial" w:hAnsi="Arial"/>
                <w:sz w:val="14"/>
                <w:szCs w:val="14"/>
                <w:color w:val="auto"/>
              </w:rPr>
              <w:t>Inventory, net</w:t>
            </w:r>
          </w:p>
        </w:tc>
        <w:tc>
          <w:tcPr>
            <w:tcW w:w="220" w:type="dxa"/>
            <w:vAlign w:val="bottom"/>
          </w:tcPr>
          <w:p>
            <w:pPr>
              <w:spacing w:after="0"/>
              <w:rPr>
                <w:sz w:val="22"/>
                <w:szCs w:val="22"/>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(11,908)</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(1,609)</w:t>
            </w:r>
          </w:p>
        </w:tc>
        <w:tc>
          <w:tcPr>
            <w:tcW w:w="0" w:type="dxa"/>
            <w:vAlign w:val="bottom"/>
          </w:tcPr>
          <w:p>
            <w:pPr>
              <w:spacing w:after="0"/>
              <w:rPr>
                <w:sz w:val="1"/>
                <w:szCs w:val="1"/>
                <w:color w:val="auto"/>
              </w:rPr>
            </w:pPr>
          </w:p>
        </w:tc>
      </w:tr>
      <w:tr>
        <w:trPr>
          <w:trHeight w:val="276"/>
        </w:trPr>
        <w:tc>
          <w:tcPr>
            <w:tcW w:w="8580" w:type="dxa"/>
            <w:vAlign w:val="bottom"/>
            <w:shd w:val="clear" w:color="auto" w:fill="CCEEFF"/>
          </w:tcPr>
          <w:p>
            <w:pPr>
              <w:ind w:left="720"/>
              <w:spacing w:after="0"/>
              <w:rPr>
                <w:sz w:val="20"/>
                <w:szCs w:val="20"/>
                <w:color w:val="auto"/>
              </w:rPr>
            </w:pPr>
            <w:r>
              <w:rPr>
                <w:rFonts w:ascii="Arial" w:cs="Arial" w:eastAsia="Arial" w:hAnsi="Arial"/>
                <w:sz w:val="14"/>
                <w:szCs w:val="14"/>
                <w:color w:val="auto"/>
              </w:rPr>
              <w:t>Prepaid expenses, other current assets, and other assets, net</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(17,727)</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(8,187)</w:t>
            </w:r>
          </w:p>
        </w:tc>
        <w:tc>
          <w:tcPr>
            <w:tcW w:w="0" w:type="dxa"/>
            <w:vAlign w:val="bottom"/>
          </w:tcPr>
          <w:p>
            <w:pPr>
              <w:spacing w:after="0"/>
              <w:rPr>
                <w:sz w:val="1"/>
                <w:szCs w:val="1"/>
                <w:color w:val="auto"/>
              </w:rPr>
            </w:pPr>
          </w:p>
        </w:tc>
      </w:tr>
      <w:tr>
        <w:trPr>
          <w:trHeight w:val="264"/>
        </w:trPr>
        <w:tc>
          <w:tcPr>
            <w:tcW w:w="8580" w:type="dxa"/>
            <w:vAlign w:val="bottom"/>
          </w:tcPr>
          <w:p>
            <w:pPr>
              <w:ind w:left="720"/>
              <w:spacing w:after="0"/>
              <w:rPr>
                <w:sz w:val="20"/>
                <w:szCs w:val="20"/>
                <w:color w:val="auto"/>
              </w:rPr>
            </w:pPr>
            <w:r>
              <w:rPr>
                <w:rFonts w:ascii="Arial" w:cs="Arial" w:eastAsia="Arial" w:hAnsi="Arial"/>
                <w:sz w:val="14"/>
                <w:szCs w:val="14"/>
                <w:color w:val="auto"/>
              </w:rPr>
              <w:t>Accounts payable and accrued expenses</w:t>
            </w:r>
          </w:p>
        </w:tc>
        <w:tc>
          <w:tcPr>
            <w:tcW w:w="22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9,323</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(1,272)</w:t>
            </w:r>
          </w:p>
        </w:tc>
        <w:tc>
          <w:tcPr>
            <w:tcW w:w="0" w:type="dxa"/>
            <w:vAlign w:val="bottom"/>
          </w:tcPr>
          <w:p>
            <w:pPr>
              <w:spacing w:after="0"/>
              <w:rPr>
                <w:sz w:val="1"/>
                <w:szCs w:val="1"/>
                <w:color w:val="auto"/>
              </w:rPr>
            </w:pPr>
          </w:p>
        </w:tc>
      </w:tr>
      <w:tr>
        <w:trPr>
          <w:trHeight w:val="276"/>
        </w:trPr>
        <w:tc>
          <w:tcPr>
            <w:tcW w:w="8580" w:type="dxa"/>
            <w:vAlign w:val="bottom"/>
            <w:shd w:val="clear" w:color="auto" w:fill="CCEEFF"/>
          </w:tcPr>
          <w:p>
            <w:pPr>
              <w:ind w:left="720"/>
              <w:spacing w:after="0"/>
              <w:rPr>
                <w:sz w:val="20"/>
                <w:szCs w:val="20"/>
                <w:color w:val="auto"/>
              </w:rPr>
            </w:pPr>
            <w:r>
              <w:rPr>
                <w:rFonts w:ascii="Arial" w:cs="Arial" w:eastAsia="Arial" w:hAnsi="Arial"/>
                <w:sz w:val="14"/>
                <w:szCs w:val="14"/>
                <w:color w:val="auto"/>
              </w:rPr>
              <w:t>Customer layaway deposits</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(1,077)</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(923)</w:t>
            </w:r>
          </w:p>
        </w:tc>
        <w:tc>
          <w:tcPr>
            <w:tcW w:w="0" w:type="dxa"/>
            <w:vAlign w:val="bottom"/>
          </w:tcPr>
          <w:p>
            <w:pPr>
              <w:spacing w:after="0"/>
              <w:rPr>
                <w:sz w:val="1"/>
                <w:szCs w:val="1"/>
                <w:color w:val="auto"/>
              </w:rPr>
            </w:pPr>
          </w:p>
        </w:tc>
      </w:tr>
      <w:tr>
        <w:trPr>
          <w:trHeight w:val="264"/>
        </w:trPr>
        <w:tc>
          <w:tcPr>
            <w:tcW w:w="8580" w:type="dxa"/>
            <w:vAlign w:val="bottom"/>
          </w:tcPr>
          <w:p>
            <w:pPr>
              <w:ind w:left="720"/>
              <w:spacing w:after="0"/>
              <w:rPr>
                <w:sz w:val="20"/>
                <w:szCs w:val="20"/>
                <w:color w:val="auto"/>
              </w:rPr>
            </w:pPr>
            <w:r>
              <w:rPr>
                <w:rFonts w:ascii="Arial" w:cs="Arial" w:eastAsia="Arial" w:hAnsi="Arial"/>
                <w:sz w:val="14"/>
                <w:szCs w:val="14"/>
                <w:color w:val="auto"/>
              </w:rPr>
              <w:t>Deferred gains and other long-term liabilities</w:t>
            </w:r>
          </w:p>
        </w:tc>
        <w:tc>
          <w:tcPr>
            <w:tcW w:w="22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83</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(116)</w:t>
            </w:r>
          </w:p>
        </w:tc>
        <w:tc>
          <w:tcPr>
            <w:tcW w:w="0" w:type="dxa"/>
            <w:vAlign w:val="bottom"/>
          </w:tcPr>
          <w:p>
            <w:pPr>
              <w:spacing w:after="0"/>
              <w:rPr>
                <w:sz w:val="1"/>
                <w:szCs w:val="1"/>
                <w:color w:val="auto"/>
              </w:rPr>
            </w:pPr>
          </w:p>
        </w:tc>
      </w:tr>
      <w:tr>
        <w:trPr>
          <w:trHeight w:val="276"/>
        </w:trPr>
        <w:tc>
          <w:tcPr>
            <w:tcW w:w="8580" w:type="dxa"/>
            <w:vAlign w:val="bottom"/>
            <w:shd w:val="clear" w:color="auto" w:fill="CCEEFF"/>
          </w:tcPr>
          <w:p>
            <w:pPr>
              <w:ind w:left="720"/>
              <w:spacing w:after="0"/>
              <w:rPr>
                <w:sz w:val="20"/>
                <w:szCs w:val="20"/>
                <w:color w:val="auto"/>
              </w:rPr>
            </w:pPr>
            <w:r>
              <w:rPr>
                <w:rFonts w:ascii="Arial" w:cs="Arial" w:eastAsia="Arial" w:hAnsi="Arial"/>
                <w:sz w:val="14"/>
                <w:szCs w:val="14"/>
                <w:color w:val="auto"/>
              </w:rPr>
              <w:t>Excess tax benefit from stock compensation</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(346)</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(460)</w:t>
            </w:r>
          </w:p>
        </w:tc>
        <w:tc>
          <w:tcPr>
            <w:tcW w:w="0" w:type="dxa"/>
            <w:vAlign w:val="bottom"/>
          </w:tcPr>
          <w:p>
            <w:pPr>
              <w:spacing w:after="0"/>
              <w:rPr>
                <w:sz w:val="1"/>
                <w:szCs w:val="1"/>
                <w:color w:val="auto"/>
              </w:rPr>
            </w:pPr>
          </w:p>
        </w:tc>
      </w:tr>
      <w:tr>
        <w:trPr>
          <w:trHeight w:val="264"/>
        </w:trPr>
        <w:tc>
          <w:tcPr>
            <w:tcW w:w="8580" w:type="dxa"/>
            <w:vAlign w:val="bottom"/>
          </w:tcPr>
          <w:p>
            <w:pPr>
              <w:ind w:left="720"/>
              <w:spacing w:after="0"/>
              <w:rPr>
                <w:sz w:val="20"/>
                <w:szCs w:val="20"/>
                <w:color w:val="auto"/>
              </w:rPr>
            </w:pPr>
            <w:r>
              <w:rPr>
                <w:rFonts w:ascii="Arial" w:cs="Arial" w:eastAsia="Arial" w:hAnsi="Arial"/>
                <w:sz w:val="14"/>
                <w:szCs w:val="14"/>
                <w:color w:val="auto"/>
              </w:rPr>
              <w:t>Income taxes receivable/payable</w:t>
            </w:r>
          </w:p>
        </w:tc>
        <w:tc>
          <w:tcPr>
            <w:tcW w:w="22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9,830</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12,284</w:t>
            </w:r>
          </w:p>
        </w:tc>
        <w:tc>
          <w:tcPr>
            <w:tcW w:w="0" w:type="dxa"/>
            <w:vAlign w:val="bottom"/>
          </w:tcPr>
          <w:p>
            <w:pPr>
              <w:spacing w:after="0"/>
              <w:rPr>
                <w:sz w:val="1"/>
                <w:szCs w:val="1"/>
                <w:color w:val="auto"/>
              </w:rPr>
            </w:pPr>
          </w:p>
        </w:tc>
      </w:tr>
      <w:tr>
        <w:trPr>
          <w:trHeight w:val="270"/>
        </w:trPr>
        <w:tc>
          <w:tcPr>
            <w:tcW w:w="85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Dividends from unconsolidated affiliates</w:t>
            </w:r>
          </w:p>
        </w:tc>
        <w:tc>
          <w:tcPr>
            <w:tcW w:w="2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1,595</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2,222</w:t>
            </w:r>
          </w:p>
        </w:tc>
        <w:tc>
          <w:tcPr>
            <w:tcW w:w="0" w:type="dxa"/>
            <w:vAlign w:val="bottom"/>
          </w:tcPr>
          <w:p>
            <w:pPr>
              <w:spacing w:after="0"/>
              <w:rPr>
                <w:sz w:val="1"/>
                <w:szCs w:val="1"/>
                <w:color w:val="auto"/>
              </w:rPr>
            </w:pPr>
          </w:p>
        </w:tc>
      </w:tr>
      <w:tr>
        <w:trPr>
          <w:trHeight w:val="250"/>
        </w:trPr>
        <w:tc>
          <w:tcPr>
            <w:tcW w:w="8580" w:type="dxa"/>
            <w:vAlign w:val="bottom"/>
          </w:tcPr>
          <w:p>
            <w:pPr>
              <w:ind w:left="1140"/>
              <w:spacing w:after="0"/>
              <w:rPr>
                <w:sz w:val="20"/>
                <w:szCs w:val="20"/>
                <w:color w:val="auto"/>
              </w:rPr>
            </w:pPr>
            <w:r>
              <w:rPr>
                <w:rFonts w:ascii="Arial" w:cs="Arial" w:eastAsia="Arial" w:hAnsi="Arial"/>
                <w:sz w:val="14"/>
                <w:szCs w:val="14"/>
                <w:color w:val="auto"/>
              </w:rPr>
              <w:t>Net cash provided by operating activities</w:t>
            </w:r>
          </w:p>
        </w:tc>
        <w:tc>
          <w:tcPr>
            <w:tcW w:w="220" w:type="dxa"/>
            <w:vAlign w:val="bottom"/>
          </w:tcPr>
          <w:p>
            <w:pPr>
              <w:spacing w:after="0"/>
              <w:rPr>
                <w:sz w:val="21"/>
                <w:szCs w:val="21"/>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30,508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45,597</w:t>
            </w:r>
          </w:p>
        </w:tc>
        <w:tc>
          <w:tcPr>
            <w:tcW w:w="0" w:type="dxa"/>
            <w:vAlign w:val="bottom"/>
          </w:tcPr>
          <w:p>
            <w:pPr>
              <w:spacing w:after="0"/>
              <w:rPr>
                <w:sz w:val="1"/>
                <w:szCs w:val="1"/>
                <w:color w:val="auto"/>
              </w:rPr>
            </w:pPr>
          </w:p>
        </w:tc>
      </w:tr>
      <w:tr>
        <w:trPr>
          <w:trHeight w:val="27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Investing Activities:</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580" w:type="dxa"/>
            <w:vAlign w:val="bottom"/>
          </w:tcPr>
          <w:p>
            <w:pPr>
              <w:ind w:left="380"/>
              <w:spacing w:after="0"/>
              <w:rPr>
                <w:sz w:val="20"/>
                <w:szCs w:val="20"/>
                <w:color w:val="auto"/>
              </w:rPr>
            </w:pPr>
            <w:r>
              <w:rPr>
                <w:rFonts w:ascii="Arial" w:cs="Arial" w:eastAsia="Arial" w:hAnsi="Arial"/>
                <w:sz w:val="14"/>
                <w:szCs w:val="14"/>
                <w:color w:val="auto"/>
              </w:rPr>
              <w:t>Loans made</w:t>
            </w:r>
          </w:p>
        </w:tc>
        <w:tc>
          <w:tcPr>
            <w:tcW w:w="220" w:type="dxa"/>
            <w:vAlign w:val="bottom"/>
          </w:tcPr>
          <w:p>
            <w:pPr>
              <w:spacing w:after="0"/>
              <w:rPr>
                <w:sz w:val="22"/>
                <w:szCs w:val="22"/>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(231,067)</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(182,757)</w:t>
            </w:r>
          </w:p>
        </w:tc>
        <w:tc>
          <w:tcPr>
            <w:tcW w:w="0" w:type="dxa"/>
            <w:vAlign w:val="bottom"/>
          </w:tcPr>
          <w:p>
            <w:pPr>
              <w:spacing w:after="0"/>
              <w:rPr>
                <w:sz w:val="1"/>
                <w:szCs w:val="1"/>
                <w:color w:val="auto"/>
              </w:rPr>
            </w:pPr>
          </w:p>
        </w:tc>
      </w:tr>
      <w:tr>
        <w:trPr>
          <w:trHeight w:val="276"/>
        </w:trPr>
        <w:tc>
          <w:tcPr>
            <w:tcW w:w="85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Loans repaid</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142,250</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110,988</w:t>
            </w:r>
          </w:p>
        </w:tc>
        <w:tc>
          <w:tcPr>
            <w:tcW w:w="0" w:type="dxa"/>
            <w:vAlign w:val="bottom"/>
          </w:tcPr>
          <w:p>
            <w:pPr>
              <w:spacing w:after="0"/>
              <w:rPr>
                <w:sz w:val="1"/>
                <w:szCs w:val="1"/>
                <w:color w:val="auto"/>
              </w:rPr>
            </w:pPr>
          </w:p>
        </w:tc>
      </w:tr>
      <w:tr>
        <w:trPr>
          <w:trHeight w:val="264"/>
        </w:trPr>
        <w:tc>
          <w:tcPr>
            <w:tcW w:w="8580" w:type="dxa"/>
            <w:vAlign w:val="bottom"/>
          </w:tcPr>
          <w:p>
            <w:pPr>
              <w:ind w:left="380"/>
              <w:spacing w:after="0"/>
              <w:rPr>
                <w:sz w:val="20"/>
                <w:szCs w:val="20"/>
                <w:color w:val="auto"/>
              </w:rPr>
            </w:pPr>
            <w:r>
              <w:rPr>
                <w:rFonts w:ascii="Arial" w:cs="Arial" w:eastAsia="Arial" w:hAnsi="Arial"/>
                <w:sz w:val="14"/>
                <w:szCs w:val="14"/>
                <w:color w:val="auto"/>
              </w:rPr>
              <w:t>Recovery of pawn loan principal through sale of forfeited collateral</w:t>
            </w:r>
          </w:p>
        </w:tc>
        <w:tc>
          <w:tcPr>
            <w:tcW w:w="22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73,264</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61,701</w:t>
            </w:r>
          </w:p>
        </w:tc>
        <w:tc>
          <w:tcPr>
            <w:tcW w:w="0" w:type="dxa"/>
            <w:vAlign w:val="bottom"/>
          </w:tcPr>
          <w:p>
            <w:pPr>
              <w:spacing w:after="0"/>
              <w:rPr>
                <w:sz w:val="1"/>
                <w:szCs w:val="1"/>
                <w:color w:val="auto"/>
              </w:rPr>
            </w:pPr>
          </w:p>
        </w:tc>
      </w:tr>
      <w:tr>
        <w:trPr>
          <w:trHeight w:val="276"/>
        </w:trPr>
        <w:tc>
          <w:tcPr>
            <w:tcW w:w="85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Additions to property and equipment</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(8,906)</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(9,581)</w:t>
            </w:r>
          </w:p>
        </w:tc>
        <w:tc>
          <w:tcPr>
            <w:tcW w:w="0" w:type="dxa"/>
            <w:vAlign w:val="bottom"/>
          </w:tcPr>
          <w:p>
            <w:pPr>
              <w:spacing w:after="0"/>
              <w:rPr>
                <w:sz w:val="1"/>
                <w:szCs w:val="1"/>
                <w:color w:val="auto"/>
              </w:rPr>
            </w:pPr>
          </w:p>
        </w:tc>
      </w:tr>
      <w:tr>
        <w:trPr>
          <w:trHeight w:val="264"/>
        </w:trPr>
        <w:tc>
          <w:tcPr>
            <w:tcW w:w="8580" w:type="dxa"/>
            <w:vAlign w:val="bottom"/>
          </w:tcPr>
          <w:p>
            <w:pPr>
              <w:ind w:left="380"/>
              <w:spacing w:after="0"/>
              <w:rPr>
                <w:sz w:val="20"/>
                <w:szCs w:val="20"/>
                <w:color w:val="auto"/>
              </w:rPr>
            </w:pPr>
            <w:r>
              <w:rPr>
                <w:rFonts w:ascii="Arial" w:cs="Arial" w:eastAsia="Arial" w:hAnsi="Arial"/>
                <w:sz w:val="14"/>
                <w:szCs w:val="14"/>
                <w:color w:val="auto"/>
              </w:rPr>
              <w:t>Acquisitions, net of cash acquired</w:t>
            </w:r>
          </w:p>
        </w:tc>
        <w:tc>
          <w:tcPr>
            <w:tcW w:w="220" w:type="dxa"/>
            <w:vAlign w:val="bottom"/>
          </w:tcPr>
          <w:p>
            <w:pPr>
              <w:spacing w:after="0"/>
              <w:rPr>
                <w:sz w:val="22"/>
                <w:szCs w:val="22"/>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(12,278)</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(49,279)</w:t>
            </w:r>
          </w:p>
        </w:tc>
        <w:tc>
          <w:tcPr>
            <w:tcW w:w="0" w:type="dxa"/>
            <w:vAlign w:val="bottom"/>
          </w:tcPr>
          <w:p>
            <w:pPr>
              <w:spacing w:after="0"/>
              <w:rPr>
                <w:sz w:val="1"/>
                <w:szCs w:val="1"/>
                <w:color w:val="auto"/>
              </w:rPr>
            </w:pPr>
          </w:p>
        </w:tc>
      </w:tr>
      <w:tr>
        <w:trPr>
          <w:trHeight w:val="270"/>
        </w:trPr>
        <w:tc>
          <w:tcPr>
            <w:tcW w:w="85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Investments in unconsolidated affiliates</w:t>
            </w:r>
          </w:p>
        </w:tc>
        <w:tc>
          <w:tcPr>
            <w:tcW w:w="2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(11,018)</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8580" w:type="dxa"/>
            <w:vAlign w:val="bottom"/>
          </w:tcPr>
          <w:p>
            <w:pPr>
              <w:ind w:left="1140"/>
              <w:spacing w:after="0"/>
              <w:rPr>
                <w:sz w:val="20"/>
                <w:szCs w:val="20"/>
                <w:color w:val="auto"/>
              </w:rPr>
            </w:pPr>
            <w:r>
              <w:rPr>
                <w:rFonts w:ascii="Arial" w:cs="Arial" w:eastAsia="Arial" w:hAnsi="Arial"/>
                <w:sz w:val="14"/>
                <w:szCs w:val="14"/>
                <w:color w:val="auto"/>
              </w:rPr>
              <w:t>Net cash used in investing activities</w:t>
            </w:r>
          </w:p>
        </w:tc>
        <w:tc>
          <w:tcPr>
            <w:tcW w:w="220" w:type="dxa"/>
            <w:vAlign w:val="bottom"/>
          </w:tcPr>
          <w:p>
            <w:pPr>
              <w:spacing w:after="0"/>
              <w:rPr>
                <w:sz w:val="21"/>
                <w:szCs w:val="21"/>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(47,755)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(68,928)</w:t>
            </w:r>
          </w:p>
        </w:tc>
        <w:tc>
          <w:tcPr>
            <w:tcW w:w="0" w:type="dxa"/>
            <w:vAlign w:val="bottom"/>
          </w:tcPr>
          <w:p>
            <w:pPr>
              <w:spacing w:after="0"/>
              <w:rPr>
                <w:sz w:val="1"/>
                <w:szCs w:val="1"/>
                <w:color w:val="auto"/>
              </w:rPr>
            </w:pPr>
          </w:p>
        </w:tc>
      </w:tr>
      <w:tr>
        <w:trPr>
          <w:trHeight w:val="27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Financing Activities:</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580" w:type="dxa"/>
            <w:vAlign w:val="bottom"/>
          </w:tcPr>
          <w:p>
            <w:pPr>
              <w:ind w:left="380"/>
              <w:spacing w:after="0"/>
              <w:rPr>
                <w:sz w:val="20"/>
                <w:szCs w:val="20"/>
                <w:color w:val="auto"/>
              </w:rPr>
            </w:pPr>
            <w:r>
              <w:rPr>
                <w:rFonts w:ascii="Arial" w:cs="Arial" w:eastAsia="Arial" w:hAnsi="Arial"/>
                <w:sz w:val="14"/>
                <w:szCs w:val="14"/>
                <w:color w:val="auto"/>
              </w:rPr>
              <w:t>Excess tax benefit from stock compensation</w:t>
            </w:r>
          </w:p>
        </w:tc>
        <w:tc>
          <w:tcPr>
            <w:tcW w:w="22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346</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460</w:t>
            </w:r>
          </w:p>
        </w:tc>
        <w:tc>
          <w:tcPr>
            <w:tcW w:w="0" w:type="dxa"/>
            <w:vAlign w:val="bottom"/>
          </w:tcPr>
          <w:p>
            <w:pPr>
              <w:spacing w:after="0"/>
              <w:rPr>
                <w:sz w:val="1"/>
                <w:szCs w:val="1"/>
                <w:color w:val="auto"/>
              </w:rPr>
            </w:pPr>
          </w:p>
        </w:tc>
      </w:tr>
      <w:tr>
        <w:trPr>
          <w:trHeight w:val="276"/>
        </w:trPr>
        <w:tc>
          <w:tcPr>
            <w:tcW w:w="85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Taxes paid related to net share settlement of equity awards</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(3,431)</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(988)</w:t>
            </w:r>
          </w:p>
        </w:tc>
        <w:tc>
          <w:tcPr>
            <w:tcW w:w="0" w:type="dxa"/>
            <w:vAlign w:val="bottom"/>
          </w:tcPr>
          <w:p>
            <w:pPr>
              <w:spacing w:after="0"/>
              <w:rPr>
                <w:sz w:val="1"/>
                <w:szCs w:val="1"/>
                <w:color w:val="auto"/>
              </w:rPr>
            </w:pPr>
          </w:p>
        </w:tc>
      </w:tr>
      <w:tr>
        <w:trPr>
          <w:trHeight w:val="264"/>
        </w:trPr>
        <w:tc>
          <w:tcPr>
            <w:tcW w:w="8580" w:type="dxa"/>
            <w:vAlign w:val="bottom"/>
          </w:tcPr>
          <w:p>
            <w:pPr>
              <w:ind w:left="380"/>
              <w:spacing w:after="0"/>
              <w:rPr>
                <w:sz w:val="20"/>
                <w:szCs w:val="20"/>
                <w:color w:val="auto"/>
              </w:rPr>
            </w:pPr>
            <w:r>
              <w:rPr>
                <w:rFonts w:ascii="Arial" w:cs="Arial" w:eastAsia="Arial" w:hAnsi="Arial"/>
                <w:sz w:val="14"/>
                <w:szCs w:val="14"/>
                <w:color w:val="auto"/>
              </w:rPr>
              <w:t>Change in restricted cash</w:t>
            </w:r>
          </w:p>
        </w:tc>
        <w:tc>
          <w:tcPr>
            <w:tcW w:w="22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2,298</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85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Proceeds from revolving line of credit</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80,125</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116,500</w:t>
            </w:r>
          </w:p>
        </w:tc>
        <w:tc>
          <w:tcPr>
            <w:tcW w:w="0" w:type="dxa"/>
            <w:vAlign w:val="bottom"/>
          </w:tcPr>
          <w:p>
            <w:pPr>
              <w:spacing w:after="0"/>
              <w:rPr>
                <w:sz w:val="1"/>
                <w:szCs w:val="1"/>
                <w:color w:val="auto"/>
              </w:rPr>
            </w:pPr>
          </w:p>
        </w:tc>
      </w:tr>
      <w:tr>
        <w:trPr>
          <w:trHeight w:val="264"/>
        </w:trPr>
        <w:tc>
          <w:tcPr>
            <w:tcW w:w="8580" w:type="dxa"/>
            <w:vAlign w:val="bottom"/>
          </w:tcPr>
          <w:p>
            <w:pPr>
              <w:ind w:left="380"/>
              <w:spacing w:after="0"/>
              <w:rPr>
                <w:sz w:val="20"/>
                <w:szCs w:val="20"/>
                <w:color w:val="auto"/>
              </w:rPr>
            </w:pPr>
            <w:r>
              <w:rPr>
                <w:rFonts w:ascii="Arial" w:cs="Arial" w:eastAsia="Arial" w:hAnsi="Arial"/>
                <w:sz w:val="14"/>
                <w:szCs w:val="14"/>
                <w:color w:val="auto"/>
              </w:rPr>
              <w:t>Payments on revolving line of credit</w:t>
            </w:r>
          </w:p>
        </w:tc>
        <w:tc>
          <w:tcPr>
            <w:tcW w:w="220" w:type="dxa"/>
            <w:vAlign w:val="bottom"/>
          </w:tcPr>
          <w:p>
            <w:pPr>
              <w:spacing w:after="0"/>
              <w:rPr>
                <w:sz w:val="22"/>
                <w:szCs w:val="22"/>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(61,852)</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(93,500)</w:t>
            </w:r>
          </w:p>
        </w:tc>
        <w:tc>
          <w:tcPr>
            <w:tcW w:w="0" w:type="dxa"/>
            <w:vAlign w:val="bottom"/>
          </w:tcPr>
          <w:p>
            <w:pPr>
              <w:spacing w:after="0"/>
              <w:rPr>
                <w:sz w:val="1"/>
                <w:szCs w:val="1"/>
                <w:color w:val="auto"/>
              </w:rPr>
            </w:pPr>
          </w:p>
        </w:tc>
      </w:tr>
      <w:tr>
        <w:trPr>
          <w:trHeight w:val="276"/>
        </w:trPr>
        <w:tc>
          <w:tcPr>
            <w:tcW w:w="85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Proceeds from bank borrowings</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1,159</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Payments on bank borrowings and capital lease obligations</w:t>
            </w: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(3,023)</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6"/>
        </w:trPr>
        <w:tc>
          <w:tcPr>
            <w:tcW w:w="8580" w:type="dxa"/>
            <w:vAlign w:val="bottom"/>
            <w:shd w:val="clear" w:color="auto" w:fill="CCEEFF"/>
          </w:tcPr>
          <w:p>
            <w:pPr>
              <w:ind w:left="1140"/>
              <w:spacing w:after="0"/>
              <w:rPr>
                <w:sz w:val="20"/>
                <w:szCs w:val="20"/>
                <w:color w:val="auto"/>
              </w:rPr>
            </w:pPr>
            <w:r>
              <w:rPr>
                <w:rFonts w:ascii="Arial" w:cs="Arial" w:eastAsia="Arial" w:hAnsi="Arial"/>
                <w:sz w:val="14"/>
                <w:szCs w:val="14"/>
                <w:color w:val="auto"/>
              </w:rPr>
              <w:t>Net cash provided by in financing activities</w:t>
            </w:r>
          </w:p>
        </w:tc>
        <w:tc>
          <w:tcPr>
            <w:tcW w:w="22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15,622</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22,472</w:t>
            </w: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Effect of exchange rate changes on cash and cash equivalents</w:t>
            </w: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(184)</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w:t>
            </w:r>
          </w:p>
        </w:tc>
        <w:tc>
          <w:tcPr>
            <w:tcW w:w="0" w:type="dxa"/>
            <w:vAlign w:val="bottom"/>
          </w:tcPr>
          <w:p>
            <w:pPr>
              <w:spacing w:after="0"/>
              <w:rPr>
                <w:sz w:val="1"/>
                <w:szCs w:val="1"/>
                <w:color w:val="auto"/>
              </w:rPr>
            </w:pPr>
          </w:p>
        </w:tc>
      </w:tr>
      <w:tr>
        <w:trPr>
          <w:trHeight w:val="25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decrease in cash and cash equivalents</w:t>
            </w:r>
          </w:p>
        </w:tc>
        <w:tc>
          <w:tcPr>
            <w:tcW w:w="22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(1,809)</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(981)</w:t>
            </w: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and cash equivalents at beginning of quarter</w:t>
            </w: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48,477</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23,969</w:t>
            </w:r>
          </w:p>
        </w:tc>
        <w:tc>
          <w:tcPr>
            <w:tcW w:w="0" w:type="dxa"/>
            <w:vAlign w:val="bottom"/>
          </w:tcPr>
          <w:p>
            <w:pPr>
              <w:spacing w:after="0"/>
              <w:rPr>
                <w:sz w:val="1"/>
                <w:szCs w:val="1"/>
                <w:color w:val="auto"/>
              </w:rPr>
            </w:pPr>
          </w:p>
        </w:tc>
      </w:tr>
      <w:tr>
        <w:trPr>
          <w:trHeight w:val="243"/>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Cash and cash equivalents at end of quarter</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46,668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22,988</w:t>
            </w:r>
          </w:p>
        </w:tc>
        <w:tc>
          <w:tcPr>
            <w:tcW w:w="0" w:type="dxa"/>
            <w:vAlign w:val="bottom"/>
          </w:tcPr>
          <w:p>
            <w:pPr>
              <w:spacing w:after="0"/>
              <w:rPr>
                <w:sz w:val="1"/>
                <w:szCs w:val="1"/>
                <w:color w:val="auto"/>
              </w:rPr>
            </w:pPr>
          </w:p>
        </w:tc>
      </w:tr>
      <w:tr>
        <w:trPr>
          <w:trHeight w:val="20"/>
        </w:trPr>
        <w:tc>
          <w:tcPr>
            <w:tcW w:w="8580" w:type="dxa"/>
            <w:vAlign w:val="bottom"/>
            <w:vMerge w:val="restart"/>
          </w:tcPr>
          <w:p>
            <w:pPr>
              <w:ind w:left="40"/>
              <w:spacing w:after="0"/>
              <w:rPr>
                <w:sz w:val="20"/>
                <w:szCs w:val="20"/>
                <w:color w:val="auto"/>
              </w:rPr>
            </w:pPr>
            <w:r>
              <w:rPr>
                <w:rFonts w:ascii="Arial" w:cs="Arial" w:eastAsia="Arial" w:hAnsi="Arial"/>
                <w:sz w:val="14"/>
                <w:szCs w:val="14"/>
                <w:color w:val="auto"/>
              </w:rPr>
              <w:t>Non-cash Investing and Financing Activities:</w:t>
            </w: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858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85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Pawn loans forfeited and transferred to inventory</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69,370</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66,068</w:t>
            </w:r>
          </w:p>
        </w:tc>
        <w:tc>
          <w:tcPr>
            <w:tcW w:w="0" w:type="dxa"/>
            <w:vAlign w:val="bottom"/>
          </w:tcPr>
          <w:p>
            <w:pPr>
              <w:spacing w:after="0"/>
              <w:rPr>
                <w:sz w:val="1"/>
                <w:szCs w:val="1"/>
                <w:color w:val="auto"/>
              </w:rPr>
            </w:pPr>
          </w:p>
        </w:tc>
      </w:tr>
      <w:tr>
        <w:trPr>
          <w:trHeight w:val="264"/>
        </w:trPr>
        <w:tc>
          <w:tcPr>
            <w:tcW w:w="8580" w:type="dxa"/>
            <w:vAlign w:val="bottom"/>
          </w:tcPr>
          <w:p>
            <w:pPr>
              <w:ind w:left="380"/>
              <w:spacing w:after="0"/>
              <w:rPr>
                <w:sz w:val="20"/>
                <w:szCs w:val="20"/>
                <w:color w:val="auto"/>
              </w:rPr>
            </w:pPr>
            <w:r>
              <w:rPr>
                <w:rFonts w:ascii="Arial" w:cs="Arial" w:eastAsia="Arial" w:hAnsi="Arial"/>
                <w:sz w:val="14"/>
                <w:szCs w:val="14"/>
                <w:color w:val="auto"/>
              </w:rPr>
              <w:t>Issuance of common stock due to acquisitions</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38,647</w:t>
            </w:r>
          </w:p>
        </w:tc>
        <w:tc>
          <w:tcPr>
            <w:tcW w:w="100" w:type="dxa"/>
            <w:vAlign w:val="bottom"/>
          </w:tcPr>
          <w:p>
            <w:pPr>
              <w:spacing w:after="0"/>
              <w:rPr>
                <w:sz w:val="22"/>
                <w:szCs w:val="22"/>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1,122</w:t>
            </w:r>
          </w:p>
        </w:tc>
        <w:tc>
          <w:tcPr>
            <w:tcW w:w="0" w:type="dxa"/>
            <w:vAlign w:val="bottom"/>
          </w:tcPr>
          <w:p>
            <w:pPr>
              <w:spacing w:after="0"/>
              <w:rPr>
                <w:sz w:val="1"/>
                <w:szCs w:val="1"/>
                <w:color w:val="auto"/>
              </w:rPr>
            </w:pPr>
          </w:p>
        </w:tc>
      </w:tr>
      <w:tr>
        <w:trPr>
          <w:trHeight w:val="276"/>
        </w:trPr>
        <w:tc>
          <w:tcPr>
            <w:tcW w:w="85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Deferred consideration</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24,000</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8580" w:type="dxa"/>
            <w:vAlign w:val="bottom"/>
          </w:tcPr>
          <w:p>
            <w:pPr>
              <w:ind w:left="380"/>
              <w:spacing w:after="0"/>
              <w:rPr>
                <w:sz w:val="20"/>
                <w:szCs w:val="20"/>
                <w:color w:val="auto"/>
              </w:rPr>
            </w:pPr>
            <w:r>
              <w:rPr>
                <w:rFonts w:ascii="Arial" w:cs="Arial" w:eastAsia="Arial" w:hAnsi="Arial"/>
                <w:sz w:val="14"/>
                <w:szCs w:val="14"/>
                <w:color w:val="auto"/>
              </w:rPr>
              <w:t>Stock issued for additional investment in subsidiary</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7,981</w:t>
            </w:r>
          </w:p>
        </w:tc>
        <w:tc>
          <w:tcPr>
            <w:tcW w:w="100" w:type="dxa"/>
            <w:vAlign w:val="bottom"/>
          </w:tcPr>
          <w:p>
            <w:pPr>
              <w:spacing w:after="0"/>
              <w:rPr>
                <w:sz w:val="22"/>
                <w:szCs w:val="22"/>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85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Accrued additions to property and equipment</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2,100</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367</w:t>
            </w:r>
          </w:p>
        </w:tc>
        <w:tc>
          <w:tcPr>
            <w:tcW w:w="0" w:type="dxa"/>
            <w:vAlign w:val="bottom"/>
          </w:tcPr>
          <w:p>
            <w:pPr>
              <w:spacing w:after="0"/>
              <w:rPr>
                <w:sz w:val="1"/>
                <w:szCs w:val="1"/>
                <w:color w:val="auto"/>
              </w:rPr>
            </w:pPr>
          </w:p>
        </w:tc>
      </w:tr>
    </w:tbl>
    <w:p>
      <w:pPr>
        <w:spacing w:after="0" w:line="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interim condensed consolidated financial statements.</w:t>
      </w:r>
    </w:p>
    <w:p>
      <w:pPr>
        <w:sectPr>
          <w:pgSz w:w="11900" w:h="16838" w:orient="portrait"/>
          <w:cols w:equalWidth="0" w:num="1">
            <w:col w:w="11420"/>
          </w:cols>
          <w:pgMar w:left="240" w:top="121" w:right="239" w:bottom="1440" w:gutter="0" w:footer="0" w:header="0"/>
        </w:sect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1" w:right="239" w:bottom="1440" w:gutter="0" w:footer="0" w:header="0"/>
          <w:type w:val="continuous"/>
        </w:sectPr>
      </w:pPr>
    </w:p>
    <w:bookmarkStart w:id="6" w:name="page7"/>
    <w:bookmarkEnd w:id="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EZCORP,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STOCKHOLDERS' EQUITY</w:t>
      </w:r>
    </w:p>
    <w:tbl>
      <w:tblPr>
        <w:tblLayout w:type="fixed"/>
        <w:tblInd w:w="0" w:type="dxa"/>
        <w:tblCellMar>
          <w:top w:w="0" w:type="dxa"/>
          <w:left w:w="0" w:type="dxa"/>
          <w:bottom w:w="0" w:type="dxa"/>
          <w:right w:w="0" w:type="dxa"/>
        </w:tblCellMar>
      </w:tblPr>
      <w:tr>
        <w:trPr>
          <w:trHeight w:val="154"/>
        </w:trPr>
        <w:tc>
          <w:tcPr>
            <w:tcW w:w="4800" w:type="dxa"/>
            <w:vAlign w:val="bottom"/>
          </w:tcPr>
          <w:p>
            <w:pPr>
              <w:spacing w:after="0"/>
              <w:rPr>
                <w:sz w:val="13"/>
                <w:szCs w:val="13"/>
                <w:color w:val="auto"/>
              </w:rPr>
            </w:pPr>
          </w:p>
        </w:tc>
        <w:tc>
          <w:tcPr>
            <w:tcW w:w="1760" w:type="dxa"/>
            <w:vAlign w:val="bottom"/>
            <w:gridSpan w:val="4"/>
            <w:vMerge w:val="restart"/>
          </w:tcPr>
          <w:p>
            <w:pPr>
              <w:jc w:val="right"/>
              <w:ind w:right="327"/>
              <w:spacing w:after="0"/>
              <w:rPr>
                <w:sz w:val="20"/>
                <w:szCs w:val="20"/>
                <w:color w:val="auto"/>
              </w:rPr>
            </w:pPr>
            <w:r>
              <w:rPr>
                <w:rFonts w:ascii="Arial" w:cs="Arial" w:eastAsia="Arial" w:hAnsi="Arial"/>
                <w:sz w:val="14"/>
                <w:szCs w:val="14"/>
                <w:b w:val="1"/>
                <w:bCs w:val="1"/>
                <w:color w:val="auto"/>
              </w:rPr>
              <w:t>Common Stock</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9"/>
              </w:rPr>
              <w:t>Additional</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220"/>
              <w:spacing w:after="0" w:line="154" w:lineRule="exact"/>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3"/>
                <w:szCs w:val="13"/>
                <w:color w:val="auto"/>
              </w:rPr>
            </w:pPr>
          </w:p>
        </w:tc>
        <w:tc>
          <w:tcPr>
            <w:tcW w:w="100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3"/>
        </w:trPr>
        <w:tc>
          <w:tcPr>
            <w:tcW w:w="4800" w:type="dxa"/>
            <w:vAlign w:val="bottom"/>
          </w:tcPr>
          <w:p>
            <w:pPr>
              <w:spacing w:after="0"/>
              <w:rPr>
                <w:sz w:val="13"/>
                <w:szCs w:val="13"/>
                <w:color w:val="auto"/>
              </w:rPr>
            </w:pPr>
          </w:p>
        </w:tc>
        <w:tc>
          <w:tcPr>
            <w:tcW w:w="1760" w:type="dxa"/>
            <w:vAlign w:val="bottom"/>
            <w:tcBorders>
              <w:bottom w:val="single" w:sz="8" w:color="auto"/>
            </w:tcBorders>
            <w:gridSpan w:val="4"/>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4800" w:type="dxa"/>
            <w:vAlign w:val="bottom"/>
          </w:tcPr>
          <w:p>
            <w:pPr>
              <w:spacing w:after="0"/>
              <w:rPr>
                <w:sz w:val="10"/>
                <w:szCs w:val="10"/>
                <w:color w:val="auto"/>
              </w:rPr>
            </w:pPr>
          </w:p>
        </w:tc>
        <w:tc>
          <w:tcPr>
            <w:tcW w:w="9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0"/>
                <w:szCs w:val="10"/>
                <w:color w:val="auto"/>
              </w:rPr>
            </w:pPr>
          </w:p>
        </w:tc>
        <w:tc>
          <w:tcPr>
            <w:tcW w:w="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Par Value</w:t>
            </w:r>
          </w:p>
        </w:tc>
        <w:tc>
          <w:tcPr>
            <w:tcW w:w="140" w:type="dxa"/>
            <w:vAlign w:val="bottom"/>
          </w:tcPr>
          <w:p>
            <w:pPr>
              <w:spacing w:after="0"/>
              <w:rPr>
                <w:sz w:val="10"/>
                <w:szCs w:val="10"/>
                <w:color w:val="auto"/>
              </w:rPr>
            </w:pPr>
          </w:p>
        </w:tc>
        <w:tc>
          <w:tcPr>
            <w:tcW w:w="860" w:type="dxa"/>
            <w:vAlign w:val="bottom"/>
          </w:tcPr>
          <w:p>
            <w:pPr>
              <w:jc w:val="right"/>
              <w:ind w:right="188"/>
              <w:spacing w:after="0" w:line="119" w:lineRule="exact"/>
              <w:rPr>
                <w:sz w:val="20"/>
                <w:szCs w:val="20"/>
                <w:color w:val="auto"/>
              </w:rPr>
            </w:pPr>
            <w:r>
              <w:rPr>
                <w:rFonts w:ascii="Arial" w:cs="Arial" w:eastAsia="Arial" w:hAnsi="Arial"/>
                <w:sz w:val="13"/>
                <w:szCs w:val="13"/>
                <w:b w:val="1"/>
                <w:bCs w:val="1"/>
                <w:color w:val="auto"/>
              </w:rPr>
              <w:t>Paid In</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gridSpan w:val="2"/>
          </w:tcPr>
          <w:p>
            <w:pPr>
              <w:ind w:left="60"/>
              <w:spacing w:after="0" w:line="119" w:lineRule="exact"/>
              <w:rPr>
                <w:sz w:val="20"/>
                <w:szCs w:val="20"/>
                <w:color w:val="auto"/>
              </w:rPr>
            </w:pPr>
            <w:r>
              <w:rPr>
                <w:rFonts w:ascii="Arial" w:cs="Arial" w:eastAsia="Arial" w:hAnsi="Arial"/>
                <w:sz w:val="13"/>
                <w:szCs w:val="13"/>
                <w:b w:val="1"/>
                <w:bCs w:val="1"/>
                <w:color w:val="auto"/>
              </w:rPr>
              <w:t>Retained</w:t>
            </w:r>
          </w:p>
        </w:tc>
        <w:tc>
          <w:tcPr>
            <w:tcW w:w="120" w:type="dxa"/>
            <w:vAlign w:val="bottom"/>
          </w:tcPr>
          <w:p>
            <w:pPr>
              <w:spacing w:after="0"/>
              <w:rPr>
                <w:sz w:val="10"/>
                <w:szCs w:val="10"/>
                <w:color w:val="auto"/>
              </w:rPr>
            </w:pPr>
          </w:p>
        </w:tc>
        <w:tc>
          <w:tcPr>
            <w:tcW w:w="124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6"/>
              </w:rPr>
              <w:t>Comprehensive</w:t>
            </w:r>
          </w:p>
        </w:tc>
        <w:tc>
          <w:tcPr>
            <w:tcW w:w="120" w:type="dxa"/>
            <w:vAlign w:val="bottom"/>
          </w:tcPr>
          <w:p>
            <w:pPr>
              <w:spacing w:after="0"/>
              <w:rPr>
                <w:sz w:val="10"/>
                <w:szCs w:val="10"/>
                <w:color w:val="auto"/>
              </w:rPr>
            </w:pPr>
          </w:p>
        </w:tc>
        <w:tc>
          <w:tcPr>
            <w:tcW w:w="1000" w:type="dxa"/>
            <w:vAlign w:val="bottom"/>
          </w:tcPr>
          <w:p>
            <w:pPr>
              <w:jc w:val="center"/>
              <w:ind w:right="48"/>
              <w:spacing w:after="0" w:line="119" w:lineRule="exact"/>
              <w:rPr>
                <w:sz w:val="20"/>
                <w:szCs w:val="20"/>
                <w:color w:val="auto"/>
              </w:rPr>
            </w:pPr>
            <w:r>
              <w:rPr>
                <w:rFonts w:ascii="Arial" w:cs="Arial" w:eastAsia="Arial" w:hAnsi="Arial"/>
                <w:sz w:val="13"/>
                <w:szCs w:val="13"/>
                <w:b w:val="1"/>
                <w:bCs w:val="1"/>
                <w:color w:val="auto"/>
                <w:w w:val="97"/>
              </w:rPr>
              <w:t>Stockholders’</w:t>
            </w:r>
          </w:p>
        </w:tc>
        <w:tc>
          <w:tcPr>
            <w:tcW w:w="0" w:type="dxa"/>
            <w:vAlign w:val="bottom"/>
          </w:tcPr>
          <w:p>
            <w:pPr>
              <w:spacing w:after="0"/>
              <w:rPr>
                <w:sz w:val="1"/>
                <w:szCs w:val="1"/>
                <w:color w:val="auto"/>
              </w:rPr>
            </w:pPr>
          </w:p>
        </w:tc>
      </w:tr>
      <w:tr>
        <w:trPr>
          <w:trHeight w:val="192"/>
        </w:trPr>
        <w:tc>
          <w:tcPr>
            <w:tcW w:w="4800" w:type="dxa"/>
            <w:vAlign w:val="bottom"/>
          </w:tcPr>
          <w:p>
            <w:pPr>
              <w:spacing w:after="0"/>
              <w:rPr>
                <w:sz w:val="16"/>
                <w:szCs w:val="16"/>
                <w:color w:val="auto"/>
              </w:rPr>
            </w:pPr>
          </w:p>
        </w:tc>
        <w:tc>
          <w:tcPr>
            <w:tcW w:w="9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Capital</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3"/>
              </w:rPr>
              <w:t>Income</w:t>
            </w: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96"/>
        </w:trPr>
        <w:tc>
          <w:tcPr>
            <w:tcW w:w="480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4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Balances at September 30, 2011</w:t>
            </w:r>
          </w:p>
        </w:tc>
        <w:tc>
          <w:tcPr>
            <w:tcW w:w="82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50,199</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501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242,398</w:t>
            </w:r>
          </w:p>
        </w:tc>
        <w:tc>
          <w:tcPr>
            <w:tcW w:w="3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422,095</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(746)</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664,248</w:t>
            </w:r>
          </w:p>
        </w:tc>
        <w:tc>
          <w:tcPr>
            <w:tcW w:w="0" w:type="dxa"/>
            <w:vAlign w:val="bottom"/>
          </w:tcPr>
          <w:p>
            <w:pPr>
              <w:spacing w:after="0"/>
              <w:rPr>
                <w:sz w:val="1"/>
                <w:szCs w:val="1"/>
                <w:color w:val="auto"/>
              </w:rPr>
            </w:pPr>
          </w:p>
        </w:tc>
      </w:tr>
      <w:tr>
        <w:trPr>
          <w:trHeight w:val="264"/>
        </w:trPr>
        <w:tc>
          <w:tcPr>
            <w:tcW w:w="4800" w:type="dxa"/>
            <w:vAlign w:val="bottom"/>
          </w:tcPr>
          <w:p>
            <w:pPr>
              <w:ind w:left="380"/>
              <w:spacing w:after="0"/>
              <w:rPr>
                <w:sz w:val="20"/>
                <w:szCs w:val="20"/>
                <w:color w:val="auto"/>
              </w:rPr>
            </w:pPr>
            <w:r>
              <w:rPr>
                <w:rFonts w:ascii="Arial" w:cs="Arial" w:eastAsia="Arial" w:hAnsi="Arial"/>
                <w:sz w:val="14"/>
                <w:szCs w:val="14"/>
                <w:color w:val="auto"/>
              </w:rPr>
              <w:t>Stock compensation</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1,513</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1,513</w:t>
            </w:r>
          </w:p>
        </w:tc>
        <w:tc>
          <w:tcPr>
            <w:tcW w:w="0" w:type="dxa"/>
            <w:vAlign w:val="bottom"/>
          </w:tcPr>
          <w:p>
            <w:pPr>
              <w:spacing w:after="0"/>
              <w:rPr>
                <w:sz w:val="1"/>
                <w:szCs w:val="1"/>
                <w:color w:val="auto"/>
              </w:rPr>
            </w:pPr>
          </w:p>
        </w:tc>
      </w:tr>
      <w:tr>
        <w:trPr>
          <w:trHeight w:val="276"/>
        </w:trPr>
        <w:tc>
          <w:tcPr>
            <w:tcW w:w="48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Issuance of common stock due to acquisitions</w:t>
            </w:r>
          </w:p>
        </w:tc>
        <w:tc>
          <w:tcPr>
            <w:tcW w:w="82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38</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536</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538</w:t>
            </w:r>
          </w:p>
        </w:tc>
        <w:tc>
          <w:tcPr>
            <w:tcW w:w="0" w:type="dxa"/>
            <w:vAlign w:val="bottom"/>
          </w:tcPr>
          <w:p>
            <w:pPr>
              <w:spacing w:after="0"/>
              <w:rPr>
                <w:sz w:val="1"/>
                <w:szCs w:val="1"/>
                <w:color w:val="auto"/>
              </w:rPr>
            </w:pPr>
          </w:p>
        </w:tc>
      </w:tr>
      <w:tr>
        <w:trPr>
          <w:trHeight w:val="264"/>
        </w:trPr>
        <w:tc>
          <w:tcPr>
            <w:tcW w:w="4800" w:type="dxa"/>
            <w:vAlign w:val="bottom"/>
          </w:tcPr>
          <w:p>
            <w:pPr>
              <w:ind w:left="380"/>
              <w:spacing w:after="0"/>
              <w:rPr>
                <w:sz w:val="20"/>
                <w:szCs w:val="20"/>
                <w:color w:val="auto"/>
              </w:rPr>
            </w:pPr>
            <w:r>
              <w:rPr>
                <w:rFonts w:ascii="Arial" w:cs="Arial" w:eastAsia="Arial" w:hAnsi="Arial"/>
                <w:sz w:val="14"/>
                <w:szCs w:val="14"/>
                <w:color w:val="auto"/>
              </w:rPr>
              <w:t>Release of restricted stock</w:t>
            </w:r>
          </w:p>
        </w:tc>
        <w:tc>
          <w:tcPr>
            <w:tcW w:w="820" w:type="dxa"/>
            <w:vAlign w:val="bottom"/>
          </w:tcPr>
          <w:p>
            <w:pPr>
              <w:jc w:val="right"/>
              <w:ind w:right="47"/>
              <w:spacing w:after="0"/>
              <w:rPr>
                <w:sz w:val="20"/>
                <w:szCs w:val="20"/>
                <w:color w:val="auto"/>
              </w:rPr>
            </w:pPr>
            <w:r>
              <w:rPr>
                <w:rFonts w:ascii="Arial" w:cs="Arial" w:eastAsia="Arial" w:hAnsi="Arial"/>
                <w:sz w:val="14"/>
                <w:szCs w:val="14"/>
                <w:color w:val="auto"/>
              </w:rPr>
              <w:t>142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7"/>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76"/>
        </w:trPr>
        <w:tc>
          <w:tcPr>
            <w:tcW w:w="48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Excess tax benefit from stock compensation</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460</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460</w:t>
            </w:r>
          </w:p>
        </w:tc>
        <w:tc>
          <w:tcPr>
            <w:tcW w:w="0" w:type="dxa"/>
            <w:vAlign w:val="bottom"/>
          </w:tcPr>
          <w:p>
            <w:pPr>
              <w:spacing w:after="0"/>
              <w:rPr>
                <w:sz w:val="1"/>
                <w:szCs w:val="1"/>
                <w:color w:val="auto"/>
              </w:rPr>
            </w:pPr>
          </w:p>
        </w:tc>
      </w:tr>
      <w:tr>
        <w:trPr>
          <w:trHeight w:val="264"/>
        </w:trPr>
        <w:tc>
          <w:tcPr>
            <w:tcW w:w="4800" w:type="dxa"/>
            <w:vAlign w:val="bottom"/>
          </w:tcPr>
          <w:p>
            <w:pPr>
              <w:ind w:left="380"/>
              <w:spacing w:after="0"/>
              <w:rPr>
                <w:sz w:val="20"/>
                <w:szCs w:val="20"/>
                <w:color w:val="auto"/>
              </w:rPr>
            </w:pPr>
            <w:r>
              <w:rPr>
                <w:rFonts w:ascii="Arial" w:cs="Arial" w:eastAsia="Arial" w:hAnsi="Arial"/>
                <w:sz w:val="14"/>
                <w:szCs w:val="14"/>
                <w:color w:val="auto"/>
              </w:rPr>
              <w:t>Taxes paid related to net share settlement of equity awards</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(988)</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(988)</w:t>
            </w:r>
          </w:p>
        </w:tc>
        <w:tc>
          <w:tcPr>
            <w:tcW w:w="0" w:type="dxa"/>
            <w:vAlign w:val="bottom"/>
          </w:tcPr>
          <w:p>
            <w:pPr>
              <w:spacing w:after="0"/>
              <w:rPr>
                <w:sz w:val="1"/>
                <w:szCs w:val="1"/>
                <w:color w:val="auto"/>
              </w:rPr>
            </w:pPr>
          </w:p>
        </w:tc>
      </w:tr>
      <w:tr>
        <w:trPr>
          <w:trHeight w:val="276"/>
        </w:trPr>
        <w:tc>
          <w:tcPr>
            <w:tcW w:w="48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Unrealized loss on available-for-sale securities</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(364)</w:t>
            </w:r>
          </w:p>
        </w:tc>
        <w:tc>
          <w:tcPr>
            <w:tcW w:w="0" w:type="dxa"/>
            <w:vAlign w:val="bottom"/>
          </w:tcPr>
          <w:p>
            <w:pPr>
              <w:spacing w:after="0"/>
              <w:rPr>
                <w:sz w:val="1"/>
                <w:szCs w:val="1"/>
                <w:color w:val="auto"/>
              </w:rPr>
            </w:pPr>
          </w:p>
        </w:tc>
      </w:tr>
      <w:tr>
        <w:trPr>
          <w:trHeight w:val="264"/>
        </w:trPr>
        <w:tc>
          <w:tcPr>
            <w:tcW w:w="4800" w:type="dxa"/>
            <w:vAlign w:val="bottom"/>
          </w:tcPr>
          <w:p>
            <w:pPr>
              <w:ind w:left="380"/>
              <w:spacing w:after="0"/>
              <w:rPr>
                <w:sz w:val="20"/>
                <w:szCs w:val="20"/>
                <w:color w:val="auto"/>
              </w:rPr>
            </w:pPr>
            <w:r>
              <w:rPr>
                <w:rFonts w:ascii="Arial" w:cs="Arial" w:eastAsia="Arial" w:hAnsi="Arial"/>
                <w:sz w:val="14"/>
                <w:szCs w:val="14"/>
                <w:color w:val="auto"/>
              </w:rPr>
              <w:t>Foreign currency translation adjustment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(6,377)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(6,377)</w:t>
            </w:r>
          </w:p>
        </w:tc>
        <w:tc>
          <w:tcPr>
            <w:tcW w:w="0" w:type="dxa"/>
            <w:vAlign w:val="bottom"/>
          </w:tcPr>
          <w:p>
            <w:pPr>
              <w:spacing w:after="0"/>
              <w:rPr>
                <w:sz w:val="1"/>
                <w:szCs w:val="1"/>
                <w:color w:val="auto"/>
              </w:rPr>
            </w:pPr>
          </w:p>
        </w:tc>
      </w:tr>
      <w:tr>
        <w:trPr>
          <w:trHeight w:val="270"/>
        </w:trPr>
        <w:tc>
          <w:tcPr>
            <w:tcW w:w="48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Net income attributable to EZCORP, Inc.</w:t>
            </w:r>
          </w:p>
        </w:tc>
        <w:tc>
          <w:tcPr>
            <w:tcW w:w="82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39,352</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39,352</w:t>
            </w:r>
          </w:p>
        </w:tc>
        <w:tc>
          <w:tcPr>
            <w:tcW w:w="0" w:type="dxa"/>
            <w:vAlign w:val="bottom"/>
          </w:tcPr>
          <w:p>
            <w:pPr>
              <w:spacing w:after="0"/>
              <w:rPr>
                <w:sz w:val="1"/>
                <w:szCs w:val="1"/>
                <w:color w:val="auto"/>
              </w:rPr>
            </w:pPr>
          </w:p>
        </w:tc>
      </w:tr>
      <w:tr>
        <w:trPr>
          <w:trHeight w:val="283"/>
        </w:trPr>
        <w:tc>
          <w:tcPr>
            <w:tcW w:w="4800" w:type="dxa"/>
            <w:vAlign w:val="bottom"/>
          </w:tcPr>
          <w:p>
            <w:pPr>
              <w:ind w:left="40"/>
              <w:spacing w:after="0"/>
              <w:rPr>
                <w:sz w:val="20"/>
                <w:szCs w:val="20"/>
                <w:color w:val="auto"/>
              </w:rPr>
            </w:pPr>
            <w:r>
              <w:rPr>
                <w:rFonts w:ascii="Arial" w:cs="Arial" w:eastAsia="Arial" w:hAnsi="Arial"/>
                <w:sz w:val="14"/>
                <w:szCs w:val="14"/>
                <w:color w:val="auto"/>
              </w:rPr>
              <w:t>Balances at December 31, 2011</w:t>
            </w:r>
          </w:p>
        </w:tc>
        <w:tc>
          <w:tcPr>
            <w:tcW w:w="820" w:type="dxa"/>
            <w:vAlign w:val="bottom"/>
          </w:tcPr>
          <w:p>
            <w:pPr>
              <w:jc w:val="right"/>
              <w:ind w:right="47"/>
              <w:spacing w:after="0"/>
              <w:rPr>
                <w:sz w:val="20"/>
                <w:szCs w:val="20"/>
                <w:color w:val="auto"/>
              </w:rPr>
            </w:pPr>
            <w:r>
              <w:rPr>
                <w:rFonts w:ascii="Arial" w:cs="Arial" w:eastAsia="Arial" w:hAnsi="Arial"/>
                <w:sz w:val="14"/>
                <w:szCs w:val="14"/>
                <w:color w:val="auto"/>
              </w:rPr>
              <w:t>50,379</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7"/>
              <w:spacing w:after="0"/>
              <w:rPr>
                <w:sz w:val="20"/>
                <w:szCs w:val="20"/>
                <w:color w:val="auto"/>
              </w:rPr>
            </w:pPr>
            <w:r>
              <w:rPr>
                <w:rFonts w:ascii="Arial" w:cs="Arial" w:eastAsia="Arial" w:hAnsi="Arial"/>
                <w:sz w:val="14"/>
                <w:szCs w:val="14"/>
                <w:color w:val="auto"/>
              </w:rPr>
              <w:t>504</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243,919</w:t>
            </w:r>
          </w:p>
        </w:tc>
        <w:tc>
          <w:tcPr>
            <w:tcW w:w="32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461,447</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(7,487)</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698,383</w:t>
            </w:r>
          </w:p>
        </w:tc>
        <w:tc>
          <w:tcPr>
            <w:tcW w:w="0" w:type="dxa"/>
            <w:vAlign w:val="bottom"/>
          </w:tcPr>
          <w:p>
            <w:pPr>
              <w:spacing w:after="0"/>
              <w:rPr>
                <w:sz w:val="1"/>
                <w:szCs w:val="1"/>
                <w:color w:val="auto"/>
              </w:rPr>
            </w:pPr>
          </w:p>
        </w:tc>
      </w:tr>
      <w:tr>
        <w:trPr>
          <w:trHeight w:val="170"/>
        </w:trPr>
        <w:tc>
          <w:tcPr>
            <w:tcW w:w="480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4800" w:type="dxa"/>
            <w:vAlign w:val="bottom"/>
          </w:tcPr>
          <w:p>
            <w:pPr>
              <w:ind w:left="40"/>
              <w:spacing w:after="0"/>
              <w:rPr>
                <w:sz w:val="20"/>
                <w:szCs w:val="20"/>
                <w:color w:val="auto"/>
              </w:rPr>
            </w:pPr>
            <w:r>
              <w:rPr>
                <w:rFonts w:ascii="Arial" w:cs="Arial" w:eastAsia="Arial" w:hAnsi="Arial"/>
                <w:sz w:val="14"/>
                <w:szCs w:val="14"/>
                <w:color w:val="auto"/>
              </w:rPr>
              <w:t>Balances at September 30, 2012</w:t>
            </w:r>
          </w:p>
        </w:tc>
        <w:tc>
          <w:tcPr>
            <w:tcW w:w="820" w:type="dxa"/>
            <w:vAlign w:val="bottom"/>
          </w:tcPr>
          <w:p>
            <w:pPr>
              <w:jc w:val="right"/>
              <w:ind w:right="47"/>
              <w:spacing w:after="0"/>
              <w:rPr>
                <w:sz w:val="20"/>
                <w:szCs w:val="20"/>
                <w:color w:val="auto"/>
              </w:rPr>
            </w:pPr>
            <w:r>
              <w:rPr>
                <w:rFonts w:ascii="Arial" w:cs="Arial" w:eastAsia="Arial" w:hAnsi="Arial"/>
                <w:sz w:val="14"/>
                <w:szCs w:val="14"/>
                <w:color w:val="auto"/>
              </w:rPr>
              <w:t>51,226</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7"/>
              <w:spacing w:after="0"/>
              <w:rPr>
                <w:sz w:val="20"/>
                <w:szCs w:val="20"/>
                <w:color w:val="auto"/>
              </w:rPr>
            </w:pPr>
            <w:r>
              <w:rPr>
                <w:rFonts w:ascii="Arial" w:cs="Arial" w:eastAsia="Arial" w:hAnsi="Arial"/>
                <w:sz w:val="14"/>
                <w:szCs w:val="14"/>
                <w:color w:val="auto"/>
              </w:rPr>
              <w:t>512</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268,626</w:t>
            </w:r>
          </w:p>
        </w:tc>
        <w:tc>
          <w:tcPr>
            <w:tcW w:w="32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565,803</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(113)</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834,828</w:t>
            </w:r>
          </w:p>
        </w:tc>
        <w:tc>
          <w:tcPr>
            <w:tcW w:w="0" w:type="dxa"/>
            <w:vAlign w:val="bottom"/>
          </w:tcPr>
          <w:p>
            <w:pPr>
              <w:spacing w:after="0"/>
              <w:rPr>
                <w:sz w:val="1"/>
                <w:szCs w:val="1"/>
                <w:color w:val="auto"/>
              </w:rPr>
            </w:pPr>
          </w:p>
        </w:tc>
      </w:tr>
      <w:tr>
        <w:trPr>
          <w:trHeight w:val="276"/>
        </w:trPr>
        <w:tc>
          <w:tcPr>
            <w:tcW w:w="48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Stock compensation</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925</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925</w:t>
            </w:r>
          </w:p>
        </w:tc>
        <w:tc>
          <w:tcPr>
            <w:tcW w:w="0" w:type="dxa"/>
            <w:vAlign w:val="bottom"/>
          </w:tcPr>
          <w:p>
            <w:pPr>
              <w:spacing w:after="0"/>
              <w:rPr>
                <w:sz w:val="1"/>
                <w:szCs w:val="1"/>
                <w:color w:val="auto"/>
              </w:rPr>
            </w:pPr>
          </w:p>
        </w:tc>
      </w:tr>
      <w:tr>
        <w:trPr>
          <w:trHeight w:val="264"/>
        </w:trPr>
        <w:tc>
          <w:tcPr>
            <w:tcW w:w="4800" w:type="dxa"/>
            <w:vAlign w:val="bottom"/>
          </w:tcPr>
          <w:p>
            <w:pPr>
              <w:ind w:left="380"/>
              <w:spacing w:after="0"/>
              <w:rPr>
                <w:sz w:val="20"/>
                <w:szCs w:val="20"/>
                <w:color w:val="auto"/>
              </w:rPr>
            </w:pPr>
            <w:r>
              <w:rPr>
                <w:rFonts w:ascii="Arial" w:cs="Arial" w:eastAsia="Arial" w:hAnsi="Arial"/>
                <w:sz w:val="14"/>
                <w:szCs w:val="14"/>
                <w:color w:val="auto"/>
              </w:rPr>
              <w:t>Issuance of common stock due to acquisitions</w:t>
            </w:r>
          </w:p>
        </w:tc>
        <w:tc>
          <w:tcPr>
            <w:tcW w:w="820" w:type="dxa"/>
            <w:vAlign w:val="bottom"/>
          </w:tcPr>
          <w:p>
            <w:pPr>
              <w:jc w:val="right"/>
              <w:ind w:right="47"/>
              <w:spacing w:after="0"/>
              <w:rPr>
                <w:sz w:val="20"/>
                <w:szCs w:val="20"/>
                <w:color w:val="auto"/>
              </w:rPr>
            </w:pPr>
            <w:r>
              <w:rPr>
                <w:rFonts w:ascii="Arial" w:cs="Arial" w:eastAsia="Arial" w:hAnsi="Arial"/>
                <w:sz w:val="14"/>
                <w:szCs w:val="14"/>
                <w:color w:val="auto"/>
              </w:rPr>
              <w:t>1,965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7"/>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38,627</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38,647</w:t>
            </w:r>
          </w:p>
        </w:tc>
        <w:tc>
          <w:tcPr>
            <w:tcW w:w="0" w:type="dxa"/>
            <w:vAlign w:val="bottom"/>
          </w:tcPr>
          <w:p>
            <w:pPr>
              <w:spacing w:after="0"/>
              <w:rPr>
                <w:sz w:val="1"/>
                <w:szCs w:val="1"/>
                <w:color w:val="auto"/>
              </w:rPr>
            </w:pPr>
          </w:p>
        </w:tc>
      </w:tr>
      <w:tr>
        <w:trPr>
          <w:trHeight w:val="163"/>
        </w:trPr>
        <w:tc>
          <w:tcPr>
            <w:tcW w:w="48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Issuance of common stock due to purchase of subsidiary shares from</w:t>
            </w: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8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noncontrolling interest</w:t>
            </w:r>
          </w:p>
        </w:tc>
        <w:tc>
          <w:tcPr>
            <w:tcW w:w="82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592</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10,398</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10,404</w:t>
            </w:r>
          </w:p>
        </w:tc>
        <w:tc>
          <w:tcPr>
            <w:tcW w:w="0" w:type="dxa"/>
            <w:vAlign w:val="bottom"/>
          </w:tcPr>
          <w:p>
            <w:pPr>
              <w:spacing w:after="0"/>
              <w:rPr>
                <w:sz w:val="1"/>
                <w:szCs w:val="1"/>
                <w:color w:val="auto"/>
              </w:rPr>
            </w:pPr>
          </w:p>
        </w:tc>
      </w:tr>
      <w:tr>
        <w:trPr>
          <w:trHeight w:val="264"/>
        </w:trPr>
        <w:tc>
          <w:tcPr>
            <w:tcW w:w="4800" w:type="dxa"/>
            <w:vAlign w:val="bottom"/>
          </w:tcPr>
          <w:p>
            <w:pPr>
              <w:ind w:left="380"/>
              <w:spacing w:after="0"/>
              <w:rPr>
                <w:sz w:val="20"/>
                <w:szCs w:val="20"/>
                <w:color w:val="auto"/>
              </w:rPr>
            </w:pPr>
            <w:r>
              <w:rPr>
                <w:rFonts w:ascii="Arial" w:cs="Arial" w:eastAsia="Arial" w:hAnsi="Arial"/>
                <w:sz w:val="14"/>
                <w:szCs w:val="14"/>
                <w:color w:val="auto"/>
              </w:rPr>
              <w:t>Purchase of subsidiary shares from noncontrolling interest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(2,423)</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85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(2,338)</w:t>
            </w:r>
          </w:p>
        </w:tc>
        <w:tc>
          <w:tcPr>
            <w:tcW w:w="0" w:type="dxa"/>
            <w:vAlign w:val="bottom"/>
          </w:tcPr>
          <w:p>
            <w:pPr>
              <w:spacing w:after="0"/>
              <w:rPr>
                <w:sz w:val="1"/>
                <w:szCs w:val="1"/>
                <w:color w:val="auto"/>
              </w:rPr>
            </w:pPr>
          </w:p>
        </w:tc>
      </w:tr>
      <w:tr>
        <w:trPr>
          <w:trHeight w:val="276"/>
        </w:trPr>
        <w:tc>
          <w:tcPr>
            <w:tcW w:w="48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Release of restricted stock</w:t>
            </w:r>
          </w:p>
        </w:tc>
        <w:tc>
          <w:tcPr>
            <w:tcW w:w="82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384</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800" w:type="dxa"/>
            <w:vAlign w:val="bottom"/>
          </w:tcPr>
          <w:p>
            <w:pPr>
              <w:ind w:left="380"/>
              <w:spacing w:after="0"/>
              <w:rPr>
                <w:sz w:val="20"/>
                <w:szCs w:val="20"/>
                <w:color w:val="auto"/>
              </w:rPr>
            </w:pPr>
            <w:r>
              <w:rPr>
                <w:rFonts w:ascii="Arial" w:cs="Arial" w:eastAsia="Arial" w:hAnsi="Arial"/>
                <w:sz w:val="14"/>
                <w:szCs w:val="14"/>
                <w:color w:val="auto"/>
              </w:rPr>
              <w:t>Excess tax benefit from stock compensation</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346</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346</w:t>
            </w:r>
          </w:p>
        </w:tc>
        <w:tc>
          <w:tcPr>
            <w:tcW w:w="0" w:type="dxa"/>
            <w:vAlign w:val="bottom"/>
          </w:tcPr>
          <w:p>
            <w:pPr>
              <w:spacing w:after="0"/>
              <w:rPr>
                <w:sz w:val="1"/>
                <w:szCs w:val="1"/>
                <w:color w:val="auto"/>
              </w:rPr>
            </w:pPr>
          </w:p>
        </w:tc>
      </w:tr>
      <w:tr>
        <w:trPr>
          <w:trHeight w:val="276"/>
        </w:trPr>
        <w:tc>
          <w:tcPr>
            <w:tcW w:w="48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Taxes paid related to net share settlement of equity awards</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(3,431)</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(3,431)</w:t>
            </w:r>
          </w:p>
        </w:tc>
        <w:tc>
          <w:tcPr>
            <w:tcW w:w="0" w:type="dxa"/>
            <w:vAlign w:val="bottom"/>
          </w:tcPr>
          <w:p>
            <w:pPr>
              <w:spacing w:after="0"/>
              <w:rPr>
                <w:sz w:val="1"/>
                <w:szCs w:val="1"/>
                <w:color w:val="auto"/>
              </w:rPr>
            </w:pPr>
          </w:p>
        </w:tc>
      </w:tr>
      <w:tr>
        <w:trPr>
          <w:trHeight w:val="264"/>
        </w:trPr>
        <w:tc>
          <w:tcPr>
            <w:tcW w:w="4800" w:type="dxa"/>
            <w:vAlign w:val="bottom"/>
          </w:tcPr>
          <w:p>
            <w:pPr>
              <w:ind w:left="380"/>
              <w:spacing w:after="0"/>
              <w:rPr>
                <w:sz w:val="20"/>
                <w:szCs w:val="20"/>
                <w:color w:val="auto"/>
              </w:rPr>
            </w:pPr>
            <w:r>
              <w:rPr>
                <w:rFonts w:ascii="Arial" w:cs="Arial" w:eastAsia="Arial" w:hAnsi="Arial"/>
                <w:sz w:val="14"/>
                <w:szCs w:val="14"/>
                <w:color w:val="auto"/>
              </w:rPr>
              <w:t>Unrealized loss on available-for-sale securities</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276"/>
        </w:trPr>
        <w:tc>
          <w:tcPr>
            <w:tcW w:w="48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Foreign currency translation adjustment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2,039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2,039</w:t>
            </w:r>
          </w:p>
        </w:tc>
        <w:tc>
          <w:tcPr>
            <w:tcW w:w="0" w:type="dxa"/>
            <w:vAlign w:val="bottom"/>
          </w:tcPr>
          <w:p>
            <w:pPr>
              <w:spacing w:after="0"/>
              <w:rPr>
                <w:sz w:val="1"/>
                <w:szCs w:val="1"/>
                <w:color w:val="auto"/>
              </w:rPr>
            </w:pPr>
          </w:p>
        </w:tc>
      </w:tr>
      <w:tr>
        <w:trPr>
          <w:trHeight w:val="264"/>
        </w:trPr>
        <w:tc>
          <w:tcPr>
            <w:tcW w:w="480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Net income attributable to EZCORP, Inc.</w:t>
            </w:r>
          </w:p>
        </w:tc>
        <w:tc>
          <w:tcPr>
            <w:tcW w:w="82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30,717</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30,717</w:t>
            </w:r>
          </w:p>
        </w:tc>
        <w:tc>
          <w:tcPr>
            <w:tcW w:w="0" w:type="dxa"/>
            <w:vAlign w:val="bottom"/>
          </w:tcPr>
          <w:p>
            <w:pPr>
              <w:spacing w:after="0"/>
              <w:rPr>
                <w:sz w:val="1"/>
                <w:szCs w:val="1"/>
                <w:color w:val="auto"/>
              </w:rPr>
            </w:pPr>
          </w:p>
        </w:tc>
      </w:tr>
      <w:tr>
        <w:trPr>
          <w:trHeight w:val="243"/>
        </w:trPr>
        <w:tc>
          <w:tcPr>
            <w:tcW w:w="4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Balances at December 31, 2012</w:t>
            </w:r>
          </w:p>
        </w:tc>
        <w:tc>
          <w:tcPr>
            <w:tcW w:w="82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54,167</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538</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313,068</w:t>
            </w:r>
          </w:p>
        </w:tc>
        <w:tc>
          <w:tcPr>
            <w:tcW w:w="3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596,520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1,983</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912,109</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interim condensed consolidated financial statements.</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EZCORP, I</w:t>
      </w:r>
      <w:r>
        <w:rPr>
          <w:rFonts w:ascii="Arial" w:cs="Arial" w:eastAsia="Arial" w:hAnsi="Arial"/>
          <w:sz w:val="14"/>
          <w:szCs w:val="14"/>
          <w:b w:val="1"/>
          <w:bCs w:val="1"/>
          <w:color w:val="auto"/>
        </w:rPr>
        <w:t>NC</w:t>
      </w:r>
      <w:r>
        <w:rPr>
          <w:rFonts w:ascii="Arial" w:cs="Arial" w:eastAsia="Arial" w:hAnsi="Arial"/>
          <w:sz w:val="18"/>
          <w:szCs w:val="18"/>
          <w:b w:val="1"/>
          <w:bCs w:val="1"/>
          <w:color w:val="auto"/>
        </w:rPr>
        <w:t xml:space="preserve">. </w:t>
      </w:r>
      <w:r>
        <w:rPr>
          <w:rFonts w:ascii="Arial" w:cs="Arial" w:eastAsia="Arial" w:hAnsi="Arial"/>
          <w:sz w:val="14"/>
          <w:szCs w:val="14"/>
          <w:b w:val="1"/>
          <w:bCs w:val="1"/>
          <w:color w:val="auto"/>
        </w:rPr>
        <w:t>AND</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Interim Condensed Consolidated Financial Statements (Unaudited)</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2012</w:t>
      </w:r>
    </w:p>
    <w:p>
      <w:pPr>
        <w:spacing w:after="0" w:line="207" w:lineRule="exact"/>
        <w:rPr>
          <w:sz w:val="20"/>
          <w:szCs w:val="20"/>
          <w:color w:val="auto"/>
        </w:rPr>
      </w:pPr>
    </w:p>
    <w:p>
      <w:pPr>
        <w:ind w:right="4040"/>
        <w:spacing w:after="0" w:line="346" w:lineRule="auto"/>
        <w:rPr>
          <w:sz w:val="20"/>
          <w:szCs w:val="20"/>
          <w:color w:val="auto"/>
        </w:rPr>
      </w:pPr>
      <w:r>
        <w:rPr>
          <w:rFonts w:ascii="Arial" w:cs="Arial" w:eastAsia="Arial" w:hAnsi="Arial"/>
          <w:sz w:val="18"/>
          <w:szCs w:val="18"/>
          <w:b w:val="1"/>
          <w:bCs w:val="1"/>
          <w:color w:val="auto"/>
        </w:rPr>
        <w:t xml:space="preserve">NOTE 1: ORGANIZATION AND SUMMARY OF SIGNIFICANT ACCOUNTING POLICIES </w:t>
      </w:r>
      <w:r>
        <w:rPr>
          <w:rFonts w:ascii="Arial" w:cs="Arial" w:eastAsia="Arial" w:hAnsi="Arial"/>
          <w:sz w:val="18"/>
          <w:szCs w:val="18"/>
          <w:b w:val="1"/>
          <w:bCs w:val="1"/>
          <w:u w:val="single" w:color="auto"/>
          <w:color w:val="auto"/>
        </w:rPr>
        <w:t>Basis of Presentation</w:t>
      </w:r>
    </w:p>
    <w:p>
      <w:pPr>
        <w:spacing w:after="0" w:line="1"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The accompanying unaudited interim condensed consolidated financial statements have been prepared in accordance with generally accepted accounting principles for interim financial information and with the instructions to Form 10-Q and Article 10 of Regulation S-X. Accordingly, they do not include all the information and footnotes required by generally accepted accounting principles for complete financial statements. Our management has included all adjustments it considers necessary for a fair presentation. These adjustments are of a normal, recurring nature except for those related to acquired businesses (described in Note 2). The accompanying financial statements should be read with the Consolidated Financial Statements included in our Annual Report on Form 10-K for the year ended September 30, 2012. The balance sheet at September 30, 2012 has been derived from the audited financial statements at that date but does not include all of the information and footnotes required by generally accepted accounting principles for complete financial statements. Our business is subject to seasonal variations, and operating results for the three months ended December 31, 2012 (the “current quarter”) are not necessarily indicative of the results of operations for the full fiscal year. Certain prior period balances have been reclassified to conform to the current presentation.</w:t>
      </w:r>
    </w:p>
    <w:p>
      <w:pPr>
        <w:spacing w:after="0" w:line="113" w:lineRule="exact"/>
        <w:rPr>
          <w:sz w:val="20"/>
          <w:szCs w:val="20"/>
          <w:color w:val="auto"/>
        </w:rPr>
      </w:pPr>
    </w:p>
    <w:p>
      <w:pPr>
        <w:jc w:val="both"/>
        <w:ind w:right="120"/>
        <w:spacing w:after="0" w:line="288" w:lineRule="auto"/>
        <w:rPr>
          <w:sz w:val="20"/>
          <w:szCs w:val="20"/>
          <w:color w:val="auto"/>
        </w:rPr>
      </w:pPr>
      <w:r>
        <w:rPr>
          <w:rFonts w:ascii="Arial" w:cs="Arial" w:eastAsia="Arial" w:hAnsi="Arial"/>
          <w:sz w:val="16"/>
          <w:szCs w:val="16"/>
          <w:color w:val="auto"/>
        </w:rPr>
        <w:t>The consolidated financial statements include the accounts of EZCORP, Inc. ("EZCORP") and its consolidated subsidiaries. All inter-company accounts and transactions have been eliminated in consolidation. As of December 31, 2012, we own 60% of the outstanding equity interests in Prestaciones Finmart, S.A. de C.V., SOFOM, E.N.R. (“Crediamigo”), 95% of Ariste Holding Limited and its affiliates ("Cash Genie"), and 51% of Renueva Comercial S.A. de C.V.</w:t>
      </w:r>
    </w:p>
    <w:p>
      <w:pPr>
        <w:ind w:right="60"/>
        <w:spacing w:after="0" w:line="261" w:lineRule="auto"/>
        <w:rPr>
          <w:sz w:val="20"/>
          <w:szCs w:val="20"/>
          <w:color w:val="auto"/>
        </w:rPr>
      </w:pPr>
      <w:r>
        <w:rPr>
          <w:rFonts w:ascii="Arial" w:cs="Arial" w:eastAsia="Arial" w:hAnsi="Arial"/>
          <w:sz w:val="18"/>
          <w:szCs w:val="18"/>
          <w:color w:val="auto"/>
        </w:rPr>
        <w:t>("TUYO"), and therefore, include their results in our consolidated financial statements. We account for our investments in Albemarle &amp; Bond Holdings, PLC and Cash Converters International Limited using the equity method.</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There have been no changes in significant accounting policies as described in our Annual Report on Form 10-K for the year ended September 30, 2012.</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Recently Issued Accounting Pronouncements</w:t>
      </w:r>
    </w:p>
    <w:p>
      <w:pPr>
        <w:spacing w:after="0" w:line="17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In October 2012, the Financial Accounting Standards Board ("FASB") issued Accounting Standards Update ("ASU") 2012-04, </w:t>
      </w:r>
      <w:r>
        <w:rPr>
          <w:rFonts w:ascii="Arial" w:cs="Arial" w:eastAsia="Arial" w:hAnsi="Arial"/>
          <w:sz w:val="18"/>
          <w:szCs w:val="18"/>
          <w:i w:val="1"/>
          <w:iCs w:val="1"/>
          <w:color w:val="auto"/>
        </w:rPr>
        <w:t>Technical Corrections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Improvements. </w:t>
      </w:r>
      <w:r>
        <w:rPr>
          <w:rFonts w:ascii="Arial" w:cs="Arial" w:eastAsia="Arial" w:hAnsi="Arial"/>
          <w:sz w:val="18"/>
          <w:szCs w:val="18"/>
          <w:color w:val="auto"/>
        </w:rPr>
        <w:t>This update clarifies the Codification or corrects unintended application of guidance and includes amendments identifying when the use of fair</w:t>
      </w:r>
      <w:r>
        <w:rPr>
          <w:rFonts w:ascii="Arial" w:cs="Arial" w:eastAsia="Arial" w:hAnsi="Arial"/>
          <w:sz w:val="18"/>
          <w:szCs w:val="18"/>
          <w:i w:val="1"/>
          <w:iCs w:val="1"/>
          <w:color w:val="auto"/>
        </w:rPr>
        <w:t xml:space="preserve"> </w:t>
      </w:r>
      <w:r>
        <w:rPr>
          <w:rFonts w:ascii="Arial" w:cs="Arial" w:eastAsia="Arial" w:hAnsi="Arial"/>
          <w:sz w:val="18"/>
          <w:szCs w:val="18"/>
          <w:color w:val="auto"/>
        </w:rPr>
        <w:t>value should be linked to the definition of fair value in Topic 820, Fair Value Measurement. Amendments to the Codification without transition guidance are effective upon issuance for both public and nonpublic entities. For public entities, amendments subject to transition guidance will be effective for fiscal periods beginning after December 15, 2012. We do not anticipate that the adoption of ASU 2012-04 will have a material effect on our financial position, results of operations or cash flows.</w:t>
      </w:r>
    </w:p>
    <w:p>
      <w:pPr>
        <w:spacing w:after="0" w:line="13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 xml:space="preserve">In December 2011, the FASB issued ASU 2011-11, </w:t>
      </w:r>
      <w:r>
        <w:rPr>
          <w:rFonts w:ascii="Arial" w:cs="Arial" w:eastAsia="Arial" w:hAnsi="Arial"/>
          <w:sz w:val="17"/>
          <w:szCs w:val="17"/>
          <w:i w:val="1"/>
          <w:iCs w:val="1"/>
          <w:color w:val="auto"/>
        </w:rPr>
        <w:t>Disclosures about Offsetting Assets and Liabilities.</w:t>
      </w:r>
      <w:r>
        <w:rPr>
          <w:rFonts w:ascii="Arial" w:cs="Arial" w:eastAsia="Arial" w:hAnsi="Arial"/>
          <w:sz w:val="17"/>
          <w:szCs w:val="17"/>
          <w:color w:val="auto"/>
        </w:rPr>
        <w:t xml:space="preserve"> This update, which amends FASB ASC 210 (Balance Sheet), requires entities to disclose information about offsetting and related arrangements and the effect of those arrangements on its financial position. The amendments in ASU 2011-11 enhance disclosures required by FASB ASC 210 by requiring improved information about financial instruments and derivative instruments that are either offset in accordance with FASB ASC 210-20-45 or 815-10-45 or are subject to an enforceable master netting arrangement or similar agreement. ASU 2011-11 is effective for interim and annual periods beginning on or after January 1, 2013. Disclosures are required retrospectively for all comparative periods presented. Currently, we do not enter into any right of offset arrangements and the adoption of ASU 2011-11 will not have a material effect on our financial position, results of operations or cash flows.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ACQUISITIONS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Go Cash</w:t>
      </w:r>
    </w:p>
    <w:p>
      <w:pPr>
        <w:spacing w:after="0" w:line="171"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On November 20, 2012, we entered into a definitive agreement with Go Cash, LLC and certain of its affiliates ("Go Cash") to acquire substantially all the assets of Go Cash's online lending business. This acquisition was completed on December 20, 2012 and accounted for as an asset purchase. No liabilities were assumed other than trade payables and accounts payables incurred prior to closing in the ordinary course of business, which were less than $0.1 million.</w:t>
      </w:r>
    </w:p>
    <w:p>
      <w:pPr>
        <w:spacing w:after="0" w:line="39"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The assets acquired include a proprietary software platform, including a loan management system and a lending decision science engine, that will enable geographic expansion both within the U.S. and internationally; an internal customer service and collections call center; a portion of the existing Go Cash multi-state loan portfolio; and related assets, including customer lists, customer data</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121" w:right="259" w:bottom="1440" w:gutter="0" w:footer="0" w:header="0"/>
        </w:sectPr>
      </w:pPr>
    </w:p>
    <w:bookmarkStart w:id="8" w:name="page9"/>
    <w:bookmarkEnd w:id="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and customer transaction information. We hired substantially all of Go Cash's employees, including the management team, an internal underwriting and customer experience analytics team, and an experienced customer service and collections call center team.</w:t>
      </w:r>
    </w:p>
    <w:p>
      <w:pPr>
        <w:spacing w:after="0" w:line="6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total purchase price is performance-based and will be determined over a period of four years following the closing. A minimum of $50.7 million will be paid, of which $27.7 million was paid at closing, $11.0 million will be paid on November 10, 2013, $6.0 million will be paid on November 10, 2014, and $6.0 million will be paid on November 10, 2015. The performance consideration element will be based on the net income generated by the "Post-Closing Business Unit" (which will include all of EZCORP's online consumer lending business). Within a specified period after the end of each of each of the first four years following the closing, EZCORP will make a contingent supplemental payment equal to the difference between (a) the adjusted net income for such year, multiplied by 6.0, and (b) all consideration payments previously paid. Each payment may be made, in EZCORP's sole discretion, in cash or in the form of shares of EZCORP Class A Non-Voting Common Stock. The initial payment was made in the form of 1,400,198 shares of EZCORP Class A Non-Voting Common Stock.</w:t>
      </w:r>
    </w:p>
    <w:p>
      <w:pPr>
        <w:spacing w:after="0" w:line="84"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The contingent consideration element of the purchase price, which is the amount in excess of the guaranteed $50.7 million, has not yet been valued as of December 31, 2012 and therefore has not been included in the purchase price allocation or the financial statements of EZCORP as of December 31, 2012.</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TUYO</w:t>
      </w:r>
    </w:p>
    <w:p>
      <w:pPr>
        <w:spacing w:after="0" w:line="171"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On November 1, 2012, we acquired a 51% interest in Renueva Comercial S.A. de C.V., a company headquartered in Mexico City and doing business under the name “TUYO.” TUYO owns and operates 20 stores in Mexico City and the surrounding metropolitan area. In these stores, TUYO buys quality used merchandise from customers and then resells that merchandise to other customers. TUYO also sells refurbished or other merchandise acquired in bulk from wholesalers. As this acquisition was individually immaterial, we present its related information, other than information related to the redeemable noncontrolling interest, on a combined basis.</w:t>
      </w:r>
    </w:p>
    <w:p>
      <w:pPr>
        <w:spacing w:after="0" w:line="134"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Pursuant to the acquisition agreement, the sellers have a put option with respect to their remaining shares of TUYO. The sellers have the right to sell their TUYO shares to EZCORP during a specified exercise period, with specified limitations on the number of shares that may be sold within a consecutive 12 months period. Under the guidance in ASC 480-10-S99, securities that are redeemable for cash or other assets are to be classified outside of permanent equity; therefore, we have included the redeemable noncontrolling interest related to TUYO in temporary equity.</w:t>
      </w:r>
    </w:p>
    <w:p>
      <w:pPr>
        <w:spacing w:after="0" w:line="171"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The fair value of the TUYO redeemable noncontrolling interest was estimated by applying an income and market approach. This fair value measurement is based on significant inputs that are not observable in the market and thus represents a Level 3 measurement. Key assumptions include discount rates of 10% and 18% representing discounts for lack of control and lack of marketability respectively that market participants would consider when estimating the fair value of the noncontrolling interest. The fair market value of TUYO was determined using a multiple of future earnings. We expect the recorded values related to the noncontrolling interest at December 31, 2012 to approximate fair value.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three month period ended December 31, 2012, includes the acquisition of 12 pawn locations in Arizona. Arizona is a new state of operation for EZCORP.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this acquisition was individually immaterial, we present its related information on a consolidated basis.</w:t>
      </w:r>
    </w:p>
    <w:p>
      <w:pPr>
        <w:spacing w:after="0" w:line="15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following tables provide information related to the acquisitions of domestic and foreign retail and financial services locations during the three months ended December 31, 2012:</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020" w:type="dxa"/>
            <w:vAlign w:val="bottom"/>
          </w:tcPr>
          <w:p>
            <w:pPr>
              <w:spacing w:after="0"/>
              <w:rPr>
                <w:sz w:val="17"/>
                <w:szCs w:val="17"/>
                <w:color w:val="auto"/>
              </w:rPr>
            </w:pPr>
          </w:p>
        </w:tc>
        <w:tc>
          <w:tcPr>
            <w:tcW w:w="2400" w:type="dxa"/>
            <w:vAlign w:val="bottom"/>
            <w:gridSpan w:val="4"/>
          </w:tcPr>
          <w:p>
            <w:pPr>
              <w:jc w:val="right"/>
              <w:spacing w:after="0"/>
              <w:rPr>
                <w:sz w:val="20"/>
                <w:szCs w:val="20"/>
                <w:color w:val="auto"/>
              </w:rPr>
            </w:pPr>
            <w:r>
              <w:rPr>
                <w:rFonts w:ascii="Arial" w:cs="Arial" w:eastAsia="Arial" w:hAnsi="Arial"/>
                <w:sz w:val="16"/>
                <w:szCs w:val="16"/>
                <w:b w:val="1"/>
                <w:bCs w:val="1"/>
                <w:color w:val="auto"/>
                <w:w w:val="95"/>
              </w:rPr>
              <w:t>Three Months Ended December</w:t>
            </w:r>
          </w:p>
        </w:tc>
        <w:tc>
          <w:tcPr>
            <w:tcW w:w="0" w:type="dxa"/>
            <w:vAlign w:val="bottom"/>
          </w:tcPr>
          <w:p>
            <w:pPr>
              <w:spacing w:after="0"/>
              <w:rPr>
                <w:sz w:val="1"/>
                <w:szCs w:val="1"/>
                <w:color w:val="auto"/>
              </w:rPr>
            </w:pPr>
          </w:p>
        </w:tc>
      </w:tr>
      <w:tr>
        <w:trPr>
          <w:trHeight w:val="210"/>
        </w:trPr>
        <w:tc>
          <w:tcPr>
            <w:tcW w:w="90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540" w:type="dxa"/>
            <w:vAlign w:val="bottom"/>
            <w:gridSpan w:val="3"/>
          </w:tcPr>
          <w:p>
            <w:pPr>
              <w:jc w:val="right"/>
              <w:ind w:right="815"/>
              <w:spacing w:after="0"/>
              <w:rPr>
                <w:sz w:val="20"/>
                <w:szCs w:val="20"/>
                <w:color w:val="auto"/>
              </w:rPr>
            </w:pPr>
            <w:r>
              <w:rPr>
                <w:rFonts w:ascii="Arial" w:cs="Arial" w:eastAsia="Arial" w:hAnsi="Arial"/>
                <w:sz w:val="16"/>
                <w:szCs w:val="16"/>
                <w:b w:val="1"/>
                <w:bCs w:val="1"/>
                <w:color w:val="auto"/>
                <w:w w:val="99"/>
              </w:rPr>
              <w:t>31, 2012</w:t>
            </w:r>
          </w:p>
        </w:tc>
        <w:tc>
          <w:tcPr>
            <w:tcW w:w="0" w:type="dxa"/>
            <w:vAlign w:val="bottom"/>
          </w:tcPr>
          <w:p>
            <w:pPr>
              <w:spacing w:after="0"/>
              <w:rPr>
                <w:sz w:val="1"/>
                <w:szCs w:val="1"/>
                <w:color w:val="auto"/>
              </w:rPr>
            </w:pPr>
          </w:p>
        </w:tc>
      </w:tr>
      <w:tr>
        <w:trPr>
          <w:trHeight w:val="33"/>
        </w:trPr>
        <w:tc>
          <w:tcPr>
            <w:tcW w:w="90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9020" w:type="dxa"/>
            <w:vAlign w:val="bottom"/>
          </w:tcPr>
          <w:p>
            <w:pPr>
              <w:spacing w:after="0"/>
              <w:rPr>
                <w:sz w:val="12"/>
                <w:szCs w:val="12"/>
                <w:color w:val="auto"/>
              </w:rPr>
            </w:pPr>
          </w:p>
        </w:tc>
        <w:tc>
          <w:tcPr>
            <w:tcW w:w="860" w:type="dxa"/>
            <w:vAlign w:val="bottom"/>
            <w:vMerge w:val="restart"/>
          </w:tcPr>
          <w:p>
            <w:pPr>
              <w:ind w:left="320"/>
              <w:spacing w:after="0"/>
              <w:rPr>
                <w:sz w:val="20"/>
                <w:szCs w:val="20"/>
                <w:color w:val="auto"/>
              </w:rPr>
            </w:pPr>
            <w:r>
              <w:rPr>
                <w:rFonts w:ascii="Arial" w:cs="Arial" w:eastAsia="Arial" w:hAnsi="Arial"/>
                <w:sz w:val="14"/>
                <w:szCs w:val="14"/>
                <w:b w:val="1"/>
                <w:bCs w:val="1"/>
                <w:color w:val="auto"/>
                <w:w w:val="90"/>
              </w:rPr>
              <w:t>Go Cash</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right"/>
              <w:ind w:right="295"/>
              <w:spacing w:after="0" w:line="147"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90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Acquisitions</w:t>
            </w:r>
          </w:p>
        </w:tc>
        <w:tc>
          <w:tcPr>
            <w:tcW w:w="0" w:type="dxa"/>
            <w:vAlign w:val="bottom"/>
          </w:tcPr>
          <w:p>
            <w:pPr>
              <w:spacing w:after="0"/>
              <w:rPr>
                <w:sz w:val="1"/>
                <w:szCs w:val="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Number of asset purchase acquisitions</w:t>
            </w:r>
          </w:p>
        </w:tc>
        <w:tc>
          <w:tcPr>
            <w:tcW w:w="8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9880" w:type="dxa"/>
            <w:vAlign w:val="bottom"/>
            <w:gridSpan w:val="2"/>
          </w:tcPr>
          <w:p>
            <w:pPr>
              <w:ind w:left="40"/>
              <w:spacing w:after="0"/>
              <w:rPr>
                <w:sz w:val="20"/>
                <w:szCs w:val="20"/>
                <w:color w:val="auto"/>
              </w:rPr>
            </w:pPr>
            <w:r>
              <w:rPr>
                <w:rFonts w:ascii="Arial" w:cs="Arial" w:eastAsia="Arial" w:hAnsi="Arial"/>
                <w:sz w:val="18"/>
                <w:szCs w:val="18"/>
                <w:color w:val="auto"/>
              </w:rPr>
              <w:t>Number of stock purchase acquisitions</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w:t>
            </w: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90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880" w:type="dxa"/>
            <w:vAlign w:val="bottom"/>
            <w:gridSpan w:val="2"/>
          </w:tcPr>
          <w:p>
            <w:pPr>
              <w:ind w:left="40"/>
              <w:spacing w:after="0"/>
              <w:rPr>
                <w:sz w:val="20"/>
                <w:szCs w:val="20"/>
                <w:color w:val="auto"/>
              </w:rPr>
            </w:pPr>
            <w:r>
              <w:rPr>
                <w:rFonts w:ascii="Arial" w:cs="Arial" w:eastAsia="Arial" w:hAnsi="Arial"/>
                <w:sz w:val="18"/>
                <w:szCs w:val="18"/>
                <w:color w:val="auto"/>
              </w:rPr>
              <w:t>U.S. stores acquired</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w:t>
            </w: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stores acquired</w:t>
            </w:r>
          </w:p>
        </w:tc>
        <w:tc>
          <w:tcPr>
            <w:tcW w:w="8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7"/>
        </w:trPr>
        <w:tc>
          <w:tcPr>
            <w:tcW w:w="9020" w:type="dxa"/>
            <w:vAlign w:val="bottom"/>
          </w:tcPr>
          <w:p>
            <w:pPr>
              <w:ind w:left="40"/>
              <w:spacing w:after="0"/>
              <w:rPr>
                <w:sz w:val="20"/>
                <w:szCs w:val="20"/>
                <w:color w:val="auto"/>
              </w:rPr>
            </w:pPr>
            <w:r>
              <w:rPr>
                <w:rFonts w:ascii="Arial" w:cs="Arial" w:eastAsia="Arial" w:hAnsi="Arial"/>
                <w:sz w:val="18"/>
                <w:szCs w:val="18"/>
                <w:color w:val="auto"/>
              </w:rPr>
              <w:t>Total stores acquired</w:t>
            </w:r>
          </w:p>
        </w:tc>
        <w:tc>
          <w:tcPr>
            <w:tcW w:w="86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20"/>
                <w:szCs w:val="20"/>
                <w:color w:val="auto"/>
              </w:rPr>
            </w:pPr>
          </w:p>
        </w:tc>
        <w:tc>
          <w:tcPr>
            <w:tcW w:w="11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9020" w:type="dxa"/>
            <w:vAlign w:val="bottom"/>
            <w:vMerge w:val="restart"/>
          </w:tcPr>
          <w:p>
            <w:pPr>
              <w:ind w:left="5660"/>
              <w:spacing w:after="0"/>
              <w:rPr>
                <w:sz w:val="20"/>
                <w:szCs w:val="20"/>
                <w:color w:val="auto"/>
              </w:rPr>
            </w:pPr>
            <w:r>
              <w:rPr>
                <w:rFonts w:ascii="Arial" w:cs="Arial" w:eastAsia="Arial" w:hAnsi="Arial"/>
                <w:sz w:val="18"/>
                <w:szCs w:val="18"/>
                <w:color w:val="auto"/>
              </w:rPr>
              <w:t>7</w:t>
            </w: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020" w:type="dxa"/>
            <w:vAlign w:val="bottom"/>
            <w:vMerge w:val="continue"/>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902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020" w:type="dxa"/>
            <w:vAlign w:val="bottom"/>
          </w:tcPr>
          <w:p>
            <w:pPr>
              <w:spacing w:after="0"/>
              <w:rPr>
                <w:sz w:val="17"/>
                <w:szCs w:val="17"/>
                <w:color w:val="auto"/>
              </w:rPr>
            </w:pPr>
          </w:p>
        </w:tc>
        <w:tc>
          <w:tcPr>
            <w:tcW w:w="2400" w:type="dxa"/>
            <w:vAlign w:val="bottom"/>
            <w:gridSpan w:val="5"/>
          </w:tcPr>
          <w:p>
            <w:pPr>
              <w:jc w:val="center"/>
              <w:spacing w:after="0"/>
              <w:rPr>
                <w:sz w:val="20"/>
                <w:szCs w:val="20"/>
                <w:color w:val="auto"/>
              </w:rPr>
            </w:pPr>
            <w:r>
              <w:rPr>
                <w:rFonts w:ascii="Arial" w:cs="Arial" w:eastAsia="Arial" w:hAnsi="Arial"/>
                <w:sz w:val="16"/>
                <w:szCs w:val="16"/>
                <w:b w:val="1"/>
                <w:bCs w:val="1"/>
                <w:color w:val="auto"/>
                <w:w w:val="91"/>
              </w:rPr>
              <w:t>Three Months Ended December</w:t>
            </w:r>
          </w:p>
        </w:tc>
        <w:tc>
          <w:tcPr>
            <w:tcW w:w="0" w:type="dxa"/>
            <w:vAlign w:val="bottom"/>
          </w:tcPr>
          <w:p>
            <w:pPr>
              <w:spacing w:after="0"/>
              <w:rPr>
                <w:sz w:val="1"/>
                <w:szCs w:val="1"/>
                <w:color w:val="auto"/>
              </w:rPr>
            </w:pPr>
          </w:p>
        </w:tc>
      </w:tr>
      <w:tr>
        <w:trPr>
          <w:trHeight w:val="210"/>
        </w:trPr>
        <w:tc>
          <w:tcPr>
            <w:tcW w:w="9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80" w:type="dxa"/>
            <w:vAlign w:val="bottom"/>
            <w:gridSpan w:val="4"/>
          </w:tcPr>
          <w:p>
            <w:pPr>
              <w:jc w:val="center"/>
              <w:ind w:right="92"/>
              <w:spacing w:after="0"/>
              <w:rPr>
                <w:sz w:val="20"/>
                <w:szCs w:val="20"/>
                <w:color w:val="auto"/>
              </w:rPr>
            </w:pPr>
            <w:r>
              <w:rPr>
                <w:rFonts w:ascii="Arial" w:cs="Arial" w:eastAsia="Arial" w:hAnsi="Arial"/>
                <w:sz w:val="16"/>
                <w:szCs w:val="16"/>
                <w:b w:val="1"/>
                <w:bCs w:val="1"/>
                <w:color w:val="auto"/>
                <w:w w:val="89"/>
              </w:rPr>
              <w:t>31, 2012</w:t>
            </w:r>
          </w:p>
        </w:tc>
        <w:tc>
          <w:tcPr>
            <w:tcW w:w="0" w:type="dxa"/>
            <w:vAlign w:val="bottom"/>
          </w:tcPr>
          <w:p>
            <w:pPr>
              <w:spacing w:after="0"/>
              <w:rPr>
                <w:sz w:val="1"/>
                <w:szCs w:val="1"/>
                <w:color w:val="auto"/>
              </w:rPr>
            </w:pPr>
          </w:p>
        </w:tc>
      </w:tr>
      <w:tr>
        <w:trPr>
          <w:trHeight w:val="33"/>
        </w:trPr>
        <w:tc>
          <w:tcPr>
            <w:tcW w:w="90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9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Go Cash</w:t>
            </w:r>
          </w:p>
        </w:tc>
        <w:tc>
          <w:tcPr>
            <w:tcW w:w="160" w:type="dxa"/>
            <w:vAlign w:val="bottom"/>
          </w:tcPr>
          <w:p>
            <w:pPr>
              <w:spacing w:after="0"/>
              <w:rPr>
                <w:sz w:val="12"/>
                <w:szCs w:val="12"/>
                <w:color w:val="auto"/>
              </w:rPr>
            </w:pPr>
          </w:p>
        </w:tc>
        <w:tc>
          <w:tcPr>
            <w:tcW w:w="980" w:type="dxa"/>
            <w:vAlign w:val="bottom"/>
          </w:tcPr>
          <w:p>
            <w:pPr>
              <w:jc w:val="center"/>
              <w:ind w:right="72"/>
              <w:spacing w:after="0" w:line="147"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90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90"/>
              </w:rPr>
              <w:t>Acquisitions</w:t>
            </w:r>
          </w:p>
        </w:tc>
        <w:tc>
          <w:tcPr>
            <w:tcW w:w="0" w:type="dxa"/>
            <w:vAlign w:val="bottom"/>
          </w:tcPr>
          <w:p>
            <w:pPr>
              <w:spacing w:after="0"/>
              <w:rPr>
                <w:sz w:val="1"/>
                <w:szCs w:val="1"/>
                <w:color w:val="auto"/>
              </w:rPr>
            </w:pPr>
          </w:p>
        </w:tc>
      </w:tr>
      <w:tr>
        <w:trPr>
          <w:trHeight w:val="196"/>
        </w:trPr>
        <w:tc>
          <w:tcPr>
            <w:tcW w:w="9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80" w:type="dxa"/>
            <w:vAlign w:val="bottom"/>
            <w:gridSpan w:val="4"/>
          </w:tcPr>
          <w:p>
            <w:pPr>
              <w:jc w:val="center"/>
              <w:ind w:right="92"/>
              <w:spacing w:after="0"/>
              <w:rPr>
                <w:sz w:val="20"/>
                <w:szCs w:val="20"/>
                <w:color w:val="auto"/>
              </w:rPr>
            </w:pPr>
            <w:r>
              <w:rPr>
                <w:rFonts w:ascii="Arial" w:cs="Arial" w:eastAsia="Arial" w:hAnsi="Arial"/>
                <w:sz w:val="14"/>
                <w:szCs w:val="14"/>
                <w:i w:val="1"/>
                <w:iCs w:val="1"/>
                <w:color w:val="auto"/>
                <w:w w:val="94"/>
              </w:rPr>
              <w:t>(in thousands)</w:t>
            </w:r>
          </w:p>
        </w:tc>
        <w:tc>
          <w:tcPr>
            <w:tcW w:w="0" w:type="dxa"/>
            <w:vAlign w:val="bottom"/>
          </w:tcPr>
          <w:p>
            <w:pPr>
              <w:spacing w:after="0"/>
              <w:rPr>
                <w:sz w:val="1"/>
                <w:szCs w:val="1"/>
                <w:color w:val="auto"/>
              </w:rPr>
            </w:pPr>
          </w:p>
        </w:tc>
      </w:tr>
      <w:tr>
        <w:trPr>
          <w:trHeight w:val="256"/>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Consideration:</w:t>
            </w: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020" w:type="dxa"/>
            <w:vAlign w:val="bottom"/>
          </w:tcPr>
          <w:p>
            <w:pPr>
              <w:ind w:left="380"/>
              <w:spacing w:after="0"/>
              <w:rPr>
                <w:sz w:val="20"/>
                <w:szCs w:val="20"/>
                <w:color w:val="auto"/>
              </w:rPr>
            </w:pPr>
            <w:r>
              <w:rPr>
                <w:rFonts w:ascii="Arial" w:cs="Arial" w:eastAsia="Arial" w:hAnsi="Arial"/>
                <w:sz w:val="18"/>
                <w:szCs w:val="18"/>
                <w:color w:val="auto"/>
              </w:rPr>
              <w:t>Cash</w:t>
            </w:r>
          </w:p>
        </w:tc>
        <w:tc>
          <w:tcPr>
            <w:tcW w:w="220" w:type="dxa"/>
            <w:vAlign w:val="bottom"/>
          </w:tcPr>
          <w:p>
            <w:pPr>
              <w:jc w:val="right"/>
              <w:ind w:right="11"/>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15,318</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instruments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27,718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10,929</w:t>
            </w:r>
          </w:p>
        </w:tc>
        <w:tc>
          <w:tcPr>
            <w:tcW w:w="0" w:type="dxa"/>
            <w:vAlign w:val="bottom"/>
          </w:tcPr>
          <w:p>
            <w:pPr>
              <w:spacing w:after="0"/>
              <w:rPr>
                <w:sz w:val="1"/>
                <w:szCs w:val="1"/>
                <w:color w:val="auto"/>
              </w:rPr>
            </w:pPr>
          </w:p>
        </w:tc>
      </w:tr>
      <w:tr>
        <w:trPr>
          <w:trHeight w:val="243"/>
        </w:trPr>
        <w:tc>
          <w:tcPr>
            <w:tcW w:w="9020" w:type="dxa"/>
            <w:vAlign w:val="bottom"/>
          </w:tcPr>
          <w:p>
            <w:pPr>
              <w:ind w:left="380"/>
              <w:spacing w:after="0"/>
              <w:rPr>
                <w:sz w:val="20"/>
                <w:szCs w:val="20"/>
                <w:color w:val="auto"/>
              </w:rPr>
            </w:pPr>
            <w:r>
              <w:rPr>
                <w:rFonts w:ascii="Arial" w:cs="Arial" w:eastAsia="Arial" w:hAnsi="Arial"/>
                <w:sz w:val="18"/>
                <w:szCs w:val="18"/>
                <w:color w:val="auto"/>
              </w:rPr>
              <w:t>Deferred consideration</w:t>
            </w:r>
          </w:p>
        </w:tc>
        <w:tc>
          <w:tcPr>
            <w:tcW w:w="22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23,000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90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total consideration transferred</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50,718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27,247</w:t>
            </w:r>
          </w:p>
        </w:tc>
        <w:tc>
          <w:tcPr>
            <w:tcW w:w="0" w:type="dxa"/>
            <w:vAlign w:val="bottom"/>
          </w:tcPr>
          <w:p>
            <w:pPr>
              <w:spacing w:after="0"/>
              <w:rPr>
                <w:sz w:val="1"/>
                <w:szCs w:val="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Cash acquired</w:t>
            </w:r>
          </w:p>
        </w:tc>
        <w:tc>
          <w:tcPr>
            <w:tcW w:w="2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(3,040)</w:t>
            </w:r>
          </w:p>
        </w:tc>
        <w:tc>
          <w:tcPr>
            <w:tcW w:w="0" w:type="dxa"/>
            <w:vAlign w:val="bottom"/>
          </w:tcPr>
          <w:p>
            <w:pPr>
              <w:spacing w:after="0"/>
              <w:rPr>
                <w:sz w:val="1"/>
                <w:szCs w:val="1"/>
                <w:color w:val="auto"/>
              </w:rPr>
            </w:pPr>
          </w:p>
        </w:tc>
      </w:tr>
      <w:tr>
        <w:trPr>
          <w:trHeight w:val="27"/>
        </w:trPr>
        <w:tc>
          <w:tcPr>
            <w:tcW w:w="90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purchase price</w:t>
            </w:r>
          </w:p>
        </w:tc>
        <w:tc>
          <w:tcPr>
            <w:tcW w:w="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50,718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24,207</w:t>
            </w:r>
          </w:p>
        </w:tc>
        <w:tc>
          <w:tcPr>
            <w:tcW w:w="0" w:type="dxa"/>
            <w:vAlign w:val="bottom"/>
          </w:tcPr>
          <w:p>
            <w:pPr>
              <w:spacing w:after="0"/>
              <w:rPr>
                <w:sz w:val="1"/>
                <w:szCs w:val="1"/>
                <w:color w:val="auto"/>
              </w:rPr>
            </w:pPr>
          </w:p>
        </w:tc>
      </w:tr>
      <w:tr>
        <w:trPr>
          <w:trHeight w:val="20"/>
        </w:trPr>
        <w:tc>
          <w:tcPr>
            <w:tcW w:w="90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9020" w:type="dxa"/>
            <w:vAlign w:val="bottom"/>
          </w:tcPr>
          <w:p>
            <w:pPr>
              <w:spacing w:after="0"/>
              <w:rPr>
                <w:sz w:val="24"/>
                <w:szCs w:val="24"/>
                <w:color w:val="auto"/>
              </w:rPr>
            </w:pPr>
          </w:p>
        </w:tc>
        <w:tc>
          <w:tcPr>
            <w:tcW w:w="2400" w:type="dxa"/>
            <w:vAlign w:val="bottom"/>
            <w:gridSpan w:val="5"/>
          </w:tcPr>
          <w:p>
            <w:pPr>
              <w:jc w:val="center"/>
              <w:spacing w:after="0"/>
              <w:rPr>
                <w:sz w:val="20"/>
                <w:szCs w:val="20"/>
                <w:color w:val="auto"/>
              </w:rPr>
            </w:pPr>
            <w:r>
              <w:rPr>
                <w:rFonts w:ascii="Arial" w:cs="Arial" w:eastAsia="Arial" w:hAnsi="Arial"/>
                <w:sz w:val="16"/>
                <w:szCs w:val="16"/>
                <w:b w:val="1"/>
                <w:bCs w:val="1"/>
                <w:color w:val="auto"/>
                <w:w w:val="91"/>
              </w:rPr>
              <w:t>Three Months Ended December</w:t>
            </w:r>
          </w:p>
        </w:tc>
        <w:tc>
          <w:tcPr>
            <w:tcW w:w="0" w:type="dxa"/>
            <w:vAlign w:val="bottom"/>
          </w:tcPr>
          <w:p>
            <w:pPr>
              <w:spacing w:after="0"/>
              <w:rPr>
                <w:sz w:val="1"/>
                <w:szCs w:val="1"/>
                <w:color w:val="auto"/>
              </w:rPr>
            </w:pPr>
          </w:p>
        </w:tc>
      </w:tr>
      <w:tr>
        <w:trPr>
          <w:trHeight w:val="210"/>
        </w:trPr>
        <w:tc>
          <w:tcPr>
            <w:tcW w:w="9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80" w:type="dxa"/>
            <w:vAlign w:val="bottom"/>
            <w:gridSpan w:val="4"/>
          </w:tcPr>
          <w:p>
            <w:pPr>
              <w:jc w:val="center"/>
              <w:ind w:right="92"/>
              <w:spacing w:after="0"/>
              <w:rPr>
                <w:sz w:val="20"/>
                <w:szCs w:val="20"/>
                <w:color w:val="auto"/>
              </w:rPr>
            </w:pPr>
            <w:r>
              <w:rPr>
                <w:rFonts w:ascii="Arial" w:cs="Arial" w:eastAsia="Arial" w:hAnsi="Arial"/>
                <w:sz w:val="16"/>
                <w:szCs w:val="16"/>
                <w:b w:val="1"/>
                <w:bCs w:val="1"/>
                <w:color w:val="auto"/>
                <w:w w:val="89"/>
              </w:rPr>
              <w:t>31, 2012</w:t>
            </w:r>
          </w:p>
        </w:tc>
        <w:tc>
          <w:tcPr>
            <w:tcW w:w="0" w:type="dxa"/>
            <w:vAlign w:val="bottom"/>
          </w:tcPr>
          <w:p>
            <w:pPr>
              <w:spacing w:after="0"/>
              <w:rPr>
                <w:sz w:val="1"/>
                <w:szCs w:val="1"/>
                <w:color w:val="auto"/>
              </w:rPr>
            </w:pPr>
          </w:p>
        </w:tc>
      </w:tr>
      <w:tr>
        <w:trPr>
          <w:trHeight w:val="33"/>
        </w:trPr>
        <w:tc>
          <w:tcPr>
            <w:tcW w:w="90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9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Go Cash</w:t>
            </w:r>
          </w:p>
        </w:tc>
        <w:tc>
          <w:tcPr>
            <w:tcW w:w="160" w:type="dxa"/>
            <w:vAlign w:val="bottom"/>
          </w:tcPr>
          <w:p>
            <w:pPr>
              <w:spacing w:after="0"/>
              <w:rPr>
                <w:sz w:val="12"/>
                <w:szCs w:val="12"/>
                <w:color w:val="auto"/>
              </w:rPr>
            </w:pPr>
          </w:p>
        </w:tc>
        <w:tc>
          <w:tcPr>
            <w:tcW w:w="980" w:type="dxa"/>
            <w:vAlign w:val="bottom"/>
          </w:tcPr>
          <w:p>
            <w:pPr>
              <w:jc w:val="center"/>
              <w:ind w:right="72"/>
              <w:spacing w:after="0" w:line="147"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90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90"/>
              </w:rPr>
              <w:t>Acquisitions</w:t>
            </w:r>
          </w:p>
        </w:tc>
        <w:tc>
          <w:tcPr>
            <w:tcW w:w="0" w:type="dxa"/>
            <w:vAlign w:val="bottom"/>
          </w:tcPr>
          <w:p>
            <w:pPr>
              <w:spacing w:after="0"/>
              <w:rPr>
                <w:sz w:val="1"/>
                <w:szCs w:val="1"/>
                <w:color w:val="auto"/>
              </w:rPr>
            </w:pPr>
          </w:p>
        </w:tc>
      </w:tr>
      <w:tr>
        <w:trPr>
          <w:trHeight w:val="250"/>
        </w:trPr>
        <w:tc>
          <w:tcPr>
            <w:tcW w:w="9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180" w:type="dxa"/>
            <w:vAlign w:val="bottom"/>
            <w:gridSpan w:val="4"/>
          </w:tcPr>
          <w:p>
            <w:pPr>
              <w:jc w:val="center"/>
              <w:ind w:right="92"/>
              <w:spacing w:after="0"/>
              <w:rPr>
                <w:sz w:val="20"/>
                <w:szCs w:val="20"/>
                <w:color w:val="auto"/>
              </w:rPr>
            </w:pPr>
            <w:r>
              <w:rPr>
                <w:rFonts w:ascii="Arial" w:cs="Arial" w:eastAsia="Arial" w:hAnsi="Arial"/>
                <w:sz w:val="14"/>
                <w:szCs w:val="14"/>
                <w:i w:val="1"/>
                <w:iCs w:val="1"/>
                <w:color w:val="auto"/>
                <w:w w:val="94"/>
              </w:rPr>
              <w:t>(in thousands)</w:t>
            </w:r>
          </w:p>
        </w:tc>
        <w:tc>
          <w:tcPr>
            <w:tcW w:w="0" w:type="dxa"/>
            <w:vAlign w:val="bottom"/>
          </w:tcPr>
          <w:p>
            <w:pPr>
              <w:spacing w:after="0"/>
              <w:rPr>
                <w:sz w:val="1"/>
                <w:szCs w:val="1"/>
                <w:color w:val="auto"/>
              </w:rPr>
            </w:pPr>
          </w:p>
        </w:tc>
      </w:tr>
      <w:tr>
        <w:trPr>
          <w:trHeight w:val="256"/>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020" w:type="dxa"/>
            <w:vAlign w:val="bottom"/>
          </w:tcPr>
          <w:p>
            <w:pPr>
              <w:ind w:left="380"/>
              <w:spacing w:after="0"/>
              <w:rPr>
                <w:sz w:val="20"/>
                <w:szCs w:val="20"/>
                <w:color w:val="auto"/>
              </w:rPr>
            </w:pPr>
            <w:r>
              <w:rPr>
                <w:rFonts w:ascii="Arial" w:cs="Arial" w:eastAsia="Arial" w:hAnsi="Arial"/>
                <w:sz w:val="18"/>
                <w:szCs w:val="18"/>
                <w:color w:val="auto"/>
              </w:rPr>
              <w:t>Pawn loans</w:t>
            </w:r>
          </w:p>
        </w:tc>
        <w:tc>
          <w:tcPr>
            <w:tcW w:w="220" w:type="dxa"/>
            <w:vAlign w:val="bottom"/>
          </w:tcPr>
          <w:p>
            <w:pPr>
              <w:jc w:val="right"/>
              <w:ind w:right="11"/>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5,659</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Consumer loans, net</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9020" w:type="dxa"/>
            <w:vAlign w:val="bottom"/>
          </w:tcPr>
          <w:p>
            <w:pPr>
              <w:ind w:left="380"/>
              <w:spacing w:after="0"/>
              <w:rPr>
                <w:sz w:val="20"/>
                <w:szCs w:val="20"/>
                <w:color w:val="auto"/>
              </w:rPr>
            </w:pPr>
            <w:r>
              <w:rPr>
                <w:rFonts w:ascii="Arial" w:cs="Arial" w:eastAsia="Arial" w:hAnsi="Arial"/>
                <w:sz w:val="18"/>
                <w:szCs w:val="18"/>
                <w:color w:val="auto"/>
              </w:rPr>
              <w:t>Service charges and fees receivable, net</w:t>
            </w:r>
          </w:p>
        </w:tc>
        <w:tc>
          <w:tcPr>
            <w:tcW w:w="22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Inventory, net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2,496</w:t>
            </w:r>
          </w:p>
        </w:tc>
        <w:tc>
          <w:tcPr>
            <w:tcW w:w="0" w:type="dxa"/>
            <w:vAlign w:val="bottom"/>
          </w:tcPr>
          <w:p>
            <w:pPr>
              <w:spacing w:after="0"/>
              <w:rPr>
                <w:sz w:val="1"/>
                <w:szCs w:val="1"/>
                <w:color w:val="auto"/>
              </w:rPr>
            </w:pPr>
          </w:p>
        </w:tc>
      </w:tr>
      <w:tr>
        <w:trPr>
          <w:trHeight w:val="243"/>
        </w:trPr>
        <w:tc>
          <w:tcPr>
            <w:tcW w:w="9020" w:type="dxa"/>
            <w:vAlign w:val="bottom"/>
          </w:tcPr>
          <w:p>
            <w:pPr>
              <w:ind w:left="380"/>
              <w:spacing w:after="0"/>
              <w:rPr>
                <w:sz w:val="20"/>
                <w:szCs w:val="20"/>
                <w:color w:val="auto"/>
              </w:rPr>
            </w:pPr>
            <w:r>
              <w:rPr>
                <w:rFonts w:ascii="Arial" w:cs="Arial" w:eastAsia="Arial" w:hAnsi="Arial"/>
                <w:sz w:val="18"/>
                <w:szCs w:val="18"/>
                <w:color w:val="auto"/>
              </w:rPr>
              <w:t>Prepaid expenses and other assets</w:t>
            </w:r>
          </w:p>
        </w:tc>
        <w:tc>
          <w:tcPr>
            <w:tcW w:w="22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7"/>
        </w:trPr>
        <w:tc>
          <w:tcPr>
            <w:tcW w:w="90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0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9,063</w:t>
            </w:r>
          </w:p>
        </w:tc>
        <w:tc>
          <w:tcPr>
            <w:tcW w:w="0" w:type="dxa"/>
            <w:vAlign w:val="bottom"/>
          </w:tcPr>
          <w:p>
            <w:pPr>
              <w:spacing w:after="0"/>
              <w:rPr>
                <w:sz w:val="1"/>
                <w:szCs w:val="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22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863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1,064</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37,359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17,127</w:t>
            </w:r>
          </w:p>
        </w:tc>
        <w:tc>
          <w:tcPr>
            <w:tcW w:w="0" w:type="dxa"/>
            <w:vAlign w:val="bottom"/>
          </w:tcPr>
          <w:p>
            <w:pPr>
              <w:spacing w:after="0"/>
              <w:rPr>
                <w:sz w:val="1"/>
                <w:szCs w:val="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Intangible assets</w:t>
            </w:r>
          </w:p>
        </w:tc>
        <w:tc>
          <w:tcPr>
            <w:tcW w:w="22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12,315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37"/>
        </w:trPr>
        <w:tc>
          <w:tcPr>
            <w:tcW w:w="902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50,809</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27,663</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020" w:type="dxa"/>
            <w:vAlign w:val="bottom"/>
          </w:tcPr>
          <w:p>
            <w:pPr>
              <w:ind w:left="380"/>
              <w:spacing w:after="0"/>
              <w:rPr>
                <w:sz w:val="20"/>
                <w:szCs w:val="20"/>
                <w:color w:val="auto"/>
              </w:rPr>
            </w:pPr>
            <w:r>
              <w:rPr>
                <w:rFonts w:ascii="Arial" w:cs="Arial" w:eastAsia="Arial" w:hAnsi="Arial"/>
                <w:sz w:val="18"/>
                <w:szCs w:val="18"/>
                <w:color w:val="auto"/>
              </w:rPr>
              <w:t>Accounts payable and other accrued expenses</w:t>
            </w:r>
          </w:p>
        </w:tc>
        <w:tc>
          <w:tcPr>
            <w:tcW w:w="220" w:type="dxa"/>
            <w:vAlign w:val="bottom"/>
          </w:tcPr>
          <w:p>
            <w:pPr>
              <w:jc w:val="right"/>
              <w:ind w:right="11"/>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Customer layaway deposits</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37"/>
        </w:trPr>
        <w:tc>
          <w:tcPr>
            <w:tcW w:w="902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7"/>
        </w:trPr>
        <w:tc>
          <w:tcPr>
            <w:tcW w:w="90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Redeemable noncontrolling interest</w:t>
            </w:r>
          </w:p>
        </w:tc>
        <w:tc>
          <w:tcPr>
            <w:tcW w:w="2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2,836</w:t>
            </w:r>
          </w:p>
        </w:tc>
        <w:tc>
          <w:tcPr>
            <w:tcW w:w="0" w:type="dxa"/>
            <w:vAlign w:val="bottom"/>
          </w:tcPr>
          <w:p>
            <w:pPr>
              <w:spacing w:after="0"/>
              <w:rPr>
                <w:sz w:val="1"/>
                <w:szCs w:val="1"/>
                <w:color w:val="auto"/>
              </w:rPr>
            </w:pPr>
          </w:p>
        </w:tc>
      </w:tr>
      <w:tr>
        <w:trPr>
          <w:trHeight w:val="27"/>
        </w:trPr>
        <w:tc>
          <w:tcPr>
            <w:tcW w:w="90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assets acquired</w:t>
            </w:r>
          </w:p>
        </w:tc>
        <w:tc>
          <w:tcPr>
            <w:tcW w:w="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50,718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24,207</w:t>
            </w:r>
          </w:p>
        </w:tc>
        <w:tc>
          <w:tcPr>
            <w:tcW w:w="0" w:type="dxa"/>
            <w:vAlign w:val="bottom"/>
          </w:tcPr>
          <w:p>
            <w:pPr>
              <w:spacing w:after="0"/>
              <w:rPr>
                <w:sz w:val="1"/>
                <w:szCs w:val="1"/>
                <w:color w:val="auto"/>
              </w:rPr>
            </w:pPr>
          </w:p>
        </w:tc>
      </w:tr>
      <w:tr>
        <w:trPr>
          <w:trHeight w:val="20"/>
        </w:trPr>
        <w:tc>
          <w:tcPr>
            <w:tcW w:w="90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deductible for tax purposes</w:t>
            </w:r>
          </w:p>
        </w:tc>
        <w:tc>
          <w:tcPr>
            <w:tcW w:w="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37,359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9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Indefinite-lived intangible assets acquired:</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020" w:type="dxa"/>
            <w:vAlign w:val="bottom"/>
          </w:tcPr>
          <w:p>
            <w:pPr>
              <w:ind w:left="380"/>
              <w:spacing w:after="0"/>
              <w:rPr>
                <w:sz w:val="20"/>
                <w:szCs w:val="20"/>
                <w:color w:val="auto"/>
              </w:rPr>
            </w:pPr>
            <w:r>
              <w:rPr>
                <w:rFonts w:ascii="Arial" w:cs="Arial" w:eastAsia="Arial" w:hAnsi="Arial"/>
                <w:sz w:val="18"/>
                <w:szCs w:val="18"/>
                <w:color w:val="auto"/>
              </w:rPr>
              <w:t>Domain name</w:t>
            </w:r>
          </w:p>
        </w:tc>
        <w:tc>
          <w:tcPr>
            <w:tcW w:w="220" w:type="dxa"/>
            <w:vAlign w:val="bottom"/>
          </w:tcPr>
          <w:p>
            <w:pPr>
              <w:jc w:val="right"/>
              <w:ind w:right="11"/>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Definite-lived intangible assets acquired </w:t>
            </w:r>
            <w:r>
              <w:rPr>
                <w:rFonts w:ascii="Arial" w:cs="Arial" w:eastAsia="Arial" w:hAnsi="Arial"/>
                <w:sz w:val="10"/>
                <w:szCs w:val="10"/>
                <w:color w:val="auto"/>
              </w:rPr>
              <w:t>(1)</w:t>
            </w: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020" w:type="dxa"/>
            <w:vAlign w:val="bottom"/>
          </w:tcPr>
          <w:p>
            <w:pPr>
              <w:ind w:left="380"/>
              <w:spacing w:after="0"/>
              <w:rPr>
                <w:sz w:val="20"/>
                <w:szCs w:val="20"/>
                <w:color w:val="auto"/>
              </w:rPr>
            </w:pPr>
            <w:r>
              <w:rPr>
                <w:rFonts w:ascii="Arial" w:cs="Arial" w:eastAsia="Arial" w:hAnsi="Arial"/>
                <w:sz w:val="18"/>
                <w:szCs w:val="18"/>
                <w:color w:val="auto"/>
              </w:rPr>
              <w:t>Non-compete agreements</w:t>
            </w:r>
          </w:p>
        </w:tc>
        <w:tc>
          <w:tcPr>
            <w:tcW w:w="220" w:type="dxa"/>
            <w:vAlign w:val="bottom"/>
          </w:tcPr>
          <w:p>
            <w:pPr>
              <w:jc w:val="right"/>
              <w:ind w:right="11"/>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0"/>
        </w:trPr>
        <w:tc>
          <w:tcPr>
            <w:tcW w:w="9020" w:type="dxa"/>
            <w:vAlign w:val="bottom"/>
          </w:tcPr>
          <w:p>
            <w:pPr>
              <w:ind w:left="380"/>
              <w:spacing w:after="0"/>
              <w:rPr>
                <w:sz w:val="20"/>
                <w:szCs w:val="20"/>
                <w:color w:val="auto"/>
              </w:rPr>
            </w:pPr>
            <w:r>
              <w:rPr>
                <w:rFonts w:ascii="Arial" w:cs="Arial" w:eastAsia="Arial" w:hAnsi="Arial"/>
                <w:sz w:val="18"/>
                <w:szCs w:val="18"/>
                <w:color w:val="auto"/>
              </w:rPr>
              <w:t>Internally developed software</w:t>
            </w:r>
          </w:p>
        </w:tc>
        <w:tc>
          <w:tcPr>
            <w:tcW w:w="220" w:type="dxa"/>
            <w:vAlign w:val="bottom"/>
          </w:tcPr>
          <w:p>
            <w:pPr>
              <w:jc w:val="right"/>
              <w:ind w:right="11"/>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12,100</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(1) The weighted average useful life of definite-lived intangible assets acquired is five years.</w:t>
      </w:r>
    </w:p>
    <w:p>
      <w:pPr>
        <w:spacing w:after="0" w:line="16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All acquisitions were made as part of our continuing strategy to enhance and diversify our earnings. The factors contributing to the recognition of goodwill were based on several strategic and synergistic benefits we expect to realize from the acquisitions. These benefits include our initial entry into several markets and a greater presence in others, as well as the ability to further leverage our expense structure through increased scale. The purchase price allocation of assets acquired in the most recent twelve month period is preliminary as we continue to receive information regarding the acquired assets. Transaction related expenses for the three month periods ended December 31, 2012 and 2011 of approximately $0.5 million and $0.4 million, respectively, were expensed as incurred and recorded as administrative expenses. These amounts exclude costs related to transactions that did not close and future acquisitions. The results of all acquisitions have been consolidated with our results since their respective closing. Pro forma results</w:t>
      </w:r>
    </w:p>
    <w:p>
      <w:pPr>
        <w:sectPr>
          <w:pgSz w:w="11900" w:h="16838" w:orient="portrait"/>
          <w:cols w:equalWidth="0" w:num="1">
            <w:col w:w="11420"/>
          </w:cols>
          <w:pgMar w:left="240" w:top="121" w:right="239" w:bottom="1440" w:gutter="0" w:footer="0" w:header="0"/>
        </w:sectPr>
      </w:pP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121" w:right="239" w:bottom="1440" w:gutter="0" w:footer="0" w:header="0"/>
          <w:type w:val="continuous"/>
        </w:sectPr>
      </w:pPr>
    </w:p>
    <w:bookmarkStart w:id="10" w:name="page11"/>
    <w:bookmarkEnd w:id="1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ind w:right="160"/>
        <w:spacing w:after="0" w:line="344" w:lineRule="auto"/>
        <w:rPr>
          <w:sz w:val="20"/>
          <w:szCs w:val="20"/>
          <w:color w:val="auto"/>
        </w:rPr>
      </w:pPr>
      <w:r>
        <w:rPr>
          <w:rFonts w:ascii="Arial" w:cs="Arial" w:eastAsia="Arial" w:hAnsi="Arial"/>
          <w:sz w:val="18"/>
          <w:szCs w:val="18"/>
          <w:color w:val="auto"/>
        </w:rPr>
        <w:t xml:space="preserve">of operations have not been presented because it is impracticable to do so, as historical audited financial statements in U.S. GAAP are not readily available. </w:t>
      </w:r>
      <w:r>
        <w:rPr>
          <w:rFonts w:ascii="Arial" w:cs="Arial" w:eastAsia="Arial" w:hAnsi="Arial"/>
          <w:sz w:val="18"/>
          <w:szCs w:val="18"/>
          <w:u w:val="single" w:color="auto"/>
          <w:color w:val="auto"/>
        </w:rPr>
        <w:t>Crediamigo</w:t>
      </w:r>
    </w:p>
    <w:p>
      <w:pPr>
        <w:spacing w:after="0" w:line="1"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On January 30, 2012, we acquired a 60% interest in Crediamigo, a specialty consumer finance company, headquartered in Mexico City, with 45 loan servicing locations throughout the country, for total consideration of $60.1 million, net of cash acquired. This amount includes contingent consideration related to two earn out payments. If certain financial performance targets are achieved, during calendar years 2012 and 2013, we will make a payment to the sellers of $12.0 million dollars, each year, for a total amount of $24.0 million dollars. The Crediamigo purchase price allocation presented below includes a fair value amount of $23.0 million attributable to the contingent consideration payments.</w:t>
      </w:r>
    </w:p>
    <w:p>
      <w:pPr>
        <w:spacing w:after="0" w:line="11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Pursuant to the Master Transaction Agreement, the sellers have a put option with respect to their remaining shares of Crediamigo. Under the guidance in ASC 480-10-S99, securities that are redeemable for cash or other assets are to be classified outside of permanent equity; therefore, we have included the redeemable noncontrolling interest related to Crediamigo in temporary equity. The fair value of the Crediamigo redeemable noncontrolling interest was estimated by applying an income and market approach. This fair value measurement at acquisition was based on significant inputs that are not observable in the market and thus represents a Level 3 measurement. We expect the recorded values related to the noncontrolling interest at December 31, 2012 to approximate fair value.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Genie</w:t>
      </w:r>
    </w:p>
    <w:p>
      <w:pPr>
        <w:spacing w:after="0" w:line="17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On April 14, 2012, we acquired a 72% interest in Ariste Holding Limited and its affiliates, which provides online loans in the U.K under the name "Cash Genie." As this acquisition was individually immaterial, we present its related information, other than information related to the redeemable noncontrolling interest, on a combined basis.</w:t>
      </w:r>
    </w:p>
    <w:p>
      <w:pPr>
        <w:spacing w:after="0" w:line="127"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Pursuant to the acquisition agreement, the sellers have a put option with respect to their remaining shares of Cash Genie. The seller has the right to sell their Cash Genie shares to EZCORP during the exercise period. Under the guidance in ASC 480-10-S99, securities that are redeemable for cash or other assets are to be classified outside of permanent equity; therefore, we have included the redeemable noncontrolling interest related to Cash Genie in temporary equity.</w:t>
      </w:r>
    </w:p>
    <w:p>
      <w:pPr>
        <w:spacing w:after="0" w:line="93"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On November 14, 2012, a seller exercised his option with respect to his remaining shares. This transaction was treated as an equity transaction and not an adjustment to the purchase price of the Company's initial controlling interest acquisition of Cash Genie. The details of the transaction are described further in Note 8. We expect the remaining recorded values related to the noncontrolling interest at December 31, 2012 to approximate fair value.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w:t>
      </w:r>
    </w:p>
    <w:p>
      <w:pPr>
        <w:spacing w:after="0" w:line="171"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In fiscal 2012, we acquired 50 locations in the U.S. and one in Canada. As these acquisitions, were individually immaterial, we present their related information on a combined basis.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provide information related to the acquisitions of domestic and foreign retail and financial services locations fiscal 2012:</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122" w:right="279" w:bottom="1440" w:gutter="0" w:footer="0" w:header="0"/>
        </w:sectPr>
      </w:pPr>
    </w:p>
    <w:bookmarkStart w:id="11" w:name="page12"/>
    <w:bookmarkEnd w:id="1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020" w:type="dxa"/>
            <w:vAlign w:val="bottom"/>
          </w:tcPr>
          <w:p>
            <w:pPr>
              <w:spacing w:after="0"/>
              <w:rPr>
                <w:sz w:val="17"/>
                <w:szCs w:val="17"/>
                <w:color w:val="auto"/>
              </w:rPr>
            </w:pPr>
          </w:p>
        </w:tc>
        <w:tc>
          <w:tcPr>
            <w:tcW w:w="2400" w:type="dxa"/>
            <w:vAlign w:val="bottom"/>
            <w:gridSpan w:val="6"/>
          </w:tcPr>
          <w:p>
            <w:pPr>
              <w:jc w:val="right"/>
              <w:spacing w:after="0"/>
              <w:rPr>
                <w:sz w:val="20"/>
                <w:szCs w:val="20"/>
                <w:color w:val="auto"/>
              </w:rPr>
            </w:pPr>
            <w:r>
              <w:rPr>
                <w:rFonts w:ascii="Arial" w:cs="Arial" w:eastAsia="Arial" w:hAnsi="Arial"/>
                <w:sz w:val="16"/>
                <w:szCs w:val="16"/>
                <w:b w:val="1"/>
                <w:bCs w:val="1"/>
                <w:color w:val="auto"/>
                <w:w w:val="92"/>
              </w:rPr>
              <w:t>Fiscal Year Ended September 30,</w:t>
            </w:r>
          </w:p>
        </w:tc>
        <w:tc>
          <w:tcPr>
            <w:tcW w:w="0" w:type="dxa"/>
            <w:vAlign w:val="bottom"/>
          </w:tcPr>
          <w:p>
            <w:pPr>
              <w:spacing w:after="0"/>
              <w:rPr>
                <w:sz w:val="1"/>
                <w:szCs w:val="1"/>
                <w:color w:val="auto"/>
              </w:rPr>
            </w:pPr>
          </w:p>
        </w:tc>
      </w:tr>
      <w:tr>
        <w:trPr>
          <w:trHeight w:val="210"/>
        </w:trPr>
        <w:tc>
          <w:tcPr>
            <w:tcW w:w="9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gridSpan w:val="3"/>
          </w:tcPr>
          <w:p>
            <w:pPr>
              <w:jc w:val="right"/>
              <w:spacing w:after="0"/>
              <w:rPr>
                <w:sz w:val="20"/>
                <w:szCs w:val="20"/>
                <w:color w:val="auto"/>
              </w:rPr>
            </w:pPr>
            <w:r>
              <w:rPr>
                <w:rFonts w:ascii="Arial" w:cs="Arial" w:eastAsia="Arial" w:hAnsi="Arial"/>
                <w:sz w:val="16"/>
                <w:szCs w:val="16"/>
                <w:b w:val="1"/>
                <w:bCs w:val="1"/>
                <w:color w:val="auto"/>
                <w:w w:val="84"/>
              </w:rPr>
              <w:t>2012</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90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9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auto"/>
                <w:w w:val="96"/>
              </w:rPr>
              <w:t>Crediamigo</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ind w:right="291"/>
              <w:spacing w:after="0" w:line="147"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90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w w:val="92"/>
              </w:rPr>
              <w:t>Acquisitions</w:t>
            </w:r>
          </w:p>
        </w:tc>
        <w:tc>
          <w:tcPr>
            <w:tcW w:w="0" w:type="dxa"/>
            <w:vAlign w:val="bottom"/>
          </w:tcPr>
          <w:p>
            <w:pPr>
              <w:spacing w:after="0"/>
              <w:rPr>
                <w:sz w:val="1"/>
                <w:szCs w:val="1"/>
                <w:color w:val="auto"/>
              </w:rPr>
            </w:pPr>
          </w:p>
        </w:tc>
      </w:tr>
      <w:tr>
        <w:trPr>
          <w:trHeight w:val="250"/>
        </w:trPr>
        <w:tc>
          <w:tcPr>
            <w:tcW w:w="9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20" w:type="dxa"/>
            <w:vAlign w:val="bottom"/>
            <w:gridSpan w:val="5"/>
          </w:tcPr>
          <w:p>
            <w:pPr>
              <w:jc w:val="right"/>
              <w:ind w:right="671"/>
              <w:spacing w:after="0"/>
              <w:rPr>
                <w:sz w:val="20"/>
                <w:szCs w:val="20"/>
                <w:color w:val="auto"/>
              </w:rPr>
            </w:pPr>
            <w:r>
              <w:rPr>
                <w:rFonts w:ascii="Arial" w:cs="Arial" w:eastAsia="Arial" w:hAnsi="Arial"/>
                <w:sz w:val="14"/>
                <w:szCs w:val="14"/>
                <w:i w:val="1"/>
                <w:iCs w:val="1"/>
                <w:color w:val="auto"/>
              </w:rPr>
              <w:t>(in thousands)</w:t>
            </w:r>
          </w:p>
        </w:tc>
        <w:tc>
          <w:tcPr>
            <w:tcW w:w="0" w:type="dxa"/>
            <w:vAlign w:val="bottom"/>
          </w:tcPr>
          <w:p>
            <w:pPr>
              <w:spacing w:after="0"/>
              <w:rPr>
                <w:sz w:val="1"/>
                <w:szCs w:val="1"/>
                <w:color w:val="auto"/>
              </w:rPr>
            </w:pPr>
          </w:p>
        </w:tc>
      </w:tr>
      <w:tr>
        <w:trPr>
          <w:trHeight w:val="256"/>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1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020" w:type="dxa"/>
            <w:vAlign w:val="bottom"/>
          </w:tcPr>
          <w:p>
            <w:pPr>
              <w:ind w:left="380"/>
              <w:spacing w:after="0"/>
              <w:rPr>
                <w:sz w:val="20"/>
                <w:szCs w:val="20"/>
                <w:color w:val="auto"/>
              </w:rPr>
            </w:pPr>
            <w:r>
              <w:rPr>
                <w:rFonts w:ascii="Arial" w:cs="Arial" w:eastAsia="Arial" w:hAnsi="Arial"/>
                <w:sz w:val="18"/>
                <w:szCs w:val="18"/>
                <w:color w:val="auto"/>
              </w:rPr>
              <w:t>Pawn loans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6,781</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Consumer loans, net</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8,935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3,641</w:t>
            </w:r>
          </w:p>
        </w:tc>
        <w:tc>
          <w:tcPr>
            <w:tcW w:w="0" w:type="dxa"/>
            <w:vAlign w:val="bottom"/>
          </w:tcPr>
          <w:p>
            <w:pPr>
              <w:spacing w:after="0"/>
              <w:rPr>
                <w:sz w:val="1"/>
                <w:szCs w:val="1"/>
                <w:color w:val="auto"/>
              </w:rPr>
            </w:pPr>
          </w:p>
        </w:tc>
      </w:tr>
      <w:tr>
        <w:trPr>
          <w:trHeight w:val="243"/>
        </w:trPr>
        <w:tc>
          <w:tcPr>
            <w:tcW w:w="9020" w:type="dxa"/>
            <w:vAlign w:val="bottom"/>
          </w:tcPr>
          <w:p>
            <w:pPr>
              <w:ind w:left="380"/>
              <w:spacing w:after="0"/>
              <w:rPr>
                <w:sz w:val="20"/>
                <w:szCs w:val="20"/>
                <w:color w:val="auto"/>
              </w:rPr>
            </w:pPr>
            <w:r>
              <w:rPr>
                <w:rFonts w:ascii="Arial" w:cs="Arial" w:eastAsia="Arial" w:hAnsi="Arial"/>
                <w:sz w:val="18"/>
                <w:szCs w:val="18"/>
                <w:color w:val="auto"/>
              </w:rPr>
              <w:t>Service charges and fees receivable, net</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18,844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1,940</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Inventory, net</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5,911</w:t>
            </w:r>
          </w:p>
        </w:tc>
        <w:tc>
          <w:tcPr>
            <w:tcW w:w="0" w:type="dxa"/>
            <w:vAlign w:val="bottom"/>
          </w:tcPr>
          <w:p>
            <w:pPr>
              <w:spacing w:after="0"/>
              <w:rPr>
                <w:sz w:val="1"/>
                <w:szCs w:val="1"/>
                <w:color w:val="auto"/>
              </w:rPr>
            </w:pPr>
          </w:p>
        </w:tc>
      </w:tr>
      <w:tr>
        <w:trPr>
          <w:trHeight w:val="243"/>
        </w:trPr>
        <w:tc>
          <w:tcPr>
            <w:tcW w:w="9020" w:type="dxa"/>
            <w:vAlign w:val="bottom"/>
          </w:tcPr>
          <w:p>
            <w:pPr>
              <w:ind w:left="380"/>
              <w:spacing w:after="0"/>
              <w:rPr>
                <w:sz w:val="20"/>
                <w:szCs w:val="20"/>
                <w:color w:val="auto"/>
              </w:rPr>
            </w:pPr>
            <w:r>
              <w:rPr>
                <w:rFonts w:ascii="Arial" w:cs="Arial" w:eastAsia="Arial" w:hAnsi="Arial"/>
                <w:sz w:val="18"/>
                <w:szCs w:val="18"/>
                <w:color w:val="auto"/>
              </w:rPr>
              <w:t>Deferred tax asset</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assets</w:t>
            </w: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3,543</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37"/>
        </w:trPr>
        <w:tc>
          <w:tcPr>
            <w:tcW w:w="902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1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31,322</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18,715</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4,061</w:t>
            </w:r>
          </w:p>
        </w:tc>
        <w:tc>
          <w:tcPr>
            <w:tcW w:w="0" w:type="dxa"/>
            <w:vAlign w:val="bottom"/>
          </w:tcPr>
          <w:p>
            <w:pPr>
              <w:spacing w:after="0"/>
              <w:rPr>
                <w:sz w:val="1"/>
                <w:szCs w:val="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99,486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99,747</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consumer loans, net</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56,120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Intangible assets</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16,400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3,980</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7,497</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37"/>
        </w:trPr>
        <w:tc>
          <w:tcPr>
            <w:tcW w:w="902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213,151</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126,797</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020" w:type="dxa"/>
            <w:vAlign w:val="bottom"/>
          </w:tcPr>
          <w:p>
            <w:pPr>
              <w:ind w:left="380"/>
              <w:spacing w:after="0"/>
              <w:rPr>
                <w:sz w:val="20"/>
                <w:szCs w:val="20"/>
                <w:color w:val="auto"/>
              </w:rPr>
            </w:pPr>
            <w:r>
              <w:rPr>
                <w:rFonts w:ascii="Arial" w:cs="Arial" w:eastAsia="Arial" w:hAnsi="Arial"/>
                <w:sz w:val="18"/>
                <w:szCs w:val="18"/>
                <w:color w:val="auto"/>
              </w:rPr>
              <w:t>Accounts payable and other accrued expenses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6,853</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5,496</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Customer layaway deposits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808</w:t>
            </w:r>
          </w:p>
        </w:tc>
        <w:tc>
          <w:tcPr>
            <w:tcW w:w="0" w:type="dxa"/>
            <w:vAlign w:val="bottom"/>
          </w:tcPr>
          <w:p>
            <w:pPr>
              <w:spacing w:after="0"/>
              <w:rPr>
                <w:sz w:val="1"/>
                <w:szCs w:val="1"/>
                <w:color w:val="auto"/>
              </w:rPr>
            </w:pPr>
          </w:p>
        </w:tc>
      </w:tr>
      <w:tr>
        <w:trPr>
          <w:trHeight w:val="243"/>
        </w:trPr>
        <w:tc>
          <w:tcPr>
            <w:tcW w:w="9020" w:type="dxa"/>
            <w:vAlign w:val="bottom"/>
          </w:tcPr>
          <w:p>
            <w:pPr>
              <w:ind w:left="380"/>
              <w:spacing w:after="0"/>
              <w:rPr>
                <w:sz w:val="20"/>
                <w:szCs w:val="20"/>
                <w:color w:val="auto"/>
              </w:rPr>
            </w:pPr>
            <w:r>
              <w:rPr>
                <w:rFonts w:ascii="Arial" w:cs="Arial" w:eastAsia="Arial" w:hAnsi="Arial"/>
                <w:sz w:val="18"/>
                <w:szCs w:val="18"/>
                <w:color w:val="auto"/>
              </w:rPr>
              <w:t>Current maturities of long-term debt</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22,810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37"/>
        </w:trPr>
        <w:tc>
          <w:tcPr>
            <w:tcW w:w="902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29,663</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6,561</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less current maturities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86,872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Deferred tax liability</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7"/>
        </w:trPr>
        <w:tc>
          <w:tcPr>
            <w:tcW w:w="90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116,706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6,674</w:t>
            </w:r>
          </w:p>
        </w:tc>
        <w:tc>
          <w:tcPr>
            <w:tcW w:w="0" w:type="dxa"/>
            <w:vAlign w:val="bottom"/>
          </w:tcPr>
          <w:p>
            <w:pPr>
              <w:spacing w:after="0"/>
              <w:rPr>
                <w:sz w:val="1"/>
                <w:szCs w:val="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Redeemable noncontrolling interest</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36,300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9,557</w:t>
            </w:r>
          </w:p>
        </w:tc>
        <w:tc>
          <w:tcPr>
            <w:tcW w:w="0" w:type="dxa"/>
            <w:vAlign w:val="bottom"/>
          </w:tcPr>
          <w:p>
            <w:pPr>
              <w:spacing w:after="0"/>
              <w:rPr>
                <w:sz w:val="1"/>
                <w:szCs w:val="1"/>
                <w:color w:val="auto"/>
              </w:rPr>
            </w:pPr>
          </w:p>
        </w:tc>
      </w:tr>
      <w:tr>
        <w:trPr>
          <w:trHeight w:val="27"/>
        </w:trPr>
        <w:tc>
          <w:tcPr>
            <w:tcW w:w="90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assets acquired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60,145</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110,566</w:t>
            </w:r>
          </w:p>
        </w:tc>
        <w:tc>
          <w:tcPr>
            <w:tcW w:w="0" w:type="dxa"/>
            <w:vAlign w:val="bottom"/>
          </w:tcPr>
          <w:p>
            <w:pPr>
              <w:spacing w:after="0"/>
              <w:rPr>
                <w:sz w:val="1"/>
                <w:szCs w:val="1"/>
                <w:color w:val="auto"/>
              </w:rPr>
            </w:pPr>
          </w:p>
        </w:tc>
      </w:tr>
      <w:tr>
        <w:trPr>
          <w:trHeight w:val="20"/>
        </w:trPr>
        <w:tc>
          <w:tcPr>
            <w:tcW w:w="90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EARNINGS PER SHARE</w:t>
      </w:r>
    </w:p>
    <w:p>
      <w:pPr>
        <w:spacing w:after="0" w:line="94"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We compute basic earnings per share on the basis of the weighted average number of shares of common stock outstanding during the period. We compute diluted earnings per share on the basis of the weighted average number of shares of common stock plus the effect of dilutive potential common shares outstanding during the period using the treasury stock method. Dilutive potential common shares include outstanding stock options and restricted stock awards.</w:t>
      </w:r>
    </w:p>
    <w:p>
      <w:pPr>
        <w:spacing w:after="0" w:line="187"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Potential common shares are required to be excluded from the computation of diluted earnings per share if the assumed proceeds upon exercise or vest, as defined by FASB ASC 718-10-25, are greater than the cost to re-acquire the same number of shares at the average market price, and therefore the effect would be anti-dilutive.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Components of basic and diluted earnings per share and excluded anti-dilutive potential common shares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9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December 31,</w:t>
            </w:r>
          </w:p>
        </w:tc>
        <w:tc>
          <w:tcPr>
            <w:tcW w:w="620" w:type="dxa"/>
            <w:vAlign w:val="bottom"/>
            <w:tcBorders>
              <w:bottom w:val="single" w:sz="8" w:color="auto"/>
            </w:tcBorders>
          </w:tcPr>
          <w:p>
            <w:pPr>
              <w:spacing w:after="0"/>
              <w:rPr>
                <w:sz w:val="16"/>
                <w:szCs w:val="16"/>
                <w:color w:val="auto"/>
              </w:rPr>
            </w:pPr>
          </w:p>
        </w:tc>
      </w:tr>
      <w:tr>
        <w:trPr>
          <w:trHeight w:val="264"/>
        </w:trPr>
        <w:tc>
          <w:tcPr>
            <w:tcW w:w="7900" w:type="dxa"/>
            <w:vAlign w:val="bottom"/>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2011</w:t>
            </w:r>
          </w:p>
        </w:tc>
        <w:tc>
          <w:tcPr>
            <w:tcW w:w="620" w:type="dxa"/>
            <w:vAlign w:val="bottom"/>
            <w:tcBorders>
              <w:bottom w:val="single" w:sz="8" w:color="auto"/>
            </w:tcBorders>
          </w:tcPr>
          <w:p>
            <w:pPr>
              <w:spacing w:after="0"/>
              <w:rPr>
                <w:sz w:val="22"/>
                <w:szCs w:val="22"/>
                <w:color w:val="auto"/>
              </w:rPr>
            </w:pPr>
          </w:p>
        </w:tc>
      </w:tr>
      <w:tr>
        <w:trPr>
          <w:trHeight w:val="196"/>
        </w:trPr>
        <w:tc>
          <w:tcPr>
            <w:tcW w:w="7900" w:type="dxa"/>
            <w:vAlign w:val="bottom"/>
          </w:tcPr>
          <w:p>
            <w:pPr>
              <w:spacing w:after="0"/>
              <w:rPr>
                <w:sz w:val="17"/>
                <w:szCs w:val="17"/>
                <w:color w:val="auto"/>
              </w:rPr>
            </w:pPr>
          </w:p>
        </w:tc>
        <w:tc>
          <w:tcPr>
            <w:tcW w:w="3520" w:type="dxa"/>
            <w:vAlign w:val="bottom"/>
            <w:gridSpan w:val="5"/>
          </w:tcPr>
          <w:p>
            <w:pPr>
              <w:jc w:val="right"/>
              <w:ind w:right="470"/>
              <w:spacing w:after="0"/>
              <w:rPr>
                <w:sz w:val="20"/>
                <w:szCs w:val="20"/>
                <w:color w:val="auto"/>
              </w:rPr>
            </w:pPr>
            <w:r>
              <w:rPr>
                <w:rFonts w:ascii="Arial" w:cs="Arial" w:eastAsia="Arial" w:hAnsi="Arial"/>
                <w:sz w:val="14"/>
                <w:szCs w:val="14"/>
                <w:i w:val="1"/>
                <w:iCs w:val="1"/>
                <w:color w:val="auto"/>
              </w:rPr>
              <w:t>(in thousands, except per share amounts)</w:t>
            </w: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EZCORP (A)</w:t>
            </w:r>
          </w:p>
        </w:tc>
        <w:tc>
          <w:tcPr>
            <w:tcW w:w="106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4"/>
              </w:rPr>
              <w:t>30,717</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874"/>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39,352</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Weighted average outstanding shares of common stock (B)</w:t>
            </w:r>
          </w:p>
        </w:tc>
        <w:tc>
          <w:tcPr>
            <w:tcW w:w="106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w w:val="94"/>
              </w:rPr>
              <w:t>52,049</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w w:val="90"/>
              </w:rPr>
              <w:t>50,355</w:t>
            </w: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Dilutive effect of stock options and restricted stock</w:t>
            </w:r>
          </w:p>
        </w:tc>
        <w:tc>
          <w:tcPr>
            <w:tcW w:w="10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338</w:t>
            </w:r>
          </w:p>
        </w:tc>
      </w:tr>
      <w:tr>
        <w:trPr>
          <w:trHeight w:val="297"/>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Weighted average common stock and common stock equivalents (C)</w:t>
            </w:r>
          </w:p>
        </w:tc>
        <w:tc>
          <w:tcPr>
            <w:tcW w:w="1060" w:type="dxa"/>
            <w:vAlign w:val="bottom"/>
            <w:tcBorders>
              <w:top w:val="single" w:sz="8" w:color="auto"/>
              <w:bottom w:val="single" w:sz="8" w:color="auto"/>
            </w:tcBorders>
          </w:tcPr>
          <w:p>
            <w:pPr>
              <w:spacing w:after="0"/>
              <w:rPr>
                <w:sz w:val="24"/>
                <w:szCs w:val="24"/>
                <w:color w:val="auto"/>
              </w:rPr>
            </w:pPr>
          </w:p>
        </w:tc>
        <w:tc>
          <w:tcPr>
            <w:tcW w:w="6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4"/>
              </w:rPr>
              <w:t>52,112</w:t>
            </w:r>
          </w:p>
        </w:tc>
        <w:tc>
          <w:tcPr>
            <w:tcW w:w="100" w:type="dxa"/>
            <w:vAlign w:val="bottom"/>
            <w:tcBorders>
              <w:bottom w:val="single" w:sz="8" w:color="CCEEFF"/>
            </w:tcBorders>
          </w:tcPr>
          <w:p>
            <w:pPr>
              <w:spacing w:after="0"/>
              <w:rPr>
                <w:sz w:val="24"/>
                <w:szCs w:val="24"/>
                <w:color w:val="auto"/>
              </w:rPr>
            </w:pPr>
          </w:p>
        </w:tc>
        <w:tc>
          <w:tcPr>
            <w:tcW w:w="1080" w:type="dxa"/>
            <w:vAlign w:val="bottom"/>
            <w:tcBorders>
              <w:top w:val="single" w:sz="8" w:color="auto"/>
              <w:bottom w:val="single" w:sz="8" w:color="auto"/>
            </w:tcBorders>
          </w:tcPr>
          <w:p>
            <w:pPr>
              <w:spacing w:after="0"/>
              <w:rPr>
                <w:sz w:val="24"/>
                <w:szCs w:val="24"/>
                <w:color w:val="auto"/>
              </w:rPr>
            </w:pPr>
          </w:p>
        </w:tc>
        <w:tc>
          <w:tcPr>
            <w:tcW w:w="6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0"/>
              </w:rPr>
              <w:t>50,693</w:t>
            </w:r>
          </w:p>
        </w:tc>
      </w:tr>
      <w:tr>
        <w:trPr>
          <w:trHeight w:val="251"/>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share (A/B)</w:t>
            </w:r>
          </w:p>
        </w:tc>
        <w:tc>
          <w:tcPr>
            <w:tcW w:w="1060" w:type="dxa"/>
            <w:vAlign w:val="bottom"/>
            <w:tcBorders>
              <w:bottom w:val="single" w:sz="8" w:color="auto"/>
            </w:tcBorders>
            <w:shd w:val="clear" w:color="auto" w:fill="CCEEFF"/>
          </w:tcPr>
          <w:p>
            <w:pPr>
              <w:jc w:val="right"/>
              <w:ind w:right="859"/>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0.59</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874"/>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0.78</w:t>
            </w:r>
          </w:p>
        </w:tc>
      </w:tr>
      <w:tr>
        <w:trPr>
          <w:trHeight w:val="20"/>
        </w:trPr>
        <w:tc>
          <w:tcPr>
            <w:tcW w:w="79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291"/>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Diluted earnings per share (A/C)</w:t>
            </w:r>
          </w:p>
        </w:tc>
        <w:tc>
          <w:tcPr>
            <w:tcW w:w="1060" w:type="dxa"/>
            <w:vAlign w:val="bottom"/>
            <w:tcBorders>
              <w:bottom w:val="single" w:sz="8" w:color="auto"/>
            </w:tcBorders>
          </w:tcPr>
          <w:p>
            <w:pPr>
              <w:jc w:val="right"/>
              <w:ind w:right="859"/>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0.59</w:t>
            </w:r>
          </w:p>
        </w:tc>
        <w:tc>
          <w:tcPr>
            <w:tcW w:w="100" w:type="dxa"/>
            <w:vAlign w:val="bottom"/>
            <w:tcBorders>
              <w:bottom w:val="single" w:sz="8" w:color="CCEEFF"/>
            </w:tcBorders>
          </w:tcPr>
          <w:p>
            <w:pPr>
              <w:spacing w:after="0"/>
              <w:rPr>
                <w:sz w:val="24"/>
                <w:szCs w:val="24"/>
                <w:color w:val="auto"/>
              </w:rPr>
            </w:pPr>
          </w:p>
        </w:tc>
        <w:tc>
          <w:tcPr>
            <w:tcW w:w="1080" w:type="dxa"/>
            <w:vAlign w:val="bottom"/>
            <w:tcBorders>
              <w:bottom w:val="single" w:sz="8" w:color="auto"/>
            </w:tcBorders>
          </w:tcPr>
          <w:p>
            <w:pPr>
              <w:jc w:val="right"/>
              <w:ind w:right="874"/>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0.78</w:t>
            </w:r>
          </w:p>
        </w:tc>
      </w:tr>
      <w:tr>
        <w:trPr>
          <w:trHeight w:val="230"/>
        </w:trPr>
        <w:tc>
          <w:tcPr>
            <w:tcW w:w="7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Potential common shares excluded from the calculation of diluted earnings per share</w:t>
            </w:r>
          </w:p>
        </w:tc>
        <w:tc>
          <w:tcPr>
            <w:tcW w:w="106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r>
      <w:tr>
        <w:trPr>
          <w:trHeight w:val="27"/>
        </w:trPr>
        <w:tc>
          <w:tcPr>
            <w:tcW w:w="79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1" w:right="239" w:bottom="1440" w:gutter="0" w:footer="0" w:header="0"/>
          <w:type w:val="continuous"/>
        </w:sectPr>
      </w:pPr>
    </w:p>
    <w:bookmarkStart w:id="12" w:name="page13"/>
    <w:bookmarkEnd w:id="1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STRATEGIC INVESTMENTS</w:t>
      </w:r>
    </w:p>
    <w:p>
      <w:pPr>
        <w:spacing w:after="0" w:line="9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At December 31, 2012, we owned 16,644,640 ordinary shares of Albemarle &amp; Bond Holdings, PLC ("Albermarle &amp; Bond"), representing almost 30% of its total outstanding shares. Our total cost for those shares was approximately $27.6 million. Albemarle &amp; Bond is primarily engaged in pawnbroking, retail jewelry sales, check cashing and lending in the United Kingdom. We account for the investment using the equity method. Since Albemarle &amp; Bond’s fiscal year ends three months prior to ours, we report the income from this investment on a three-month lag. Albemarle &amp; Bond files semi-annual financial reports for its fiscal periods ending December 31 and June 30. The income reported for our three months ended December 31, 2012 represents our percentage interest in the results of Albemarle &amp; Bond’s operations from July 1, 2012 to September 30, 2012.</w:t>
      </w:r>
    </w:p>
    <w:p>
      <w:pPr>
        <w:spacing w:after="0" w:line="124"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Conversion of Albemarle &amp; Bond’s financial statements into U.S. GAAP resulted in no material differences from those reported by Albemarle &amp; Bond following IFRS.</w:t>
      </w:r>
    </w:p>
    <w:p>
      <w:pPr>
        <w:spacing w:after="0" w:line="1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its functional currency of British pounds, Albemarle &amp; Bond’s total assets increased 14% from June 30, 2011 to June 30, 2012 and its net income improved 2% for the year ended June 30, 2012. The following table presents summary financial information for Albemarle &amp; Bond’s most recently reported results after translation to U.S. dollars (using the exchange rate as of June 30 of each year for balance sheet items and average exchange rates for the income statement items for the periods indicated):</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0"/>
        <w:spacing w:after="0"/>
        <w:rPr>
          <w:sz w:val="20"/>
          <w:szCs w:val="20"/>
          <w:color w:val="auto"/>
        </w:rPr>
      </w:pPr>
      <w:r>
        <w:rPr>
          <w:rFonts w:ascii="Arial" w:cs="Arial" w:eastAsia="Arial" w:hAnsi="Arial"/>
          <w:sz w:val="18"/>
          <w:szCs w:val="18"/>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885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7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Total assets</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Non-current liabilities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885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70" w:lineRule="exact"/>
        <w:rPr>
          <w:sz w:val="20"/>
          <w:szCs w:val="20"/>
          <w:color w:val="auto"/>
        </w:rPr>
      </w:pPr>
    </w:p>
    <w:p>
      <w:pPr>
        <w:jc w:val="right"/>
        <w:ind w:right="4580"/>
        <w:spacing w:after="0"/>
        <w:rPr>
          <w:sz w:val="20"/>
          <w:szCs w:val="20"/>
          <w:color w:val="auto"/>
        </w:rPr>
      </w:pPr>
      <w:r>
        <w:rPr>
          <w:rFonts w:ascii="Arial" w:cs="Arial" w:eastAsia="Arial" w:hAnsi="Arial"/>
          <w:sz w:val="18"/>
          <w:szCs w:val="18"/>
          <w:color w:val="auto"/>
        </w:rPr>
        <w:t>Total liabilities and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718185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0"/>
        <w:spacing w:after="0"/>
        <w:rPr>
          <w:sz w:val="20"/>
          <w:szCs w:val="20"/>
          <w:color w:val="auto"/>
        </w:rPr>
      </w:pPr>
      <w:r>
        <w:rPr>
          <w:rFonts w:ascii="Arial" w:cs="Arial" w:eastAsia="Arial" w:hAnsi="Arial"/>
          <w:sz w:val="18"/>
          <w:szCs w:val="18"/>
          <w:color w:val="auto"/>
        </w:rPr>
        <w:t>Gross revenues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Gross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Profit for the year (net income)</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As of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23495</wp:posOffset>
            </wp:positionV>
            <wp:extent cx="18097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2011</w:t>
            </w:r>
          </w:p>
        </w:tc>
      </w:tr>
      <w:tr>
        <w:trPr>
          <w:trHeight w:val="190"/>
        </w:trPr>
        <w:tc>
          <w:tcPr>
            <w:tcW w:w="320" w:type="dxa"/>
            <w:vAlign w:val="bottom"/>
          </w:tcPr>
          <w:p>
            <w:pPr>
              <w:spacing w:after="0"/>
              <w:rPr>
                <w:sz w:val="16"/>
                <w:szCs w:val="16"/>
                <w:color w:val="auto"/>
              </w:rPr>
            </w:pPr>
          </w:p>
        </w:tc>
        <w:tc>
          <w:tcPr>
            <w:tcW w:w="1620" w:type="dxa"/>
            <w:vAlign w:val="bottom"/>
            <w:gridSpan w:val="3"/>
          </w:tcPr>
          <w:p>
            <w:pPr>
              <w:jc w:val="right"/>
              <w:ind w:right="10"/>
              <w:spacing w:after="0"/>
              <w:rPr>
                <w:sz w:val="20"/>
                <w:szCs w:val="20"/>
                <w:color w:val="auto"/>
              </w:rPr>
            </w:pPr>
            <w:r>
              <w:rPr>
                <w:rFonts w:ascii="Arial" w:cs="Arial" w:eastAsia="Arial" w:hAnsi="Arial"/>
                <w:sz w:val="14"/>
                <w:szCs w:val="14"/>
                <w:i w:val="1"/>
                <w:iCs w:val="1"/>
                <w:color w:val="auto"/>
              </w:rPr>
              <w:t>(in thousands)</w:t>
            </w:r>
          </w:p>
        </w:tc>
        <w:tc>
          <w:tcPr>
            <w:tcW w:w="900" w:type="dxa"/>
            <w:vAlign w:val="bottom"/>
          </w:tcPr>
          <w:p>
            <w:pPr>
              <w:spacing w:after="0"/>
              <w:rPr>
                <w:sz w:val="16"/>
                <w:szCs w:val="16"/>
                <w:color w:val="auto"/>
              </w:rPr>
            </w:pPr>
          </w:p>
        </w:tc>
      </w:tr>
      <w:tr>
        <w:trPr>
          <w:trHeight w:val="255"/>
        </w:trPr>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141,880</w:t>
            </w:r>
          </w:p>
        </w:tc>
        <w:tc>
          <w:tcPr>
            <w:tcW w:w="120" w:type="dxa"/>
            <w:vAlign w:val="bottom"/>
          </w:tcPr>
          <w:p>
            <w:pPr>
              <w:spacing w:after="0"/>
              <w:rPr>
                <w:sz w:val="22"/>
                <w:szCs w:val="22"/>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125,862</w:t>
            </w:r>
          </w:p>
        </w:tc>
      </w:tr>
      <w:tr>
        <w:trPr>
          <w:trHeight w:val="270"/>
        </w:trPr>
        <w:tc>
          <w:tcPr>
            <w:tcW w:w="320" w:type="dxa"/>
            <w:vAlign w:val="bottom"/>
          </w:tcPr>
          <w:p>
            <w:pPr>
              <w:spacing w:after="0"/>
              <w:rPr>
                <w:sz w:val="23"/>
                <w:szCs w:val="23"/>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69,282</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64,325</w:t>
            </w:r>
          </w:p>
        </w:tc>
      </w:tr>
      <w:tr>
        <w:trPr>
          <w:trHeight w:val="27"/>
        </w:trPr>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211,162</w:t>
            </w:r>
          </w:p>
        </w:tc>
        <w:tc>
          <w:tcPr>
            <w:tcW w:w="120" w:type="dxa"/>
            <w:vAlign w:val="bottom"/>
          </w:tcPr>
          <w:p>
            <w:pPr>
              <w:spacing w:after="0"/>
              <w:rPr>
                <w:sz w:val="20"/>
                <w:szCs w:val="20"/>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190,187</w:t>
            </w:r>
          </w:p>
        </w:tc>
      </w:tr>
      <w:tr>
        <w:trPr>
          <w:trHeight w:val="27"/>
        </w:trPr>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24"/>
        </w:trPr>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15,772</w:t>
            </w:r>
          </w:p>
        </w:tc>
        <w:tc>
          <w:tcPr>
            <w:tcW w:w="12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18,620</w:t>
            </w:r>
          </w:p>
        </w:tc>
      </w:tr>
      <w:tr>
        <w:trPr>
          <w:trHeight w:val="270"/>
        </w:trPr>
        <w:tc>
          <w:tcPr>
            <w:tcW w:w="320" w:type="dxa"/>
            <w:vAlign w:val="bottom"/>
          </w:tcPr>
          <w:p>
            <w:pPr>
              <w:spacing w:after="0"/>
              <w:rPr>
                <w:sz w:val="23"/>
                <w:szCs w:val="23"/>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70,016</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57,016</w:t>
            </w:r>
          </w:p>
        </w:tc>
      </w:tr>
      <w:tr>
        <w:trPr>
          <w:trHeight w:val="270"/>
        </w:trPr>
        <w:tc>
          <w:tcPr>
            <w:tcW w:w="320" w:type="dxa"/>
            <w:vAlign w:val="bottom"/>
          </w:tcPr>
          <w:p>
            <w:pPr>
              <w:spacing w:after="0"/>
              <w:rPr>
                <w:sz w:val="23"/>
                <w:szCs w:val="23"/>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125,374</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114,551</w:t>
            </w:r>
          </w:p>
        </w:tc>
      </w:tr>
      <w:tr>
        <w:trPr>
          <w:trHeight w:val="27"/>
        </w:trPr>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211,162</w:t>
            </w:r>
          </w:p>
        </w:tc>
        <w:tc>
          <w:tcPr>
            <w:tcW w:w="120" w:type="dxa"/>
            <w:vAlign w:val="bottom"/>
          </w:tcPr>
          <w:p>
            <w:pPr>
              <w:spacing w:after="0"/>
              <w:rPr>
                <w:sz w:val="20"/>
                <w:szCs w:val="20"/>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190,187</w:t>
            </w:r>
          </w:p>
        </w:tc>
      </w:tr>
      <w:tr>
        <w:trPr>
          <w:trHeight w:val="27"/>
        </w:trPr>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Year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23495</wp:posOffset>
            </wp:positionV>
            <wp:extent cx="18097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03" w:lineRule="exact"/>
        <w:rPr>
          <w:sz w:val="20"/>
          <w:szCs w:val="20"/>
          <w:color w:val="auto"/>
        </w:rPr>
      </w:pPr>
    </w:p>
    <w:p>
      <w:pPr>
        <w:ind w:left="540"/>
        <w:spacing w:after="0"/>
        <w:tabs>
          <w:tab w:leader="none" w:pos="2000" w:val="left"/>
        </w:tabs>
        <w:rPr>
          <w:sz w:val="20"/>
          <w:szCs w:val="20"/>
          <w:color w:val="auto"/>
        </w:rPr>
      </w:pPr>
      <w:r>
        <w:rPr>
          <w:rFonts w:ascii="Arial" w:cs="Arial" w:eastAsia="Arial" w:hAnsi="Arial"/>
          <w:sz w:val="14"/>
          <w:szCs w:val="14"/>
          <w:b w:val="1"/>
          <w:bCs w:val="1"/>
          <w:color w:val="auto"/>
        </w:rPr>
        <w:t>2012</w:t>
      </w:r>
      <w:r>
        <w:rPr>
          <w:sz w:val="20"/>
          <w:szCs w:val="20"/>
          <w:color w:val="auto"/>
        </w:rPr>
        <w:tab/>
      </w:r>
      <w:r>
        <w:rPr>
          <w:rFonts w:ascii="Arial" w:cs="Arial" w:eastAsia="Arial" w:hAnsi="Arial"/>
          <w:sz w:val="14"/>
          <w:szCs w:val="14"/>
          <w:b w:val="1"/>
          <w:bCs w:val="1"/>
          <w:color w:val="auto"/>
        </w:rPr>
        <w:t>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23495</wp:posOffset>
            </wp:positionV>
            <wp:extent cx="18097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9" w:lineRule="exact"/>
        <w:rPr>
          <w:sz w:val="20"/>
          <w:szCs w:val="20"/>
          <w:color w:val="auto"/>
        </w:rPr>
      </w:pPr>
    </w:p>
    <w:p>
      <w:pPr>
        <w:ind w:left="1020"/>
        <w:spacing w:after="0"/>
        <w:rPr>
          <w:sz w:val="20"/>
          <w:szCs w:val="20"/>
          <w:color w:val="auto"/>
        </w:rPr>
      </w:pPr>
      <w:r>
        <w:rPr>
          <w:rFonts w:ascii="Arial" w:cs="Arial" w:eastAsia="Arial" w:hAnsi="Arial"/>
          <w:sz w:val="14"/>
          <w:szCs w:val="14"/>
          <w:i w:val="1"/>
          <w:iCs w:val="1"/>
          <w:color w:val="auto"/>
        </w:rPr>
        <w:t>(in thousands)</w:t>
      </w:r>
    </w:p>
    <w:p>
      <w:pPr>
        <w:spacing w:after="0" w:line="46" w:lineRule="exact"/>
        <w:rPr>
          <w:sz w:val="20"/>
          <w:szCs w:val="20"/>
          <w:color w:val="auto"/>
        </w:rPr>
      </w:pPr>
    </w:p>
    <w:p>
      <w:pPr>
        <w:ind w:left="20"/>
        <w:spacing w:after="0"/>
        <w:tabs>
          <w:tab w:leader="none" w:pos="660" w:val="left"/>
          <w:tab w:leader="none" w:pos="1480" w:val="left"/>
          <w:tab w:leader="none" w:pos="21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186,479</w:t>
        <w:tab/>
        <w:t>$</w:t>
      </w:r>
      <w:r>
        <w:rPr>
          <w:sz w:val="20"/>
          <w:szCs w:val="20"/>
          <w:color w:val="auto"/>
        </w:rPr>
        <w:tab/>
      </w:r>
      <w:r>
        <w:rPr>
          <w:rFonts w:ascii="Arial" w:cs="Arial" w:eastAsia="Arial" w:hAnsi="Arial"/>
          <w:sz w:val="16"/>
          <w:szCs w:val="16"/>
          <w:color w:val="auto"/>
        </w:rPr>
        <w:t>162,002</w:t>
      </w:r>
    </w:p>
    <w:p>
      <w:pPr>
        <w:spacing w:after="0" w:line="63" w:lineRule="exact"/>
        <w:rPr>
          <w:sz w:val="20"/>
          <w:szCs w:val="20"/>
          <w:color w:val="auto"/>
        </w:rPr>
      </w:pPr>
    </w:p>
    <w:p>
      <w:pPr>
        <w:ind w:left="680"/>
        <w:spacing w:after="0"/>
        <w:tabs>
          <w:tab w:leader="none" w:pos="2220" w:val="left"/>
        </w:tabs>
        <w:rPr>
          <w:sz w:val="20"/>
          <w:szCs w:val="20"/>
          <w:color w:val="auto"/>
        </w:rPr>
      </w:pPr>
      <w:r>
        <w:rPr>
          <w:rFonts w:ascii="Arial" w:cs="Arial" w:eastAsia="Arial" w:hAnsi="Arial"/>
          <w:sz w:val="18"/>
          <w:szCs w:val="18"/>
          <w:color w:val="auto"/>
        </w:rPr>
        <w:t>109,474</w:t>
      </w:r>
      <w:r>
        <w:rPr>
          <w:sz w:val="20"/>
          <w:szCs w:val="20"/>
          <w:color w:val="auto"/>
        </w:rPr>
        <w:tab/>
      </w:r>
      <w:r>
        <w:rPr>
          <w:rFonts w:ascii="Arial" w:cs="Arial" w:eastAsia="Arial" w:hAnsi="Arial"/>
          <w:sz w:val="18"/>
          <w:szCs w:val="18"/>
          <w:color w:val="auto"/>
        </w:rPr>
        <w:t>97,197</w:t>
      </w:r>
    </w:p>
    <w:p>
      <w:pPr>
        <w:spacing w:after="0" w:line="63" w:lineRule="exact"/>
        <w:rPr>
          <w:sz w:val="20"/>
          <w:szCs w:val="20"/>
          <w:color w:val="auto"/>
        </w:rPr>
      </w:pPr>
    </w:p>
    <w:p>
      <w:pPr>
        <w:ind w:left="760"/>
        <w:spacing w:after="0"/>
        <w:tabs>
          <w:tab w:leader="none" w:pos="2220" w:val="left"/>
        </w:tabs>
        <w:rPr>
          <w:sz w:val="20"/>
          <w:szCs w:val="20"/>
          <w:color w:val="auto"/>
        </w:rPr>
      </w:pPr>
      <w:r>
        <w:rPr>
          <w:rFonts w:ascii="Arial" w:cs="Arial" w:eastAsia="Arial" w:hAnsi="Arial"/>
          <w:sz w:val="18"/>
          <w:szCs w:val="18"/>
          <w:color w:val="auto"/>
        </w:rPr>
        <w:t>24,835</w:t>
      </w:r>
      <w:r>
        <w:rPr>
          <w:sz w:val="20"/>
          <w:szCs w:val="20"/>
          <w:color w:val="auto"/>
        </w:rPr>
        <w:tab/>
      </w:r>
      <w:r>
        <w:rPr>
          <w:rFonts w:ascii="Arial" w:cs="Arial" w:eastAsia="Arial" w:hAnsi="Arial"/>
          <w:sz w:val="18"/>
          <w:szCs w:val="18"/>
          <w:color w:val="auto"/>
        </w:rPr>
        <w:t>24,324</w:t>
      </w:r>
    </w:p>
    <w:p>
      <w:pPr>
        <w:spacing w:after="0" w:line="200" w:lineRule="exact"/>
        <w:rPr>
          <w:sz w:val="20"/>
          <w:szCs w:val="20"/>
          <w:color w:val="auto"/>
        </w:rPr>
      </w:pPr>
    </w:p>
    <w:p>
      <w:pPr>
        <w:sectPr>
          <w:pgSz w:w="11900" w:h="16838" w:orient="portrait"/>
          <w:cols w:equalWidth="0" w:num="2">
            <w:col w:w="7860" w:space="720"/>
            <w:col w:w="2840"/>
          </w:cols>
          <w:pgMar w:left="240" w:top="122" w:right="239" w:bottom="1440" w:gutter="0" w:footer="0" w:header="0"/>
          <w:type w:val="continuous"/>
        </w:sectPr>
      </w:pPr>
    </w:p>
    <w:p>
      <w:pPr>
        <w:spacing w:after="0" w:line="214"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At December 31, 2012, we owned 136,848,000 shares, or approximately 33% of Cash Converters International Limited ("Cash Converters International"), a publicly traded company headquartered in Perth, Australia. Cash Converters International franchises and operates a worldwide network of over 700 specialty financial services and retail stores that provide pawn loans, short-term unsecured loans and other consumer finance products, and buy and sell second-hand goods, with significant store concentrations in Australia and the United Kingdom. Those shares include 12,430,000 shares that we acquired in November 2012 for approximately $11.0 million in cash as part of a share placement. Our total investment in Cash Converters International was acquired between November 2009 and November 2012 for approximately $68.8 million.</w:t>
      </w:r>
    </w:p>
    <w:p>
      <w:pPr>
        <w:spacing w:after="0" w:line="12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account for our investment in Cash Converters International using the equity method. Since Cash Converters International’s fiscal year ends three months prior to ours, we report the income from this investment on a three-month lag. Cash Converters International files semi-annual financial reports for its fiscal periods ending December 31 and June 30. Due to the three-month lag, income reported for our three months ended December 31, 2012 and 2011 represents our percentage interest in the results of Cash Converters International’s operations from July 1, 2012 to September 30, 2012 and July 1, 2011 to September 30, 2011, respectively.</w:t>
      </w:r>
    </w:p>
    <w:p>
      <w:pPr>
        <w:spacing w:after="0" w:line="134"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Conversion of Cash Converters International’s financial statements into U.S. GAAP resulted in no material differences from those reported by Cash Converters following IFRS.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2" w:right="239" w:bottom="1440" w:gutter="0" w:footer="0" w:header="0"/>
          <w:type w:val="continuous"/>
        </w:sectPr>
      </w:pPr>
    </w:p>
    <w:bookmarkStart w:id="13" w:name="page14"/>
    <w:bookmarkEnd w:id="1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its functional currency of Australian dollars, Cash Converters International’s total assets increased 17% from June 30, 2011 to June 30, 2012 and its net income improved 6% for the year ended June 30, 2012. The following table presents summary financial information for Cash Converters International’s most recently reported results after translation to U.S. dollars (using the exchange rate as of June 30 of each year for balance sheet items and average exchange rates for the income statement items for the periods indicated):</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0"/>
        <w:spacing w:after="0"/>
        <w:rPr>
          <w:sz w:val="20"/>
          <w:szCs w:val="20"/>
          <w:color w:val="auto"/>
        </w:rPr>
      </w:pPr>
      <w:r>
        <w:rPr>
          <w:rFonts w:ascii="Arial" w:cs="Arial" w:eastAsia="Arial" w:hAnsi="Arial"/>
          <w:sz w:val="18"/>
          <w:szCs w:val="18"/>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885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7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Total assets</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Non-current liabilities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885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70" w:lineRule="exact"/>
        <w:rPr>
          <w:sz w:val="20"/>
          <w:szCs w:val="20"/>
          <w:color w:val="auto"/>
        </w:rPr>
      </w:pPr>
    </w:p>
    <w:p>
      <w:pPr>
        <w:jc w:val="right"/>
        <w:ind w:right="4580"/>
        <w:spacing w:after="0"/>
        <w:rPr>
          <w:sz w:val="20"/>
          <w:szCs w:val="20"/>
          <w:color w:val="auto"/>
        </w:rPr>
      </w:pPr>
      <w:r>
        <w:rPr>
          <w:rFonts w:ascii="Arial" w:cs="Arial" w:eastAsia="Arial" w:hAnsi="Arial"/>
          <w:sz w:val="18"/>
          <w:szCs w:val="18"/>
          <w:color w:val="auto"/>
        </w:rPr>
        <w:t>Total liabilities and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701040</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0"/>
        <w:spacing w:after="0"/>
        <w:rPr>
          <w:sz w:val="20"/>
          <w:szCs w:val="20"/>
          <w:color w:val="auto"/>
        </w:rPr>
      </w:pPr>
      <w:r>
        <w:rPr>
          <w:rFonts w:ascii="Arial" w:cs="Arial" w:eastAsia="Arial" w:hAnsi="Arial"/>
          <w:sz w:val="18"/>
          <w:szCs w:val="18"/>
          <w:color w:val="auto"/>
        </w:rPr>
        <w:t>Gross revenues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Gross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Profit for the year (net income)</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As of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23495</wp:posOffset>
            </wp:positionV>
            <wp:extent cx="180975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2011</w:t>
            </w:r>
          </w:p>
        </w:tc>
      </w:tr>
      <w:tr>
        <w:trPr>
          <w:trHeight w:val="190"/>
        </w:trPr>
        <w:tc>
          <w:tcPr>
            <w:tcW w:w="320" w:type="dxa"/>
            <w:vAlign w:val="bottom"/>
          </w:tcPr>
          <w:p>
            <w:pPr>
              <w:spacing w:after="0"/>
              <w:rPr>
                <w:sz w:val="16"/>
                <w:szCs w:val="16"/>
                <w:color w:val="auto"/>
              </w:rPr>
            </w:pPr>
          </w:p>
        </w:tc>
        <w:tc>
          <w:tcPr>
            <w:tcW w:w="1620" w:type="dxa"/>
            <w:vAlign w:val="bottom"/>
            <w:gridSpan w:val="3"/>
          </w:tcPr>
          <w:p>
            <w:pPr>
              <w:jc w:val="center"/>
              <w:ind w:left="516"/>
              <w:spacing w:after="0"/>
              <w:rPr>
                <w:sz w:val="20"/>
                <w:szCs w:val="20"/>
                <w:color w:val="auto"/>
              </w:rPr>
            </w:pPr>
            <w:r>
              <w:rPr>
                <w:rFonts w:ascii="Arial" w:cs="Arial" w:eastAsia="Arial" w:hAnsi="Arial"/>
                <w:sz w:val="14"/>
                <w:szCs w:val="14"/>
                <w:i w:val="1"/>
                <w:iCs w:val="1"/>
                <w:color w:val="auto"/>
                <w:w w:val="92"/>
              </w:rPr>
              <w:t>(in thousands)</w:t>
            </w:r>
          </w:p>
        </w:tc>
        <w:tc>
          <w:tcPr>
            <w:tcW w:w="900" w:type="dxa"/>
            <w:vAlign w:val="bottom"/>
          </w:tcPr>
          <w:p>
            <w:pPr>
              <w:spacing w:after="0"/>
              <w:rPr>
                <w:sz w:val="16"/>
                <w:szCs w:val="16"/>
                <w:color w:val="auto"/>
              </w:rPr>
            </w:pPr>
          </w:p>
        </w:tc>
      </w:tr>
      <w:tr>
        <w:trPr>
          <w:trHeight w:val="255"/>
        </w:trPr>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137,646</w:t>
            </w:r>
          </w:p>
        </w:tc>
        <w:tc>
          <w:tcPr>
            <w:tcW w:w="120" w:type="dxa"/>
            <w:vAlign w:val="bottom"/>
          </w:tcPr>
          <w:p>
            <w:pPr>
              <w:spacing w:after="0"/>
              <w:rPr>
                <w:sz w:val="22"/>
                <w:szCs w:val="22"/>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119,633</w:t>
            </w:r>
          </w:p>
        </w:tc>
      </w:tr>
      <w:tr>
        <w:trPr>
          <w:trHeight w:val="270"/>
        </w:trPr>
        <w:tc>
          <w:tcPr>
            <w:tcW w:w="320" w:type="dxa"/>
            <w:vAlign w:val="bottom"/>
          </w:tcPr>
          <w:p>
            <w:pPr>
              <w:spacing w:after="0"/>
              <w:rPr>
                <w:sz w:val="23"/>
                <w:szCs w:val="23"/>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129,274</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117,301</w:t>
            </w:r>
          </w:p>
        </w:tc>
      </w:tr>
      <w:tr>
        <w:trPr>
          <w:trHeight w:val="27"/>
        </w:trPr>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266,920</w:t>
            </w:r>
          </w:p>
        </w:tc>
        <w:tc>
          <w:tcPr>
            <w:tcW w:w="120" w:type="dxa"/>
            <w:vAlign w:val="bottom"/>
          </w:tcPr>
          <w:p>
            <w:pPr>
              <w:spacing w:after="0"/>
              <w:rPr>
                <w:sz w:val="20"/>
                <w:szCs w:val="20"/>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236,934</w:t>
            </w:r>
          </w:p>
        </w:tc>
      </w:tr>
      <w:tr>
        <w:trPr>
          <w:trHeight w:val="27"/>
        </w:trPr>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24"/>
        </w:trPr>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45,392</w:t>
            </w:r>
          </w:p>
        </w:tc>
        <w:tc>
          <w:tcPr>
            <w:tcW w:w="12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38,105</w:t>
            </w:r>
          </w:p>
        </w:tc>
      </w:tr>
      <w:tr>
        <w:trPr>
          <w:trHeight w:val="270"/>
        </w:trPr>
        <w:tc>
          <w:tcPr>
            <w:tcW w:w="320" w:type="dxa"/>
            <w:vAlign w:val="bottom"/>
          </w:tcPr>
          <w:p>
            <w:pPr>
              <w:spacing w:after="0"/>
              <w:rPr>
                <w:sz w:val="23"/>
                <w:szCs w:val="23"/>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31,928</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19,180</w:t>
            </w:r>
          </w:p>
        </w:tc>
      </w:tr>
      <w:tr>
        <w:trPr>
          <w:trHeight w:val="270"/>
        </w:trPr>
        <w:tc>
          <w:tcPr>
            <w:tcW w:w="320" w:type="dxa"/>
            <w:vAlign w:val="bottom"/>
          </w:tcPr>
          <w:p>
            <w:pPr>
              <w:spacing w:after="0"/>
              <w:rPr>
                <w:sz w:val="23"/>
                <w:szCs w:val="23"/>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189,600</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179,649</w:t>
            </w:r>
          </w:p>
        </w:tc>
      </w:tr>
      <w:tr>
        <w:trPr>
          <w:trHeight w:val="27"/>
        </w:trPr>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266,920</w:t>
            </w:r>
          </w:p>
        </w:tc>
        <w:tc>
          <w:tcPr>
            <w:tcW w:w="120" w:type="dxa"/>
            <w:vAlign w:val="bottom"/>
          </w:tcPr>
          <w:p>
            <w:pPr>
              <w:spacing w:after="0"/>
              <w:rPr>
                <w:sz w:val="20"/>
                <w:szCs w:val="20"/>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236,934</w:t>
            </w:r>
          </w:p>
        </w:tc>
      </w:tr>
      <w:tr>
        <w:trPr>
          <w:trHeight w:val="27"/>
        </w:trPr>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r>
      <w:tr>
        <w:trPr>
          <w:trHeight w:val="501"/>
        </w:trPr>
        <w:tc>
          <w:tcPr>
            <w:tcW w:w="3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4"/>
          </w:tcPr>
          <w:p>
            <w:pPr>
              <w:jc w:val="center"/>
              <w:ind w:right="233"/>
              <w:spacing w:after="0"/>
              <w:rPr>
                <w:sz w:val="20"/>
                <w:szCs w:val="20"/>
                <w:color w:val="auto"/>
              </w:rPr>
            </w:pPr>
            <w:r>
              <w:rPr>
                <w:rFonts w:ascii="Arial" w:cs="Arial" w:eastAsia="Arial" w:hAnsi="Arial"/>
                <w:sz w:val="14"/>
                <w:szCs w:val="14"/>
                <w:b w:val="1"/>
                <w:bCs w:val="1"/>
                <w:color w:val="auto"/>
                <w:w w:val="91"/>
              </w:rPr>
              <w:t>Year ended June 30,</w:t>
            </w:r>
          </w:p>
        </w:tc>
      </w:tr>
      <w:tr>
        <w:trPr>
          <w:trHeight w:val="264"/>
        </w:trPr>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2011</w:t>
            </w:r>
          </w:p>
        </w:tc>
      </w:tr>
      <w:tr>
        <w:trPr>
          <w:trHeight w:val="190"/>
        </w:trPr>
        <w:tc>
          <w:tcPr>
            <w:tcW w:w="320" w:type="dxa"/>
            <w:vAlign w:val="bottom"/>
          </w:tcPr>
          <w:p>
            <w:pPr>
              <w:spacing w:after="0"/>
              <w:rPr>
                <w:sz w:val="16"/>
                <w:szCs w:val="16"/>
                <w:color w:val="auto"/>
              </w:rPr>
            </w:pPr>
          </w:p>
        </w:tc>
        <w:tc>
          <w:tcPr>
            <w:tcW w:w="1620" w:type="dxa"/>
            <w:vAlign w:val="bottom"/>
            <w:gridSpan w:val="3"/>
          </w:tcPr>
          <w:p>
            <w:pPr>
              <w:jc w:val="center"/>
              <w:ind w:left="516"/>
              <w:spacing w:after="0"/>
              <w:rPr>
                <w:sz w:val="20"/>
                <w:szCs w:val="20"/>
                <w:color w:val="auto"/>
              </w:rPr>
            </w:pPr>
            <w:r>
              <w:rPr>
                <w:rFonts w:ascii="Arial" w:cs="Arial" w:eastAsia="Arial" w:hAnsi="Arial"/>
                <w:sz w:val="14"/>
                <w:szCs w:val="14"/>
                <w:i w:val="1"/>
                <w:iCs w:val="1"/>
                <w:color w:val="auto"/>
                <w:w w:val="92"/>
              </w:rPr>
              <w:t>(in thousands)</w:t>
            </w:r>
          </w:p>
        </w:tc>
        <w:tc>
          <w:tcPr>
            <w:tcW w:w="900" w:type="dxa"/>
            <w:vAlign w:val="bottom"/>
          </w:tcPr>
          <w:p>
            <w:pPr>
              <w:spacing w:after="0"/>
              <w:rPr>
                <w:sz w:val="16"/>
                <w:szCs w:val="16"/>
                <w:color w:val="auto"/>
              </w:rPr>
            </w:pPr>
          </w:p>
        </w:tc>
      </w:tr>
      <w:tr>
        <w:trPr>
          <w:trHeight w:val="255"/>
        </w:trPr>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241,924</w:t>
            </w:r>
          </w:p>
        </w:tc>
        <w:tc>
          <w:tcPr>
            <w:tcW w:w="120" w:type="dxa"/>
            <w:vAlign w:val="bottom"/>
          </w:tcPr>
          <w:p>
            <w:pPr>
              <w:spacing w:after="0"/>
              <w:rPr>
                <w:sz w:val="22"/>
                <w:szCs w:val="22"/>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184,315</w:t>
            </w:r>
          </w:p>
        </w:tc>
      </w:tr>
      <w:tr>
        <w:trPr>
          <w:trHeight w:val="270"/>
        </w:trPr>
        <w:tc>
          <w:tcPr>
            <w:tcW w:w="320" w:type="dxa"/>
            <w:vAlign w:val="bottom"/>
          </w:tcPr>
          <w:p>
            <w:pPr>
              <w:spacing w:after="0"/>
              <w:rPr>
                <w:sz w:val="23"/>
                <w:szCs w:val="23"/>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162,598</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126,628</w:t>
            </w:r>
          </w:p>
        </w:tc>
      </w:tr>
      <w:tr>
        <w:trPr>
          <w:trHeight w:val="270"/>
        </w:trPr>
        <w:tc>
          <w:tcPr>
            <w:tcW w:w="320" w:type="dxa"/>
            <w:vAlign w:val="bottom"/>
          </w:tcPr>
          <w:p>
            <w:pPr>
              <w:spacing w:after="0"/>
              <w:rPr>
                <w:sz w:val="23"/>
                <w:szCs w:val="23"/>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30,366</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27,385</w:t>
            </w:r>
          </w:p>
        </w:tc>
      </w:tr>
    </w:tbl>
    <w:p>
      <w:pPr>
        <w:spacing w:after="0" w:line="200" w:lineRule="exact"/>
        <w:rPr>
          <w:sz w:val="20"/>
          <w:szCs w:val="20"/>
          <w:color w:val="auto"/>
        </w:rPr>
      </w:pPr>
    </w:p>
    <w:p>
      <w:pPr>
        <w:sectPr>
          <w:pgSz w:w="11900" w:h="16838" w:orient="portrait"/>
          <w:cols w:equalWidth="0" w:num="2">
            <w:col w:w="7860" w:space="720"/>
            <w:col w:w="2840"/>
          </w:cols>
          <w:pgMar w:left="240" w:top="122" w:right="239" w:bottom="1440" w:gutter="0" w:footer="0" w:header="0"/>
          <w:type w:val="continuous"/>
        </w:sectPr>
      </w:pPr>
    </w:p>
    <w:p>
      <w:pPr>
        <w:spacing w:after="0" w:line="29"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The table below summarizes the recorded value and fair value of each of these strategic investments at the dates indicated. These fair values are considered Level 1 estimates within the fair value hierarchy of FASB ASC 820-10-50, and were calculated as (a) the quoted stock price on each company’s principal market multiplied by (b) the number of shares we owned multiplied by (c) the applicable foreign currency exchange rate at the dates indicated.</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jc w:val="right"/>
              <w:ind w:right="16"/>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w w:val="96"/>
              </w:rPr>
              <w:t>September 30,</w:t>
            </w:r>
          </w:p>
        </w:tc>
      </w:tr>
      <w:tr>
        <w:trPr>
          <w:trHeight w:val="264"/>
        </w:trPr>
        <w:tc>
          <w:tcPr>
            <w:tcW w:w="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2012</w:t>
            </w:r>
          </w:p>
        </w:tc>
        <w:tc>
          <w:tcPr>
            <w:tcW w:w="6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2012</w:t>
            </w:r>
          </w:p>
        </w:tc>
      </w:tr>
      <w:tr>
        <w:trPr>
          <w:trHeight w:val="196"/>
        </w:trPr>
        <w:tc>
          <w:tcPr>
            <w:tcW w:w="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40" w:type="dxa"/>
            <w:vAlign w:val="bottom"/>
            <w:gridSpan w:val="4"/>
          </w:tcPr>
          <w:p>
            <w:pPr>
              <w:jc w:val="right"/>
              <w:ind w:right="30"/>
              <w:spacing w:after="0"/>
              <w:rPr>
                <w:sz w:val="20"/>
                <w:szCs w:val="20"/>
                <w:color w:val="auto"/>
              </w:rPr>
            </w:pPr>
            <w:r>
              <w:rPr>
                <w:rFonts w:ascii="Arial" w:cs="Arial" w:eastAsia="Arial" w:hAnsi="Arial"/>
                <w:sz w:val="14"/>
                <w:szCs w:val="14"/>
                <w:i w:val="1"/>
                <w:iCs w:val="1"/>
                <w:color w:val="auto"/>
                <w:w w:val="94"/>
              </w:rPr>
              <w:t>(in thousands of U.S. dollars)</w:t>
            </w:r>
          </w:p>
        </w:tc>
        <w:tc>
          <w:tcPr>
            <w:tcW w:w="1180" w:type="dxa"/>
            <w:vAlign w:val="bottom"/>
          </w:tcPr>
          <w:p>
            <w:pPr>
              <w:spacing w:after="0"/>
              <w:rPr>
                <w:sz w:val="17"/>
                <w:szCs w:val="17"/>
                <w:color w:val="auto"/>
              </w:rPr>
            </w:pPr>
          </w:p>
        </w:tc>
      </w:tr>
      <w:tr>
        <w:trPr>
          <w:trHeight w:val="209"/>
        </w:trPr>
        <w:tc>
          <w:tcPr>
            <w:tcW w:w="22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Albemarle &amp; Bond:</w:t>
            </w:r>
          </w:p>
        </w:tc>
        <w:tc>
          <w:tcPr>
            <w:tcW w:w="4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420" w:type="dxa"/>
            <w:vAlign w:val="bottom"/>
            <w:tcBorders>
              <w:top w:val="single" w:sz="8" w:color="auto"/>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48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r>
      <w:tr>
        <w:trPr>
          <w:trHeight w:val="243"/>
        </w:trPr>
        <w:tc>
          <w:tcPr>
            <w:tcW w:w="40" w:type="dxa"/>
            <w:vAlign w:val="bottom"/>
          </w:tcPr>
          <w:p>
            <w:pPr>
              <w:spacing w:after="0"/>
              <w:rPr>
                <w:sz w:val="21"/>
                <w:szCs w:val="21"/>
                <w:color w:val="auto"/>
              </w:rPr>
            </w:pPr>
          </w:p>
        </w:tc>
        <w:tc>
          <w:tcPr>
            <w:tcW w:w="2200" w:type="dxa"/>
            <w:vAlign w:val="bottom"/>
            <w:gridSpan w:val="2"/>
          </w:tcPr>
          <w:p>
            <w:pPr>
              <w:ind w:left="340"/>
              <w:spacing w:after="0"/>
              <w:rPr>
                <w:sz w:val="20"/>
                <w:szCs w:val="20"/>
                <w:color w:val="auto"/>
              </w:rPr>
            </w:pPr>
            <w:r>
              <w:rPr>
                <w:rFonts w:ascii="Arial" w:cs="Arial" w:eastAsia="Arial" w:hAnsi="Arial"/>
                <w:sz w:val="18"/>
                <w:szCs w:val="18"/>
                <w:color w:val="auto"/>
              </w:rPr>
              <w:t>Recorded value</w:t>
            </w:r>
          </w:p>
        </w:tc>
        <w:tc>
          <w:tcPr>
            <w:tcW w:w="5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54,559</w:t>
            </w:r>
          </w:p>
        </w:tc>
        <w:tc>
          <w:tcPr>
            <w:tcW w:w="640" w:type="dxa"/>
            <w:vAlign w:val="bottom"/>
          </w:tcPr>
          <w:p>
            <w:pPr>
              <w:jc w:val="right"/>
              <w:ind w:right="256"/>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49,616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51,812</w:t>
            </w:r>
          </w:p>
        </w:tc>
      </w:tr>
      <w:tr>
        <w:trPr>
          <w:trHeight w:val="27"/>
        </w:trPr>
        <w:tc>
          <w:tcPr>
            <w:tcW w:w="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Fair value</w:t>
            </w:r>
          </w:p>
        </w:tc>
        <w:tc>
          <w:tcPr>
            <w:tcW w:w="48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57,402</w:t>
            </w:r>
          </w:p>
        </w:tc>
        <w:tc>
          <w:tcPr>
            <w:tcW w:w="6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84,622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65,109</w:t>
            </w:r>
          </w:p>
        </w:tc>
      </w:tr>
      <w:tr>
        <w:trPr>
          <w:trHeight w:val="203"/>
        </w:trPr>
        <w:tc>
          <w:tcPr>
            <w:tcW w:w="2240" w:type="dxa"/>
            <w:vAlign w:val="bottom"/>
            <w:gridSpan w:val="3"/>
          </w:tcPr>
          <w:p>
            <w:pPr>
              <w:ind w:left="40"/>
              <w:spacing w:after="0" w:line="202" w:lineRule="exact"/>
              <w:rPr>
                <w:sz w:val="20"/>
                <w:szCs w:val="20"/>
                <w:color w:val="auto"/>
              </w:rPr>
            </w:pPr>
            <w:r>
              <w:rPr>
                <w:rFonts w:ascii="Arial" w:cs="Arial" w:eastAsia="Arial" w:hAnsi="Arial"/>
                <w:sz w:val="18"/>
                <w:szCs w:val="18"/>
                <w:color w:val="auto"/>
                <w:w w:val="89"/>
              </w:rPr>
              <w:t>Cash Converters International:</w:t>
            </w:r>
          </w:p>
        </w:tc>
        <w:tc>
          <w:tcPr>
            <w:tcW w:w="4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420" w:type="dxa"/>
            <w:vAlign w:val="bottom"/>
            <w:tcBorders>
              <w:top w:val="single" w:sz="8" w:color="auto"/>
            </w:tcBorders>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4840" w:type="dxa"/>
            <w:vAlign w:val="bottom"/>
          </w:tcPr>
          <w:p>
            <w:pPr>
              <w:spacing w:after="0"/>
              <w:rPr>
                <w:sz w:val="4"/>
                <w:szCs w:val="4"/>
                <w:color w:val="auto"/>
              </w:rPr>
            </w:pPr>
          </w:p>
        </w:tc>
        <w:tc>
          <w:tcPr>
            <w:tcW w:w="340" w:type="dxa"/>
            <w:vAlign w:val="bottom"/>
          </w:tcPr>
          <w:p>
            <w:pPr>
              <w:spacing w:after="0"/>
              <w:rPr>
                <w:sz w:val="4"/>
                <w:szCs w:val="4"/>
                <w:color w:val="auto"/>
              </w:rPr>
            </w:pPr>
          </w:p>
        </w:tc>
        <w:tc>
          <w:tcPr>
            <w:tcW w:w="980" w:type="dxa"/>
            <w:vAlign w:val="bottom"/>
          </w:tcPr>
          <w:p>
            <w:pPr>
              <w:spacing w:after="0"/>
              <w:rPr>
                <w:sz w:val="4"/>
                <w:szCs w:val="4"/>
                <w:color w:val="auto"/>
              </w:rPr>
            </w:pPr>
          </w:p>
        </w:tc>
        <w:tc>
          <w:tcPr>
            <w:tcW w:w="6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8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Recorded value</w:t>
            </w:r>
          </w:p>
        </w:tc>
        <w:tc>
          <w:tcPr>
            <w:tcW w:w="5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89,673</w:t>
            </w:r>
          </w:p>
        </w:tc>
        <w:tc>
          <w:tcPr>
            <w:tcW w:w="640" w:type="dxa"/>
            <w:vAlign w:val="bottom"/>
            <w:tcBorders>
              <w:bottom w:val="single" w:sz="8" w:color="CCEEFF"/>
            </w:tcBorders>
            <w:shd w:val="clear" w:color="auto" w:fill="CCEEFF"/>
          </w:tcPr>
          <w:p>
            <w:pPr>
              <w:jc w:val="right"/>
              <w:ind w:right="256"/>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68,204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74,254</w:t>
            </w:r>
          </w:p>
        </w:tc>
      </w:tr>
      <w:tr>
        <w:trPr>
          <w:trHeight w:val="243"/>
        </w:trPr>
        <w:tc>
          <w:tcPr>
            <w:tcW w:w="40" w:type="dxa"/>
            <w:vAlign w:val="bottom"/>
          </w:tcPr>
          <w:p>
            <w:pPr>
              <w:spacing w:after="0"/>
              <w:rPr>
                <w:sz w:val="21"/>
                <w:szCs w:val="21"/>
                <w:color w:val="auto"/>
              </w:rPr>
            </w:pPr>
          </w:p>
        </w:tc>
        <w:tc>
          <w:tcPr>
            <w:tcW w:w="2200" w:type="dxa"/>
            <w:vAlign w:val="bottom"/>
            <w:gridSpan w:val="2"/>
          </w:tcPr>
          <w:p>
            <w:pPr>
              <w:ind w:left="340"/>
              <w:spacing w:after="0"/>
              <w:rPr>
                <w:sz w:val="20"/>
                <w:szCs w:val="20"/>
                <w:color w:val="auto"/>
              </w:rPr>
            </w:pPr>
            <w:r>
              <w:rPr>
                <w:rFonts w:ascii="Arial" w:cs="Arial" w:eastAsia="Arial" w:hAnsi="Arial"/>
                <w:sz w:val="18"/>
                <w:szCs w:val="18"/>
                <w:color w:val="auto"/>
              </w:rPr>
              <w:t>Fair value</w:t>
            </w:r>
          </w:p>
        </w:tc>
        <w:tc>
          <w:tcPr>
            <w:tcW w:w="4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164,633</w:t>
            </w:r>
          </w:p>
        </w:tc>
        <w:tc>
          <w:tcPr>
            <w:tcW w:w="64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68,355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100,705</w:t>
            </w:r>
          </w:p>
        </w:tc>
      </w:tr>
      <w:tr>
        <w:trPr>
          <w:trHeight w:val="486"/>
        </w:trPr>
        <w:tc>
          <w:tcPr>
            <w:tcW w:w="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40" w:type="dxa"/>
            <w:vAlign w:val="bottom"/>
          </w:tcPr>
          <w:p>
            <w:pPr>
              <w:jc w:val="right"/>
              <w:ind w:right="1190"/>
              <w:spacing w:after="0"/>
              <w:rPr>
                <w:sz w:val="20"/>
                <w:szCs w:val="20"/>
                <w:color w:val="auto"/>
              </w:rPr>
            </w:pPr>
            <w:r>
              <w:rPr>
                <w:rFonts w:ascii="Arial" w:cs="Arial" w:eastAsia="Arial" w:hAnsi="Arial"/>
                <w:sz w:val="18"/>
                <w:szCs w:val="18"/>
                <w:color w:val="auto"/>
              </w:rPr>
              <w:t>12</w:t>
            </w: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type w:val="continuous"/>
        </w:sectPr>
      </w:pPr>
    </w:p>
    <w:bookmarkStart w:id="14" w:name="page15"/>
    <w:bookmarkEnd w:id="1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GOODWILL AND OTHER INTANGIBLE ASSETS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balance of each major class of indefinite-lived intangible asset at the specified dates: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40" w:type="dxa"/>
            <w:vAlign w:val="bottom"/>
            <w:gridSpan w:val="5"/>
          </w:tcPr>
          <w:p>
            <w:pPr>
              <w:ind w:left="70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6"/>
                <w:szCs w:val="16"/>
                <w:color w:val="auto"/>
              </w:rPr>
            </w:pPr>
          </w:p>
        </w:tc>
        <w:tc>
          <w:tcPr>
            <w:tcW w:w="1180" w:type="dxa"/>
            <w:vAlign w:val="bottom"/>
          </w:tcPr>
          <w:p>
            <w:pPr>
              <w:jc w:val="right"/>
              <w:ind w:right="155"/>
              <w:spacing w:after="0"/>
              <w:rPr>
                <w:sz w:val="20"/>
                <w:szCs w:val="20"/>
                <w:color w:val="auto"/>
              </w:rPr>
            </w:pPr>
            <w:r>
              <w:rPr>
                <w:rFonts w:ascii="Arial" w:cs="Arial" w:eastAsia="Arial" w:hAnsi="Arial"/>
                <w:sz w:val="14"/>
                <w:szCs w:val="14"/>
                <w:b w:val="1"/>
                <w:bCs w:val="1"/>
                <w:color w:val="auto"/>
                <w:w w:val="96"/>
              </w:rPr>
              <w:t>September 30,</w:t>
            </w:r>
          </w:p>
        </w:tc>
      </w:tr>
      <w:tr>
        <w:trPr>
          <w:trHeight w:val="264"/>
        </w:trPr>
        <w:tc>
          <w:tcPr>
            <w:tcW w:w="708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2012</w:t>
            </w:r>
          </w:p>
        </w:tc>
      </w:tr>
      <w:tr>
        <w:trPr>
          <w:trHeight w:val="196"/>
        </w:trPr>
        <w:tc>
          <w:tcPr>
            <w:tcW w:w="7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56"/>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Pawn licenses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8,836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8,836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8,836</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Trade name</w:t>
            </w:r>
          </w:p>
        </w:tc>
        <w:tc>
          <w:tcPr>
            <w:tcW w:w="340" w:type="dxa"/>
            <w:vAlign w:val="bottom"/>
          </w:tcPr>
          <w:p>
            <w:pPr>
              <w:spacing w:after="0"/>
              <w:rPr>
                <w:sz w:val="21"/>
                <w:szCs w:val="21"/>
                <w:color w:val="auto"/>
              </w:rPr>
            </w:pP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9,822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4,870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9,845</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Domain name</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Goodwill</w:t>
            </w:r>
          </w:p>
        </w:tc>
        <w:tc>
          <w:tcPr>
            <w:tcW w:w="340" w:type="dxa"/>
            <w:vAlign w:val="bottom"/>
          </w:tcPr>
          <w:p>
            <w:pPr>
              <w:spacing w:after="0"/>
              <w:rPr>
                <w:sz w:val="21"/>
                <w:szCs w:val="21"/>
                <w:color w:val="auto"/>
              </w:rPr>
            </w:pP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428,011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212,263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374,663</w:t>
            </w: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446,884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225,969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393,344</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changes in the carrying value of goodwill, by segment, over the periods presented:</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U.S. &amp;</w:t>
            </w:r>
          </w:p>
        </w:tc>
        <w:tc>
          <w:tcPr>
            <w:tcW w:w="260" w:type="dxa"/>
            <w:vAlign w:val="bottom"/>
          </w:tcPr>
          <w:p>
            <w:pPr>
              <w:spacing w:after="0"/>
              <w:rPr>
                <w:sz w:val="14"/>
                <w:szCs w:val="14"/>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Latin</w:t>
            </w:r>
          </w:p>
        </w:tc>
        <w:tc>
          <w:tcPr>
            <w:tcW w:w="20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Other</w:t>
            </w:r>
          </w:p>
        </w:tc>
        <w:tc>
          <w:tcPr>
            <w:tcW w:w="200" w:type="dxa"/>
            <w:vAlign w:val="bottom"/>
          </w:tcPr>
          <w:p>
            <w:pPr>
              <w:spacing w:after="0"/>
              <w:rPr>
                <w:sz w:val="14"/>
                <w:szCs w:val="14"/>
                <w:color w:val="auto"/>
              </w:rPr>
            </w:pPr>
          </w:p>
        </w:tc>
        <w:tc>
          <w:tcPr>
            <w:tcW w:w="116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94"/>
              </w:rPr>
              <w:t>Canada</w:t>
            </w: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4"/>
              </w:rPr>
              <w:t>America</w:t>
            </w: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7"/>
              </w:rPr>
              <w:t>International</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80" w:type="dxa"/>
            <w:vAlign w:val="bottom"/>
            <w:gridSpan w:val="5"/>
          </w:tcPr>
          <w:p>
            <w:pPr>
              <w:ind w:left="74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at September 30, 2012</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224,306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110,401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39,956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374,663</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Acquisitions</w:t>
            </w:r>
          </w:p>
        </w:tc>
        <w:tc>
          <w:tcPr>
            <w:tcW w:w="280" w:type="dxa"/>
            <w:vAlign w:val="bottom"/>
          </w:tcPr>
          <w:p>
            <w:pPr>
              <w:spacing w:after="0"/>
              <w:rPr>
                <w:sz w:val="21"/>
                <w:szCs w:val="21"/>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52,264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8"/>
              <w:spacing w:after="0"/>
              <w:rPr>
                <w:sz w:val="20"/>
                <w:szCs w:val="20"/>
                <w:color w:val="auto"/>
              </w:rPr>
            </w:pPr>
            <w:r>
              <w:rPr>
                <w:rFonts w:ascii="Arial" w:cs="Arial" w:eastAsia="Arial" w:hAnsi="Arial"/>
                <w:sz w:val="18"/>
                <w:szCs w:val="18"/>
                <w:color w:val="auto"/>
              </w:rPr>
              <w:t>2,222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54,486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Effect of foreign currency translation changes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(1,138)</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Balances at December 31, 2012</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276,570</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111,485</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39,956</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428,011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5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U.S. &amp;</w:t>
            </w:r>
          </w:p>
        </w:tc>
        <w:tc>
          <w:tcPr>
            <w:tcW w:w="260" w:type="dxa"/>
            <w:vAlign w:val="bottom"/>
          </w:tcPr>
          <w:p>
            <w:pPr>
              <w:spacing w:after="0"/>
              <w:rPr>
                <w:sz w:val="24"/>
                <w:szCs w:val="24"/>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Latin</w:t>
            </w:r>
          </w:p>
        </w:tc>
        <w:tc>
          <w:tcPr>
            <w:tcW w:w="200" w:type="dxa"/>
            <w:vAlign w:val="bottom"/>
          </w:tcPr>
          <w:p>
            <w:pPr>
              <w:spacing w:after="0"/>
              <w:rPr>
                <w:sz w:val="24"/>
                <w:szCs w:val="2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Other</w:t>
            </w:r>
          </w:p>
        </w:tc>
        <w:tc>
          <w:tcPr>
            <w:tcW w:w="200" w:type="dxa"/>
            <w:vAlign w:val="bottom"/>
          </w:tcPr>
          <w:p>
            <w:pPr>
              <w:spacing w:after="0"/>
              <w:rPr>
                <w:sz w:val="24"/>
                <w:szCs w:val="24"/>
                <w:color w:val="auto"/>
              </w:rPr>
            </w:pPr>
          </w:p>
        </w:tc>
        <w:tc>
          <w:tcPr>
            <w:tcW w:w="116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94"/>
              </w:rPr>
              <w:t>Canada</w:t>
            </w: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4"/>
              </w:rPr>
              <w:t>America</w:t>
            </w: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7"/>
              </w:rPr>
              <w:t>International</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80" w:type="dxa"/>
            <w:vAlign w:val="bottom"/>
            <w:gridSpan w:val="5"/>
          </w:tcPr>
          <w:p>
            <w:pPr>
              <w:ind w:left="74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at September 30, 2011</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163,897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9,309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173,206</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Acquisitions</w:t>
            </w:r>
          </w:p>
        </w:tc>
        <w:tc>
          <w:tcPr>
            <w:tcW w:w="280" w:type="dxa"/>
            <w:vAlign w:val="bottom"/>
          </w:tcPr>
          <w:p>
            <w:pPr>
              <w:spacing w:after="0"/>
              <w:rPr>
                <w:sz w:val="21"/>
                <w:szCs w:val="21"/>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39,430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39,430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Effect of foreign currency translation changes</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Balances at December 31, 2011</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203,325</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8,938</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212,263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table presents the gross carrying amount and accumulated amortization for each major class of definite-lived intangible asset at the specified dates: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r>
      <w:tr>
        <w:trPr>
          <w:trHeight w:val="264"/>
        </w:trPr>
        <w:tc>
          <w:tcPr>
            <w:tcW w:w="21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4"/>
                <w:szCs w:val="14"/>
                <w:b w:val="1"/>
                <w:bCs w:val="1"/>
                <w:color w:val="auto"/>
              </w:rPr>
              <w:t>2012</w:t>
            </w:r>
          </w:p>
        </w:tc>
        <w:tc>
          <w:tcPr>
            <w:tcW w:w="14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30"/>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30"/>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r>
      <w:tr>
        <w:trPr>
          <w:trHeight w:val="159"/>
        </w:trPr>
        <w:tc>
          <w:tcPr>
            <w:tcW w:w="2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center"/>
              <w:ind w:right="260"/>
              <w:spacing w:after="0" w:line="159" w:lineRule="exact"/>
              <w:rPr>
                <w:sz w:val="20"/>
                <w:szCs w:val="20"/>
                <w:color w:val="auto"/>
              </w:rPr>
            </w:pPr>
            <w:r>
              <w:rPr>
                <w:rFonts w:ascii="Arial" w:cs="Arial" w:eastAsia="Arial" w:hAnsi="Arial"/>
                <w:sz w:val="14"/>
                <w:szCs w:val="14"/>
                <w:color w:val="auto"/>
                <w:w w:val="94"/>
              </w:rPr>
              <w:t>Carrying</w:t>
            </w:r>
          </w:p>
        </w:tc>
        <w:tc>
          <w:tcPr>
            <w:tcW w:w="160" w:type="dxa"/>
            <w:vAlign w:val="bottom"/>
          </w:tcPr>
          <w:p>
            <w:pPr>
              <w:spacing w:after="0"/>
              <w:rPr>
                <w:sz w:val="13"/>
                <w:szCs w:val="13"/>
                <w:color w:val="auto"/>
              </w:rPr>
            </w:pPr>
          </w:p>
        </w:tc>
        <w:tc>
          <w:tcPr>
            <w:tcW w:w="1140" w:type="dxa"/>
            <w:vAlign w:val="bottom"/>
            <w:gridSpan w:val="2"/>
          </w:tcPr>
          <w:p>
            <w:pPr>
              <w:ind w:left="60"/>
              <w:spacing w:after="0" w:line="159" w:lineRule="exact"/>
              <w:rPr>
                <w:sz w:val="20"/>
                <w:szCs w:val="20"/>
                <w:color w:val="auto"/>
              </w:rPr>
            </w:pPr>
            <w:r>
              <w:rPr>
                <w:rFonts w:ascii="Arial" w:cs="Arial" w:eastAsia="Arial" w:hAnsi="Arial"/>
                <w:sz w:val="14"/>
                <w:szCs w:val="14"/>
                <w:color w:val="auto"/>
              </w:rPr>
              <w:t>Accumulated</w:t>
            </w:r>
          </w:p>
        </w:tc>
        <w:tc>
          <w:tcPr>
            <w:tcW w:w="140" w:type="dxa"/>
            <w:vAlign w:val="bottom"/>
          </w:tcPr>
          <w:p>
            <w:pPr>
              <w:spacing w:after="0"/>
              <w:rPr>
                <w:sz w:val="13"/>
                <w:szCs w:val="13"/>
                <w:color w:val="auto"/>
              </w:rPr>
            </w:pPr>
          </w:p>
        </w:tc>
        <w:tc>
          <w:tcPr>
            <w:tcW w:w="900" w:type="dxa"/>
            <w:vAlign w:val="bottom"/>
            <w:gridSpan w:val="2"/>
          </w:tcPr>
          <w:p>
            <w:pPr>
              <w:jc w:val="center"/>
              <w:ind w:right="280"/>
              <w:spacing w:after="0" w:line="159" w:lineRule="exact"/>
              <w:rPr>
                <w:sz w:val="20"/>
                <w:szCs w:val="20"/>
                <w:color w:val="auto"/>
              </w:rPr>
            </w:pPr>
            <w:r>
              <w:rPr>
                <w:rFonts w:ascii="Arial" w:cs="Arial" w:eastAsia="Arial" w:hAnsi="Arial"/>
                <w:sz w:val="14"/>
                <w:szCs w:val="14"/>
                <w:color w:val="auto"/>
                <w:w w:val="93"/>
              </w:rPr>
              <w:t>Net Book</w:t>
            </w:r>
          </w:p>
        </w:tc>
        <w:tc>
          <w:tcPr>
            <w:tcW w:w="120" w:type="dxa"/>
            <w:vAlign w:val="bottom"/>
          </w:tcPr>
          <w:p>
            <w:pPr>
              <w:spacing w:after="0"/>
              <w:rPr>
                <w:sz w:val="13"/>
                <w:szCs w:val="13"/>
                <w:color w:val="auto"/>
              </w:rPr>
            </w:pPr>
          </w:p>
        </w:tc>
        <w:tc>
          <w:tcPr>
            <w:tcW w:w="780" w:type="dxa"/>
            <w:vAlign w:val="bottom"/>
            <w:gridSpan w:val="2"/>
          </w:tcPr>
          <w:p>
            <w:pPr>
              <w:jc w:val="center"/>
              <w:ind w:right="200"/>
              <w:spacing w:after="0" w:line="159" w:lineRule="exact"/>
              <w:rPr>
                <w:sz w:val="20"/>
                <w:szCs w:val="20"/>
                <w:color w:val="auto"/>
              </w:rPr>
            </w:pPr>
            <w:r>
              <w:rPr>
                <w:rFonts w:ascii="Arial" w:cs="Arial" w:eastAsia="Arial" w:hAnsi="Arial"/>
                <w:sz w:val="14"/>
                <w:szCs w:val="14"/>
                <w:color w:val="auto"/>
                <w:w w:val="94"/>
              </w:rPr>
              <w:t>Carrying</w:t>
            </w:r>
          </w:p>
        </w:tc>
        <w:tc>
          <w:tcPr>
            <w:tcW w:w="120" w:type="dxa"/>
            <w:vAlign w:val="bottom"/>
          </w:tcPr>
          <w:p>
            <w:pPr>
              <w:spacing w:after="0"/>
              <w:rPr>
                <w:sz w:val="13"/>
                <w:szCs w:val="13"/>
                <w:color w:val="auto"/>
              </w:rPr>
            </w:pPr>
          </w:p>
        </w:tc>
        <w:tc>
          <w:tcPr>
            <w:tcW w:w="1000" w:type="dxa"/>
            <w:vAlign w:val="bottom"/>
            <w:gridSpan w:val="2"/>
          </w:tcPr>
          <w:p>
            <w:pPr>
              <w:ind w:left="20"/>
              <w:spacing w:after="0" w:line="159" w:lineRule="exact"/>
              <w:rPr>
                <w:sz w:val="20"/>
                <w:szCs w:val="20"/>
                <w:color w:val="auto"/>
              </w:rPr>
            </w:pPr>
            <w:r>
              <w:rPr>
                <w:rFonts w:ascii="Arial" w:cs="Arial" w:eastAsia="Arial" w:hAnsi="Arial"/>
                <w:sz w:val="14"/>
                <w:szCs w:val="14"/>
                <w:color w:val="auto"/>
              </w:rPr>
              <w:t>Accumulated</w:t>
            </w:r>
          </w:p>
        </w:tc>
        <w:tc>
          <w:tcPr>
            <w:tcW w:w="140" w:type="dxa"/>
            <w:vAlign w:val="bottom"/>
          </w:tcPr>
          <w:p>
            <w:pPr>
              <w:spacing w:after="0"/>
              <w:rPr>
                <w:sz w:val="13"/>
                <w:szCs w:val="13"/>
                <w:color w:val="auto"/>
              </w:rPr>
            </w:pPr>
          </w:p>
        </w:tc>
        <w:tc>
          <w:tcPr>
            <w:tcW w:w="860" w:type="dxa"/>
            <w:vAlign w:val="bottom"/>
            <w:gridSpan w:val="2"/>
          </w:tcPr>
          <w:p>
            <w:pPr>
              <w:jc w:val="center"/>
              <w:ind w:right="240"/>
              <w:spacing w:after="0" w:line="159" w:lineRule="exact"/>
              <w:rPr>
                <w:sz w:val="20"/>
                <w:szCs w:val="20"/>
                <w:color w:val="auto"/>
              </w:rPr>
            </w:pPr>
            <w:r>
              <w:rPr>
                <w:rFonts w:ascii="Arial" w:cs="Arial" w:eastAsia="Arial" w:hAnsi="Arial"/>
                <w:sz w:val="14"/>
                <w:szCs w:val="14"/>
                <w:color w:val="auto"/>
                <w:w w:val="93"/>
              </w:rPr>
              <w:t>Net Book</w:t>
            </w:r>
          </w:p>
        </w:tc>
        <w:tc>
          <w:tcPr>
            <w:tcW w:w="120" w:type="dxa"/>
            <w:vAlign w:val="bottom"/>
          </w:tcPr>
          <w:p>
            <w:pPr>
              <w:spacing w:after="0"/>
              <w:rPr>
                <w:sz w:val="13"/>
                <w:szCs w:val="13"/>
                <w:color w:val="auto"/>
              </w:rPr>
            </w:pPr>
          </w:p>
        </w:tc>
        <w:tc>
          <w:tcPr>
            <w:tcW w:w="780" w:type="dxa"/>
            <w:vAlign w:val="bottom"/>
            <w:gridSpan w:val="2"/>
          </w:tcPr>
          <w:p>
            <w:pPr>
              <w:jc w:val="center"/>
              <w:ind w:right="200"/>
              <w:spacing w:after="0" w:line="159" w:lineRule="exact"/>
              <w:rPr>
                <w:sz w:val="20"/>
                <w:szCs w:val="20"/>
                <w:color w:val="auto"/>
              </w:rPr>
            </w:pPr>
            <w:r>
              <w:rPr>
                <w:rFonts w:ascii="Arial" w:cs="Arial" w:eastAsia="Arial" w:hAnsi="Arial"/>
                <w:sz w:val="14"/>
                <w:szCs w:val="14"/>
                <w:color w:val="auto"/>
                <w:w w:val="94"/>
              </w:rPr>
              <w:t>Carrying</w:t>
            </w:r>
          </w:p>
        </w:tc>
        <w:tc>
          <w:tcPr>
            <w:tcW w:w="120" w:type="dxa"/>
            <w:vAlign w:val="bottom"/>
          </w:tcPr>
          <w:p>
            <w:pPr>
              <w:spacing w:after="0"/>
              <w:rPr>
                <w:sz w:val="13"/>
                <w:szCs w:val="13"/>
                <w:color w:val="auto"/>
              </w:rPr>
            </w:pPr>
          </w:p>
        </w:tc>
        <w:tc>
          <w:tcPr>
            <w:tcW w:w="1000" w:type="dxa"/>
            <w:vAlign w:val="bottom"/>
            <w:gridSpan w:val="2"/>
          </w:tcPr>
          <w:p>
            <w:pPr>
              <w:ind w:left="20"/>
              <w:spacing w:after="0" w:line="159" w:lineRule="exact"/>
              <w:rPr>
                <w:sz w:val="20"/>
                <w:szCs w:val="20"/>
                <w:color w:val="auto"/>
              </w:rPr>
            </w:pPr>
            <w:r>
              <w:rPr>
                <w:rFonts w:ascii="Arial" w:cs="Arial" w:eastAsia="Arial" w:hAnsi="Arial"/>
                <w:sz w:val="14"/>
                <w:szCs w:val="14"/>
                <w:color w:val="auto"/>
              </w:rPr>
              <w:t>Accumulated</w:t>
            </w:r>
          </w:p>
        </w:tc>
        <w:tc>
          <w:tcPr>
            <w:tcW w:w="140" w:type="dxa"/>
            <w:vAlign w:val="bottom"/>
          </w:tcPr>
          <w:p>
            <w:pPr>
              <w:spacing w:after="0"/>
              <w:rPr>
                <w:sz w:val="13"/>
                <w:szCs w:val="13"/>
                <w:color w:val="auto"/>
              </w:rPr>
            </w:pPr>
          </w:p>
        </w:tc>
        <w:tc>
          <w:tcPr>
            <w:tcW w:w="760" w:type="dxa"/>
            <w:vAlign w:val="bottom"/>
          </w:tcPr>
          <w:p>
            <w:pPr>
              <w:jc w:val="right"/>
              <w:ind w:right="110"/>
              <w:spacing w:after="0" w:line="159" w:lineRule="exact"/>
              <w:rPr>
                <w:sz w:val="20"/>
                <w:szCs w:val="20"/>
                <w:color w:val="auto"/>
              </w:rPr>
            </w:pPr>
            <w:r>
              <w:rPr>
                <w:rFonts w:ascii="Arial" w:cs="Arial" w:eastAsia="Arial" w:hAnsi="Arial"/>
                <w:sz w:val="14"/>
                <w:szCs w:val="14"/>
                <w:color w:val="auto"/>
                <w:w w:val="97"/>
              </w:rPr>
              <w:t>Net Book</w:t>
            </w:r>
          </w:p>
        </w:tc>
      </w:tr>
      <w:tr>
        <w:trPr>
          <w:trHeight w:val="185"/>
        </w:trPr>
        <w:tc>
          <w:tcPr>
            <w:tcW w:w="2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color w:val="auto"/>
                <w:w w:val="95"/>
              </w:rPr>
              <w:t>Amount</w:t>
            </w: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color w:val="auto"/>
              </w:rPr>
              <w:t>Amortization</w:t>
            </w: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color w:val="auto"/>
                <w:w w:val="89"/>
              </w:rPr>
              <w:t>Value</w:t>
            </w: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color w:val="auto"/>
                <w:w w:val="95"/>
              </w:rPr>
              <w:t>Amount</w:t>
            </w: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Amortization</w:t>
            </w: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color w:val="auto"/>
                <w:w w:val="89"/>
              </w:rPr>
              <w:t>Value</w:t>
            </w: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color w:val="auto"/>
                <w:w w:val="95"/>
              </w:rPr>
              <w:t>Amount</w:t>
            </w: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Amortization</w:t>
            </w: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30"/>
              <w:spacing w:after="0"/>
              <w:rPr>
                <w:sz w:val="20"/>
                <w:szCs w:val="20"/>
                <w:color w:val="auto"/>
              </w:rPr>
            </w:pPr>
            <w:r>
              <w:rPr>
                <w:rFonts w:ascii="Arial" w:cs="Arial" w:eastAsia="Arial" w:hAnsi="Arial"/>
                <w:sz w:val="14"/>
                <w:szCs w:val="14"/>
                <w:color w:val="auto"/>
              </w:rPr>
              <w:t>Value</w:t>
            </w:r>
          </w:p>
        </w:tc>
      </w:tr>
      <w:tr>
        <w:trPr>
          <w:trHeight w:val="196"/>
        </w:trPr>
        <w:tc>
          <w:tcPr>
            <w:tcW w:w="2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3"/>
          </w:tcPr>
          <w:p>
            <w:pPr>
              <w:ind w:left="4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76"/>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Real estate finders’ fees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1,563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(620)</w:t>
            </w: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943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1,221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721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1,457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867</w:t>
            </w:r>
          </w:p>
        </w:tc>
      </w:tr>
      <w:tr>
        <w:trPr>
          <w:trHeight w:val="264"/>
        </w:trPr>
        <w:tc>
          <w:tcPr>
            <w:tcW w:w="2180" w:type="dxa"/>
            <w:vAlign w:val="bottom"/>
          </w:tcPr>
          <w:p>
            <w:pPr>
              <w:ind w:left="40"/>
              <w:spacing w:after="0"/>
              <w:rPr>
                <w:sz w:val="20"/>
                <w:szCs w:val="20"/>
                <w:color w:val="auto"/>
              </w:rPr>
            </w:pPr>
            <w:r>
              <w:rPr>
                <w:rFonts w:ascii="Arial" w:cs="Arial" w:eastAsia="Arial" w:hAnsi="Arial"/>
                <w:sz w:val="14"/>
                <w:szCs w:val="14"/>
                <w:color w:val="auto"/>
              </w:rPr>
              <w:t>Non-compete agreements</w:t>
            </w:r>
          </w:p>
        </w:tc>
        <w:tc>
          <w:tcPr>
            <w:tcW w:w="140" w:type="dxa"/>
            <w:vAlign w:val="bottom"/>
          </w:tcPr>
          <w:p>
            <w:pPr>
              <w:spacing w:after="0"/>
              <w:rPr>
                <w:sz w:val="22"/>
                <w:szCs w:val="22"/>
                <w:color w:val="auto"/>
              </w:rPr>
            </w:pPr>
          </w:p>
        </w:tc>
        <w:tc>
          <w:tcPr>
            <w:tcW w:w="680" w:type="dxa"/>
            <w:vAlign w:val="bottom"/>
          </w:tcPr>
          <w:p>
            <w:pPr>
              <w:jc w:val="right"/>
              <w:ind w:right="50"/>
              <w:spacing w:after="0"/>
              <w:rPr>
                <w:sz w:val="20"/>
                <w:szCs w:val="20"/>
                <w:color w:val="auto"/>
              </w:rPr>
            </w:pPr>
            <w:r>
              <w:rPr>
                <w:rFonts w:ascii="Arial" w:cs="Arial" w:eastAsia="Arial" w:hAnsi="Arial"/>
                <w:sz w:val="14"/>
                <w:szCs w:val="14"/>
                <w:color w:val="auto"/>
              </w:rPr>
              <w:t>4,513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(3,453)</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ind w:right="50"/>
              <w:spacing w:after="0"/>
              <w:rPr>
                <w:sz w:val="20"/>
                <w:szCs w:val="20"/>
                <w:color w:val="auto"/>
              </w:rPr>
            </w:pPr>
            <w:r>
              <w:rPr>
                <w:rFonts w:ascii="Arial" w:cs="Arial" w:eastAsia="Arial" w:hAnsi="Arial"/>
                <w:sz w:val="14"/>
                <w:szCs w:val="14"/>
                <w:color w:val="auto"/>
              </w:rPr>
              <w:t>1,060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jc w:val="right"/>
              <w:ind w:right="30"/>
              <w:spacing w:after="0"/>
              <w:rPr>
                <w:sz w:val="20"/>
                <w:szCs w:val="20"/>
                <w:color w:val="auto"/>
              </w:rPr>
            </w:pPr>
            <w:r>
              <w:rPr>
                <w:rFonts w:ascii="Arial" w:cs="Arial" w:eastAsia="Arial" w:hAnsi="Arial"/>
                <w:sz w:val="14"/>
                <w:szCs w:val="14"/>
                <w:color w:val="auto"/>
              </w:rPr>
              <w:t>3,836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(2,574)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30"/>
              <w:spacing w:after="0"/>
              <w:rPr>
                <w:sz w:val="20"/>
                <w:szCs w:val="20"/>
                <w:color w:val="auto"/>
              </w:rPr>
            </w:pPr>
            <w:r>
              <w:rPr>
                <w:rFonts w:ascii="Arial" w:cs="Arial" w:eastAsia="Arial" w:hAnsi="Arial"/>
                <w:sz w:val="14"/>
                <w:szCs w:val="14"/>
                <w:color w:val="auto"/>
              </w:rPr>
              <w:t>1,262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jc w:val="right"/>
              <w:ind w:right="50"/>
              <w:spacing w:after="0"/>
              <w:rPr>
                <w:sz w:val="20"/>
                <w:szCs w:val="20"/>
                <w:color w:val="auto"/>
              </w:rPr>
            </w:pPr>
            <w:r>
              <w:rPr>
                <w:rFonts w:ascii="Arial" w:cs="Arial" w:eastAsia="Arial" w:hAnsi="Arial"/>
                <w:sz w:val="14"/>
                <w:szCs w:val="14"/>
                <w:color w:val="auto"/>
              </w:rPr>
              <w:t>4,504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(3,290)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50"/>
              <w:spacing w:after="0"/>
              <w:rPr>
                <w:sz w:val="20"/>
                <w:szCs w:val="20"/>
                <w:color w:val="auto"/>
              </w:rPr>
            </w:pPr>
            <w:r>
              <w:rPr>
                <w:rFonts w:ascii="Arial" w:cs="Arial" w:eastAsia="Arial" w:hAnsi="Arial"/>
                <w:sz w:val="14"/>
                <w:szCs w:val="14"/>
                <w:color w:val="auto"/>
              </w:rPr>
              <w:t>1,214</w:t>
            </w:r>
          </w:p>
        </w:tc>
      </w:tr>
      <w:tr>
        <w:trPr>
          <w:trHeight w:val="276"/>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Favorable lease</w:t>
            </w: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1,159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(464)</w:t>
            </w: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695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985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632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1,159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723</w:t>
            </w:r>
          </w:p>
        </w:tc>
      </w:tr>
      <w:tr>
        <w:trPr>
          <w:trHeight w:val="264"/>
        </w:trPr>
        <w:tc>
          <w:tcPr>
            <w:tcW w:w="2180" w:type="dxa"/>
            <w:vAlign w:val="bottom"/>
          </w:tcPr>
          <w:p>
            <w:pPr>
              <w:ind w:left="40"/>
              <w:spacing w:after="0"/>
              <w:rPr>
                <w:sz w:val="20"/>
                <w:szCs w:val="20"/>
                <w:color w:val="auto"/>
              </w:rPr>
            </w:pPr>
            <w:r>
              <w:rPr>
                <w:rFonts w:ascii="Arial" w:cs="Arial" w:eastAsia="Arial" w:hAnsi="Arial"/>
                <w:sz w:val="14"/>
                <w:szCs w:val="14"/>
                <w:color w:val="auto"/>
              </w:rPr>
              <w:t>Franchise rights</w:t>
            </w:r>
          </w:p>
        </w:tc>
        <w:tc>
          <w:tcPr>
            <w:tcW w:w="140" w:type="dxa"/>
            <w:vAlign w:val="bottom"/>
          </w:tcPr>
          <w:p>
            <w:pPr>
              <w:spacing w:after="0"/>
              <w:rPr>
                <w:sz w:val="22"/>
                <w:szCs w:val="22"/>
                <w:color w:val="auto"/>
              </w:rPr>
            </w:pPr>
          </w:p>
        </w:tc>
        <w:tc>
          <w:tcPr>
            <w:tcW w:w="680" w:type="dxa"/>
            <w:vAlign w:val="bottom"/>
          </w:tcPr>
          <w:p>
            <w:pPr>
              <w:jc w:val="right"/>
              <w:ind w:right="50"/>
              <w:spacing w:after="0"/>
              <w:rPr>
                <w:sz w:val="20"/>
                <w:szCs w:val="20"/>
                <w:color w:val="auto"/>
              </w:rPr>
            </w:pPr>
            <w:r>
              <w:rPr>
                <w:rFonts w:ascii="Arial" w:cs="Arial" w:eastAsia="Arial" w:hAnsi="Arial"/>
                <w:sz w:val="14"/>
                <w:szCs w:val="14"/>
                <w:color w:val="auto"/>
              </w:rPr>
              <w:t>1,603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(118)</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ind w:right="50"/>
              <w:spacing w:after="0"/>
              <w:rPr>
                <w:sz w:val="20"/>
                <w:szCs w:val="20"/>
                <w:color w:val="auto"/>
              </w:rPr>
            </w:pPr>
            <w:r>
              <w:rPr>
                <w:rFonts w:ascii="Arial" w:cs="Arial" w:eastAsia="Arial" w:hAnsi="Arial"/>
                <w:sz w:val="14"/>
                <w:szCs w:val="14"/>
                <w:color w:val="auto"/>
              </w:rPr>
              <w:t>1,485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jc w:val="right"/>
              <w:ind w:right="30"/>
              <w:spacing w:after="0"/>
              <w:rPr>
                <w:sz w:val="20"/>
                <w:szCs w:val="20"/>
                <w:color w:val="auto"/>
              </w:rPr>
            </w:pPr>
            <w:r>
              <w:rPr>
                <w:rFonts w:ascii="Arial" w:cs="Arial" w:eastAsia="Arial" w:hAnsi="Arial"/>
                <w:sz w:val="14"/>
                <w:szCs w:val="14"/>
                <w:color w:val="auto"/>
              </w:rPr>
              <w:t>1,567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30"/>
              <w:spacing w:after="0"/>
              <w:rPr>
                <w:sz w:val="20"/>
                <w:szCs w:val="20"/>
                <w:color w:val="auto"/>
              </w:rPr>
            </w:pPr>
            <w:r>
              <w:rPr>
                <w:rFonts w:ascii="Arial" w:cs="Arial" w:eastAsia="Arial" w:hAnsi="Arial"/>
                <w:sz w:val="14"/>
                <w:szCs w:val="14"/>
                <w:color w:val="auto"/>
              </w:rPr>
              <w:t>1,518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jc w:val="right"/>
              <w:ind w:right="50"/>
              <w:spacing w:after="0"/>
              <w:rPr>
                <w:sz w:val="20"/>
                <w:szCs w:val="20"/>
                <w:color w:val="auto"/>
              </w:rPr>
            </w:pPr>
            <w:r>
              <w:rPr>
                <w:rFonts w:ascii="Arial" w:cs="Arial" w:eastAsia="Arial" w:hAnsi="Arial"/>
                <w:sz w:val="14"/>
                <w:szCs w:val="14"/>
                <w:color w:val="auto"/>
              </w:rPr>
              <w:t>1,625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50"/>
              <w:spacing w:after="0"/>
              <w:rPr>
                <w:sz w:val="20"/>
                <w:szCs w:val="20"/>
                <w:color w:val="auto"/>
              </w:rPr>
            </w:pPr>
            <w:r>
              <w:rPr>
                <w:rFonts w:ascii="Arial" w:cs="Arial" w:eastAsia="Arial" w:hAnsi="Arial"/>
                <w:sz w:val="14"/>
                <w:szCs w:val="14"/>
                <w:color w:val="auto"/>
              </w:rPr>
              <w:t>1,523</w:t>
            </w:r>
          </w:p>
        </w:tc>
      </w:tr>
      <w:tr>
        <w:trPr>
          <w:trHeight w:val="276"/>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financing costs</w:t>
            </w: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10,628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(4,226)</w:t>
            </w: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6,402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2,411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1,998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10,584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7,125</w:t>
            </w:r>
          </w:p>
        </w:tc>
      </w:tr>
      <w:tr>
        <w:trPr>
          <w:trHeight w:val="264"/>
        </w:trPr>
        <w:tc>
          <w:tcPr>
            <w:tcW w:w="2180" w:type="dxa"/>
            <w:vAlign w:val="bottom"/>
          </w:tcPr>
          <w:p>
            <w:pPr>
              <w:ind w:left="40"/>
              <w:spacing w:after="0"/>
              <w:rPr>
                <w:sz w:val="20"/>
                <w:szCs w:val="20"/>
                <w:color w:val="auto"/>
              </w:rPr>
            </w:pPr>
            <w:r>
              <w:rPr>
                <w:rFonts w:ascii="Arial" w:cs="Arial" w:eastAsia="Arial" w:hAnsi="Arial"/>
                <w:sz w:val="14"/>
                <w:szCs w:val="14"/>
                <w:color w:val="auto"/>
              </w:rPr>
              <w:t>Contractual relationship</w:t>
            </w:r>
          </w:p>
        </w:tc>
        <w:tc>
          <w:tcPr>
            <w:tcW w:w="140" w:type="dxa"/>
            <w:vAlign w:val="bottom"/>
          </w:tcPr>
          <w:p>
            <w:pPr>
              <w:spacing w:after="0"/>
              <w:rPr>
                <w:sz w:val="22"/>
                <w:szCs w:val="22"/>
                <w:color w:val="auto"/>
              </w:rPr>
            </w:pPr>
          </w:p>
        </w:tc>
        <w:tc>
          <w:tcPr>
            <w:tcW w:w="680" w:type="dxa"/>
            <w:vAlign w:val="bottom"/>
          </w:tcPr>
          <w:p>
            <w:pPr>
              <w:jc w:val="right"/>
              <w:ind w:right="50"/>
              <w:spacing w:after="0"/>
              <w:rPr>
                <w:sz w:val="20"/>
                <w:szCs w:val="20"/>
                <w:color w:val="auto"/>
              </w:rPr>
            </w:pPr>
            <w:r>
              <w:rPr>
                <w:rFonts w:ascii="Arial" w:cs="Arial" w:eastAsia="Arial" w:hAnsi="Arial"/>
                <w:sz w:val="14"/>
                <w:szCs w:val="14"/>
                <w:color w:val="auto"/>
              </w:rPr>
              <w:t>14,370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(1,451)</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ind w:right="50"/>
              <w:spacing w:after="0"/>
              <w:rPr>
                <w:sz w:val="20"/>
                <w:szCs w:val="20"/>
                <w:color w:val="auto"/>
              </w:rPr>
            </w:pPr>
            <w:r>
              <w:rPr>
                <w:rFonts w:ascii="Arial" w:cs="Arial" w:eastAsia="Arial" w:hAnsi="Arial"/>
                <w:sz w:val="14"/>
                <w:szCs w:val="14"/>
                <w:color w:val="auto"/>
              </w:rPr>
              <w:t>12,919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jc w:val="right"/>
              <w:ind w:right="30"/>
              <w:spacing w:after="0"/>
              <w:rPr>
                <w:sz w:val="20"/>
                <w:szCs w:val="20"/>
                <w:color w:val="auto"/>
              </w:rPr>
            </w:pPr>
            <w:r>
              <w:rPr>
                <w:rFonts w:ascii="Arial" w:cs="Arial" w:eastAsia="Arial" w:hAnsi="Arial"/>
                <w:sz w:val="14"/>
                <w:szCs w:val="14"/>
                <w:color w:val="auto"/>
              </w:rPr>
              <w:t>450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30"/>
              <w:spacing w:after="0"/>
              <w:rPr>
                <w:sz w:val="20"/>
                <w:szCs w:val="20"/>
                <w:color w:val="auto"/>
              </w:rPr>
            </w:pPr>
            <w:r>
              <w:rPr>
                <w:rFonts w:ascii="Arial" w:cs="Arial" w:eastAsia="Arial" w:hAnsi="Arial"/>
                <w:sz w:val="14"/>
                <w:szCs w:val="14"/>
                <w:color w:val="auto"/>
              </w:rPr>
              <w:t>425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jc w:val="right"/>
              <w:ind w:right="50"/>
              <w:spacing w:after="0"/>
              <w:rPr>
                <w:sz w:val="20"/>
                <w:szCs w:val="20"/>
                <w:color w:val="auto"/>
              </w:rPr>
            </w:pPr>
            <w:r>
              <w:rPr>
                <w:rFonts w:ascii="Arial" w:cs="Arial" w:eastAsia="Arial" w:hAnsi="Arial"/>
                <w:sz w:val="14"/>
                <w:szCs w:val="14"/>
                <w:color w:val="auto"/>
              </w:rPr>
              <w:t>14,517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(1,075)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50"/>
              <w:spacing w:after="0"/>
              <w:rPr>
                <w:sz w:val="20"/>
                <w:szCs w:val="20"/>
                <w:color w:val="auto"/>
              </w:rPr>
            </w:pPr>
            <w:r>
              <w:rPr>
                <w:rFonts w:ascii="Arial" w:cs="Arial" w:eastAsia="Arial" w:hAnsi="Arial"/>
                <w:sz w:val="14"/>
                <w:szCs w:val="14"/>
                <w:color w:val="auto"/>
              </w:rPr>
              <w:t>13,442</w:t>
            </w:r>
          </w:p>
        </w:tc>
      </w:tr>
      <w:tr>
        <w:trPr>
          <w:trHeight w:val="276"/>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Internally developed software</w:t>
            </w: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18,133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w:t>
            </w: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18,006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1,344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1,325</w:t>
            </w:r>
          </w:p>
        </w:tc>
      </w:tr>
      <w:tr>
        <w:trPr>
          <w:trHeight w:val="264"/>
        </w:trPr>
        <w:tc>
          <w:tcPr>
            <w:tcW w:w="21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w:t>
            </w: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322</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w:t>
            </w:r>
          </w:p>
        </w:tc>
        <w:tc>
          <w:tcPr>
            <w:tcW w:w="14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279</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317</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306</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321</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285</w:t>
            </w:r>
          </w:p>
        </w:tc>
      </w:tr>
      <w:tr>
        <w:trPr>
          <w:trHeight w:val="243"/>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52,291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(10,502)</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41,789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10,787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6,862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35,511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(9,007)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26,504</w:t>
            </w:r>
          </w:p>
        </w:tc>
      </w:tr>
      <w:tr>
        <w:trPr>
          <w:trHeight w:val="20"/>
        </w:trPr>
        <w:tc>
          <w:tcPr>
            <w:tcW w:w="2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22" w:right="239" w:bottom="1440" w:gutter="0" w:footer="0" w:header="0"/>
          <w:type w:val="continuous"/>
        </w:sectPr>
      </w:pPr>
    </w:p>
    <w:bookmarkStart w:id="15" w:name="page16"/>
    <w:bookmarkEnd w:id="1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The amortization of most definite-lived intangible assets is recorded as amortization expense. The favorable lease asset and other intangibles are amortized to operations expense (rent expense) over the related lease terms. The deferred financing costs are amortized to interest expense over the life of the related debt instruments. The following table presents the amount and classification of amortization recognized as expense in each of the periods presented:</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5"/>
          </w:tcPr>
          <w:p>
            <w:pPr>
              <w:jc w:val="right"/>
              <w:ind w:right="350"/>
              <w:spacing w:after="0"/>
              <w:rPr>
                <w:sz w:val="20"/>
                <w:szCs w:val="20"/>
                <w:color w:val="auto"/>
              </w:rPr>
            </w:pPr>
            <w:r>
              <w:rPr>
                <w:rFonts w:ascii="Arial" w:cs="Arial" w:eastAsia="Arial" w:hAnsi="Arial"/>
                <w:sz w:val="14"/>
                <w:szCs w:val="14"/>
                <w:b w:val="1"/>
                <w:bCs w:val="1"/>
                <w:color w:val="auto"/>
              </w:rPr>
              <w:t>Three Months Ended December 31,</w:t>
            </w:r>
          </w:p>
        </w:tc>
      </w:tr>
      <w:tr>
        <w:trPr>
          <w:trHeight w:val="264"/>
        </w:trPr>
        <w:tc>
          <w:tcPr>
            <w:tcW w:w="2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2011</w:t>
            </w:r>
          </w:p>
        </w:tc>
        <w:tc>
          <w:tcPr>
            <w:tcW w:w="560" w:type="dxa"/>
            <w:vAlign w:val="bottom"/>
            <w:tcBorders>
              <w:bottom w:val="single" w:sz="8" w:color="auto"/>
            </w:tcBorders>
          </w:tcPr>
          <w:p>
            <w:pPr>
              <w:spacing w:after="0"/>
              <w:rPr>
                <w:sz w:val="22"/>
                <w:szCs w:val="22"/>
                <w:color w:val="auto"/>
              </w:rPr>
            </w:pPr>
          </w:p>
        </w:tc>
      </w:tr>
      <w:tr>
        <w:trPr>
          <w:trHeight w:val="196"/>
        </w:trPr>
        <w:tc>
          <w:tcPr>
            <w:tcW w:w="2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580" w:type="dxa"/>
            <w:vAlign w:val="bottom"/>
            <w:gridSpan w:val="3"/>
          </w:tcPr>
          <w:p>
            <w:pPr>
              <w:jc w:val="right"/>
              <w:ind w:right="476"/>
              <w:spacing w:after="0"/>
              <w:rPr>
                <w:sz w:val="20"/>
                <w:szCs w:val="20"/>
                <w:color w:val="auto"/>
              </w:rPr>
            </w:pPr>
            <w:r>
              <w:rPr>
                <w:rFonts w:ascii="Arial" w:cs="Arial" w:eastAsia="Arial" w:hAnsi="Arial"/>
                <w:sz w:val="14"/>
                <w:szCs w:val="14"/>
                <w:i w:val="1"/>
                <w:iCs w:val="1"/>
                <w:color w:val="auto"/>
              </w:rPr>
              <w:t>(in thousands)</w:t>
            </w:r>
          </w:p>
        </w:tc>
        <w:tc>
          <w:tcPr>
            <w:tcW w:w="560" w:type="dxa"/>
            <w:vAlign w:val="bottom"/>
          </w:tcPr>
          <w:p>
            <w:pPr>
              <w:spacing w:after="0"/>
              <w:rPr>
                <w:sz w:val="17"/>
                <w:szCs w:val="17"/>
                <w:color w:val="auto"/>
              </w:rPr>
            </w:pPr>
          </w:p>
        </w:tc>
      </w:tr>
      <w:tr>
        <w:trPr>
          <w:trHeight w:val="256"/>
        </w:trPr>
        <w:tc>
          <w:tcPr>
            <w:tcW w:w="3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Amortization expense</w:t>
            </w:r>
          </w:p>
        </w:tc>
        <w:tc>
          <w:tcPr>
            <w:tcW w:w="216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226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723</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227</w:t>
            </w:r>
          </w:p>
        </w:tc>
      </w:tr>
      <w:tr>
        <w:trPr>
          <w:trHeight w:val="243"/>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Operations expense</w:t>
            </w:r>
          </w:p>
        </w:tc>
        <w:tc>
          <w:tcPr>
            <w:tcW w:w="2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60" w:type="dxa"/>
            <w:vAlign w:val="bottom"/>
          </w:tcPr>
          <w:p>
            <w:pPr>
              <w:jc w:val="right"/>
              <w:ind w:right="16"/>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31</w:t>
            </w:r>
          </w:p>
        </w:tc>
      </w:tr>
      <w:tr>
        <w:trPr>
          <w:trHeight w:val="27"/>
        </w:trPr>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70"/>
        </w:trPr>
        <w:tc>
          <w:tcPr>
            <w:tcW w:w="3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1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22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764</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w:t>
            </w:r>
          </w:p>
        </w:tc>
      </w:tr>
      <w:tr>
        <w:trPr>
          <w:trHeight w:val="237"/>
        </w:trPr>
        <w:tc>
          <w:tcPr>
            <w:tcW w:w="5160" w:type="dxa"/>
            <w:vAlign w:val="bottom"/>
            <w:gridSpan w:val="3"/>
          </w:tcPr>
          <w:p>
            <w:pPr>
              <w:ind w:left="40"/>
              <w:spacing w:after="0"/>
              <w:rPr>
                <w:sz w:val="20"/>
                <w:szCs w:val="20"/>
                <w:color w:val="auto"/>
              </w:rPr>
            </w:pPr>
            <w:r>
              <w:rPr>
                <w:rFonts w:ascii="Arial" w:cs="Arial" w:eastAsia="Arial" w:hAnsi="Arial"/>
                <w:sz w:val="18"/>
                <w:szCs w:val="18"/>
                <w:color w:val="auto"/>
                <w:w w:val="92"/>
              </w:rPr>
              <w:t>Total expense from the amortization of definite-lived intangible assets</w:t>
            </w:r>
          </w:p>
        </w:tc>
        <w:tc>
          <w:tcPr>
            <w:tcW w:w="6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w w:val="97"/>
              </w:rPr>
              <w:t>1,522</w:t>
            </w:r>
          </w:p>
        </w:tc>
        <w:tc>
          <w:tcPr>
            <w:tcW w:w="100" w:type="dxa"/>
            <w:vAlign w:val="bottom"/>
          </w:tcPr>
          <w:p>
            <w:pPr>
              <w:spacing w:after="0"/>
              <w:rPr>
                <w:sz w:val="20"/>
                <w:szCs w:val="20"/>
                <w:color w:val="auto"/>
              </w:rPr>
            </w:pPr>
          </w:p>
        </w:tc>
        <w:tc>
          <w:tcPr>
            <w:tcW w:w="920" w:type="dxa"/>
            <w:vAlign w:val="bottom"/>
            <w:tcBorders>
              <w:top w:val="single" w:sz="8" w:color="auto"/>
            </w:tcBorders>
          </w:tcPr>
          <w:p>
            <w:pPr>
              <w:jc w:val="right"/>
              <w:ind w:right="716"/>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409</w:t>
            </w:r>
          </w:p>
        </w:tc>
      </w:tr>
      <w:tr>
        <w:trPr>
          <w:trHeight w:val="405"/>
        </w:trPr>
        <w:tc>
          <w:tcPr>
            <w:tcW w:w="8020" w:type="dxa"/>
            <w:vAlign w:val="bottom"/>
            <w:gridSpan w:val="5"/>
          </w:tcPr>
          <w:p>
            <w:pPr>
              <w:spacing w:after="0"/>
              <w:rPr>
                <w:sz w:val="20"/>
                <w:szCs w:val="20"/>
                <w:color w:val="auto"/>
              </w:rPr>
            </w:pPr>
            <w:r>
              <w:rPr>
                <w:rFonts w:ascii="Arial" w:cs="Arial" w:eastAsia="Arial" w:hAnsi="Arial"/>
                <w:sz w:val="18"/>
                <w:szCs w:val="18"/>
                <w:color w:val="auto"/>
                <w:w w:val="99"/>
              </w:rPr>
              <w:t>The following table presents our estimate of amortization expense for definite-lived intangible assets:</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588"/>
        </w:trPr>
        <w:tc>
          <w:tcPr>
            <w:tcW w:w="3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Fiscal Years Ended September 30,</w:t>
            </w:r>
          </w:p>
        </w:tc>
        <w:tc>
          <w:tcPr>
            <w:tcW w:w="2160" w:type="dxa"/>
            <w:vAlign w:val="bottom"/>
          </w:tcPr>
          <w:p>
            <w:pPr>
              <w:jc w:val="right"/>
              <w:ind w:right="39"/>
              <w:spacing w:after="0"/>
              <w:rPr>
                <w:sz w:val="20"/>
                <w:szCs w:val="20"/>
                <w:color w:val="auto"/>
              </w:rPr>
            </w:pPr>
            <w:r>
              <w:rPr>
                <w:rFonts w:ascii="Arial" w:cs="Arial" w:eastAsia="Arial" w:hAnsi="Arial"/>
                <w:sz w:val="14"/>
                <w:szCs w:val="14"/>
                <w:b w:val="1"/>
                <w:bCs w:val="1"/>
                <w:color w:val="auto"/>
              </w:rPr>
              <w:t>Amortization expense</w:t>
            </w:r>
          </w:p>
        </w:tc>
        <w:tc>
          <w:tcPr>
            <w:tcW w:w="600" w:type="dxa"/>
            <w:vAlign w:val="bottom"/>
          </w:tcPr>
          <w:p>
            <w:pPr>
              <w:spacing w:after="0"/>
              <w:rPr>
                <w:sz w:val="24"/>
                <w:szCs w:val="24"/>
                <w:color w:val="auto"/>
              </w:rPr>
            </w:pPr>
          </w:p>
        </w:tc>
        <w:tc>
          <w:tcPr>
            <w:tcW w:w="2260" w:type="dxa"/>
            <w:vAlign w:val="bottom"/>
          </w:tcPr>
          <w:p>
            <w:pPr>
              <w:jc w:val="center"/>
              <w:ind w:left="582"/>
              <w:spacing w:after="0"/>
              <w:rPr>
                <w:sz w:val="20"/>
                <w:szCs w:val="20"/>
                <w:color w:val="auto"/>
              </w:rPr>
            </w:pPr>
            <w:r>
              <w:rPr>
                <w:rFonts w:ascii="Arial" w:cs="Arial" w:eastAsia="Arial" w:hAnsi="Arial"/>
                <w:sz w:val="14"/>
                <w:szCs w:val="14"/>
                <w:b w:val="1"/>
                <w:bCs w:val="1"/>
                <w:color w:val="auto"/>
                <w:w w:val="89"/>
              </w:rPr>
              <w:t>Operations expense</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580" w:type="dxa"/>
            <w:vAlign w:val="bottom"/>
            <w:gridSpan w:val="3"/>
          </w:tcPr>
          <w:p>
            <w:pPr>
              <w:jc w:val="right"/>
              <w:ind w:right="216"/>
              <w:spacing w:after="0"/>
              <w:rPr>
                <w:sz w:val="20"/>
                <w:szCs w:val="20"/>
                <w:color w:val="auto"/>
              </w:rPr>
            </w:pPr>
            <w:r>
              <w:rPr>
                <w:rFonts w:ascii="Arial" w:cs="Arial" w:eastAsia="Arial" w:hAnsi="Arial"/>
                <w:sz w:val="14"/>
                <w:szCs w:val="14"/>
                <w:b w:val="1"/>
                <w:bCs w:val="1"/>
                <w:color w:val="auto"/>
              </w:rPr>
              <w:t>Interest expense</w:t>
            </w:r>
          </w:p>
        </w:tc>
        <w:tc>
          <w:tcPr>
            <w:tcW w:w="560" w:type="dxa"/>
            <w:vAlign w:val="bottom"/>
          </w:tcPr>
          <w:p>
            <w:pPr>
              <w:spacing w:after="0"/>
              <w:rPr>
                <w:sz w:val="24"/>
                <w:szCs w:val="24"/>
                <w:color w:val="auto"/>
              </w:rPr>
            </w:pPr>
          </w:p>
        </w:tc>
      </w:tr>
      <w:tr>
        <w:trPr>
          <w:trHeight w:val="250"/>
        </w:trPr>
        <w:tc>
          <w:tcPr>
            <w:tcW w:w="28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16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2260" w:type="dxa"/>
            <w:vAlign w:val="bottom"/>
            <w:tcBorders>
              <w:top w:val="single" w:sz="8" w:color="auto"/>
            </w:tcBorders>
          </w:tcPr>
          <w:p>
            <w:pPr>
              <w:jc w:val="center"/>
              <w:ind w:left="582"/>
              <w:spacing w:after="0"/>
              <w:rPr>
                <w:sz w:val="20"/>
                <w:szCs w:val="20"/>
                <w:color w:val="auto"/>
              </w:rPr>
            </w:pPr>
            <w:r>
              <w:rPr>
                <w:rFonts w:ascii="Arial" w:cs="Arial" w:eastAsia="Arial" w:hAnsi="Arial"/>
                <w:sz w:val="14"/>
                <w:szCs w:val="14"/>
                <w:i w:val="1"/>
                <w:iCs w:val="1"/>
                <w:color w:val="auto"/>
                <w:w w:val="94"/>
              </w:rPr>
              <w:t>(in thousands)</w:t>
            </w:r>
          </w:p>
        </w:tc>
        <w:tc>
          <w:tcPr>
            <w:tcW w:w="32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r>
      <w:tr>
        <w:trPr>
          <w:trHeight w:val="256"/>
        </w:trPr>
        <w:tc>
          <w:tcPr>
            <w:tcW w:w="2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2013</w:t>
            </w:r>
          </w:p>
        </w:tc>
        <w:tc>
          <w:tcPr>
            <w:tcW w:w="12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CCEEFF"/>
            </w:tcBorders>
            <w:shd w:val="clear" w:color="auto" w:fill="CCEEFF"/>
          </w:tcPr>
          <w:p>
            <w:pPr>
              <w:jc w:val="right"/>
              <w:ind w:right="1979"/>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3,886</w:t>
            </w:r>
          </w:p>
        </w:tc>
        <w:tc>
          <w:tcPr>
            <w:tcW w:w="2260" w:type="dxa"/>
            <w:vAlign w:val="bottom"/>
            <w:tcBorders>
              <w:bottom w:val="single" w:sz="8" w:color="CCEEFF"/>
            </w:tcBorders>
            <w:shd w:val="clear" w:color="auto" w:fill="CCEEFF"/>
          </w:tcPr>
          <w:p>
            <w:pPr>
              <w:jc w:val="right"/>
              <w:ind w:right="1962"/>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102</w:t>
            </w:r>
          </w:p>
        </w:tc>
        <w:tc>
          <w:tcPr>
            <w:tcW w:w="680" w:type="dxa"/>
            <w:vAlign w:val="bottom"/>
            <w:tcBorders>
              <w:bottom w:val="single" w:sz="8" w:color="CCEEFF"/>
            </w:tcBorders>
            <w:shd w:val="clear" w:color="auto" w:fill="CCEEFF"/>
          </w:tcPr>
          <w:p>
            <w:pPr>
              <w:jc w:val="right"/>
              <w:ind w:right="402"/>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2,230</w:t>
            </w:r>
          </w:p>
        </w:tc>
      </w:tr>
      <w:tr>
        <w:trPr>
          <w:trHeight w:val="243"/>
        </w:trPr>
        <w:tc>
          <w:tcPr>
            <w:tcW w:w="2880" w:type="dxa"/>
            <w:vAlign w:val="bottom"/>
          </w:tcPr>
          <w:p>
            <w:pPr>
              <w:jc w:val="center"/>
              <w:spacing w:after="0"/>
              <w:rPr>
                <w:sz w:val="20"/>
                <w:szCs w:val="20"/>
                <w:color w:val="auto"/>
              </w:rPr>
            </w:pPr>
            <w:r>
              <w:rPr>
                <w:rFonts w:ascii="Arial" w:cs="Arial" w:eastAsia="Arial" w:hAnsi="Arial"/>
                <w:sz w:val="18"/>
                <w:szCs w:val="18"/>
                <w:color w:val="auto"/>
                <w:w w:val="89"/>
              </w:rPr>
              <w:t>2014</w:t>
            </w:r>
          </w:p>
        </w:tc>
        <w:tc>
          <w:tcPr>
            <w:tcW w:w="12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5,344</w:t>
            </w:r>
          </w:p>
        </w:tc>
        <w:tc>
          <w:tcPr>
            <w:tcW w:w="2260" w:type="dxa"/>
            <w:vAlign w:val="bottom"/>
          </w:tcPr>
          <w:p>
            <w:pPr>
              <w:spacing w:after="0"/>
              <w:rPr>
                <w:sz w:val="21"/>
                <w:szCs w:val="21"/>
                <w:color w:val="auto"/>
              </w:rPr>
            </w:pPr>
          </w:p>
        </w:tc>
        <w:tc>
          <w:tcPr>
            <w:tcW w:w="580" w:type="dxa"/>
            <w:vAlign w:val="bottom"/>
            <w:gridSpan w:val="2"/>
          </w:tcPr>
          <w:p>
            <w:pPr>
              <w:jc w:val="right"/>
              <w:ind w:right="30"/>
              <w:spacing w:after="0"/>
              <w:rPr>
                <w:sz w:val="20"/>
                <w:szCs w:val="20"/>
                <w:color w:val="auto"/>
              </w:rPr>
            </w:pPr>
            <w:r>
              <w:rPr>
                <w:rFonts w:ascii="Arial" w:cs="Arial" w:eastAsia="Arial" w:hAnsi="Arial"/>
                <w:sz w:val="18"/>
                <w:szCs w:val="18"/>
                <w:color w:val="auto"/>
              </w:rPr>
              <w:t>125</w:t>
            </w:r>
          </w:p>
        </w:tc>
        <w:tc>
          <w:tcPr>
            <w:tcW w:w="6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2,123</w:t>
            </w:r>
          </w:p>
        </w:tc>
      </w:tr>
      <w:tr>
        <w:trPr>
          <w:trHeight w:val="27"/>
        </w:trPr>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2015</w:t>
            </w:r>
          </w:p>
        </w:tc>
        <w:tc>
          <w:tcPr>
            <w:tcW w:w="12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5,063</w:t>
            </w:r>
          </w:p>
        </w:tc>
        <w:tc>
          <w:tcPr>
            <w:tcW w:w="22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113</w:t>
            </w:r>
          </w:p>
        </w:tc>
        <w:tc>
          <w:tcPr>
            <w:tcW w:w="6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1,011</w:t>
            </w:r>
          </w:p>
        </w:tc>
      </w:tr>
      <w:tr>
        <w:trPr>
          <w:trHeight w:val="243"/>
        </w:trPr>
        <w:tc>
          <w:tcPr>
            <w:tcW w:w="2880" w:type="dxa"/>
            <w:vAlign w:val="bottom"/>
          </w:tcPr>
          <w:p>
            <w:pPr>
              <w:jc w:val="center"/>
              <w:spacing w:after="0"/>
              <w:rPr>
                <w:sz w:val="20"/>
                <w:szCs w:val="20"/>
                <w:color w:val="auto"/>
              </w:rPr>
            </w:pPr>
            <w:r>
              <w:rPr>
                <w:rFonts w:ascii="Arial" w:cs="Arial" w:eastAsia="Arial" w:hAnsi="Arial"/>
                <w:sz w:val="18"/>
                <w:szCs w:val="18"/>
                <w:color w:val="auto"/>
                <w:w w:val="89"/>
              </w:rPr>
              <w:t>2016</w:t>
            </w:r>
          </w:p>
        </w:tc>
        <w:tc>
          <w:tcPr>
            <w:tcW w:w="12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5,003</w:t>
            </w:r>
          </w:p>
        </w:tc>
        <w:tc>
          <w:tcPr>
            <w:tcW w:w="2260" w:type="dxa"/>
            <w:vAlign w:val="bottom"/>
          </w:tcPr>
          <w:p>
            <w:pPr>
              <w:spacing w:after="0"/>
              <w:rPr>
                <w:sz w:val="21"/>
                <w:szCs w:val="21"/>
                <w:color w:val="auto"/>
              </w:rPr>
            </w:pPr>
          </w:p>
        </w:tc>
        <w:tc>
          <w:tcPr>
            <w:tcW w:w="580" w:type="dxa"/>
            <w:vAlign w:val="bottom"/>
            <w:gridSpan w:val="2"/>
          </w:tcPr>
          <w:p>
            <w:pPr>
              <w:jc w:val="right"/>
              <w:ind w:right="30"/>
              <w:spacing w:after="0"/>
              <w:rPr>
                <w:sz w:val="20"/>
                <w:szCs w:val="20"/>
                <w:color w:val="auto"/>
              </w:rPr>
            </w:pPr>
            <w:r>
              <w:rPr>
                <w:rFonts w:ascii="Arial" w:cs="Arial" w:eastAsia="Arial" w:hAnsi="Arial"/>
                <w:sz w:val="18"/>
                <w:szCs w:val="18"/>
                <w:color w:val="auto"/>
              </w:rPr>
              <w:t>111</w:t>
            </w:r>
          </w:p>
        </w:tc>
        <w:tc>
          <w:tcPr>
            <w:tcW w:w="6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574</w:t>
            </w:r>
          </w:p>
        </w:tc>
      </w:tr>
      <w:tr>
        <w:trPr>
          <w:trHeight w:val="27"/>
        </w:trPr>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43"/>
        </w:trPr>
        <w:tc>
          <w:tcPr>
            <w:tcW w:w="2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2017</w:t>
            </w:r>
          </w:p>
        </w:tc>
        <w:tc>
          <w:tcPr>
            <w:tcW w:w="120" w:type="dxa"/>
            <w:vAlign w:val="bottom"/>
            <w:shd w:val="clear" w:color="auto" w:fill="CCEEFF"/>
          </w:tcPr>
          <w:p>
            <w:pPr>
              <w:spacing w:after="0"/>
              <w:rPr>
                <w:sz w:val="21"/>
                <w:szCs w:val="21"/>
                <w:color w:val="auto"/>
              </w:rPr>
            </w:pPr>
          </w:p>
        </w:tc>
        <w:tc>
          <w:tcPr>
            <w:tcW w:w="216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4,914</w:t>
            </w:r>
          </w:p>
        </w:tc>
        <w:tc>
          <w:tcPr>
            <w:tcW w:w="226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111</w:t>
            </w:r>
          </w:p>
        </w:tc>
        <w:tc>
          <w:tcPr>
            <w:tcW w:w="6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464</w:t>
            </w:r>
          </w:p>
        </w:tc>
      </w:tr>
      <w:tr>
        <w:trPr>
          <w:trHeight w:val="27"/>
        </w:trPr>
        <w:tc>
          <w:tcPr>
            <w:tcW w:w="2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22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As acquisitions and dispositions occur in the future, amortization expense may vary from these estimates.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LONG-TERM DEBT AND CAPITAL LEASE OBLIGATIONS</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our long-term debt instruments and balances under capital lease obligations outstanding at December 31, 2012 and 2011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2011:</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jc w:val="right"/>
              <w:ind w:right="252"/>
              <w:spacing w:after="0"/>
              <w:rPr>
                <w:sz w:val="20"/>
                <w:szCs w:val="20"/>
                <w:color w:val="auto"/>
              </w:rPr>
            </w:pPr>
            <w:r>
              <w:rPr>
                <w:rFonts w:ascii="Arial" w:cs="Arial" w:eastAsia="Arial" w:hAnsi="Arial"/>
                <w:sz w:val="14"/>
                <w:szCs w:val="14"/>
                <w:b w:val="1"/>
                <w:bCs w:val="1"/>
                <w:color w:val="auto"/>
              </w:rPr>
              <w:t>December 31, 2012</w:t>
            </w:r>
          </w:p>
        </w:tc>
        <w:tc>
          <w:tcPr>
            <w:tcW w:w="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91"/>
              </w:rPr>
              <w:t>December 31, 2011</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212"/>
              <w:spacing w:after="0"/>
              <w:rPr>
                <w:sz w:val="20"/>
                <w:szCs w:val="20"/>
                <w:color w:val="auto"/>
              </w:rPr>
            </w:pPr>
            <w:r>
              <w:rPr>
                <w:rFonts w:ascii="Arial" w:cs="Arial" w:eastAsia="Arial" w:hAnsi="Arial"/>
                <w:sz w:val="14"/>
                <w:szCs w:val="14"/>
                <w:b w:val="1"/>
                <w:bCs w:val="1"/>
                <w:color w:val="auto"/>
              </w:rPr>
              <w:t>September 30, 2012</w:t>
            </w:r>
          </w:p>
        </w:tc>
      </w:tr>
      <w:tr>
        <w:trPr>
          <w:trHeight w:val="152"/>
        </w:trPr>
        <w:tc>
          <w:tcPr>
            <w:tcW w:w="5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7"/>
              </w:rPr>
              <w:t>Carrying</w:t>
            </w:r>
          </w:p>
        </w:tc>
        <w:tc>
          <w:tcPr>
            <w:tcW w:w="140" w:type="dxa"/>
            <w:vAlign w:val="bottom"/>
          </w:tcPr>
          <w:p>
            <w:pPr>
              <w:spacing w:after="0"/>
              <w:rPr>
                <w:sz w:val="13"/>
                <w:szCs w:val="13"/>
                <w:color w:val="auto"/>
              </w:rPr>
            </w:pPr>
          </w:p>
        </w:tc>
        <w:tc>
          <w:tcPr>
            <w:tcW w:w="700" w:type="dxa"/>
            <w:vAlign w:val="bottom"/>
          </w:tcPr>
          <w:p>
            <w:pPr>
              <w:jc w:val="right"/>
              <w:ind w:right="152"/>
              <w:spacing w:after="0" w:line="153" w:lineRule="exact"/>
              <w:rPr>
                <w:sz w:val="20"/>
                <w:szCs w:val="20"/>
                <w:color w:val="auto"/>
              </w:rPr>
            </w:pPr>
            <w:r>
              <w:rPr>
                <w:rFonts w:ascii="Arial" w:cs="Arial" w:eastAsia="Arial" w:hAnsi="Arial"/>
                <w:sz w:val="14"/>
                <w:szCs w:val="14"/>
                <w:b w:val="1"/>
                <w:bCs w:val="1"/>
                <w:color w:val="auto"/>
              </w:rPr>
              <w:t>Debt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7"/>
              </w:rPr>
              <w:t>Carrying</w:t>
            </w:r>
          </w:p>
        </w:tc>
        <w:tc>
          <w:tcPr>
            <w:tcW w:w="140" w:type="dxa"/>
            <w:vAlign w:val="bottom"/>
          </w:tcPr>
          <w:p>
            <w:pPr>
              <w:spacing w:after="0"/>
              <w:rPr>
                <w:sz w:val="13"/>
                <w:szCs w:val="13"/>
                <w:color w:val="auto"/>
              </w:rPr>
            </w:pPr>
          </w:p>
        </w:tc>
        <w:tc>
          <w:tcPr>
            <w:tcW w:w="720" w:type="dxa"/>
            <w:vAlign w:val="bottom"/>
          </w:tcPr>
          <w:p>
            <w:pPr>
              <w:jc w:val="right"/>
              <w:ind w:right="53"/>
              <w:spacing w:after="0" w:line="153" w:lineRule="exact"/>
              <w:rPr>
                <w:sz w:val="20"/>
                <w:szCs w:val="20"/>
                <w:color w:val="auto"/>
              </w:rPr>
            </w:pPr>
            <w:r>
              <w:rPr>
                <w:rFonts w:ascii="Arial" w:cs="Arial" w:eastAsia="Arial" w:hAnsi="Arial"/>
                <w:sz w:val="14"/>
                <w:szCs w:val="14"/>
                <w:b w:val="1"/>
                <w:bCs w:val="1"/>
                <w:color w:val="auto"/>
                <w:w w:val="97"/>
              </w:rPr>
              <w:t>Carrying</w:t>
            </w:r>
          </w:p>
        </w:tc>
        <w:tc>
          <w:tcPr>
            <w:tcW w:w="180" w:type="dxa"/>
            <w:vAlign w:val="bottom"/>
          </w:tcPr>
          <w:p>
            <w:pPr>
              <w:spacing w:after="0"/>
              <w:rPr>
                <w:sz w:val="13"/>
                <w:szCs w:val="13"/>
                <w:color w:val="auto"/>
              </w:rPr>
            </w:pPr>
          </w:p>
        </w:tc>
        <w:tc>
          <w:tcPr>
            <w:tcW w:w="760" w:type="dxa"/>
            <w:vAlign w:val="bottom"/>
          </w:tcPr>
          <w:p>
            <w:pPr>
              <w:jc w:val="right"/>
              <w:ind w:right="212"/>
              <w:spacing w:after="0" w:line="153" w:lineRule="exact"/>
              <w:rPr>
                <w:sz w:val="20"/>
                <w:szCs w:val="20"/>
                <w:color w:val="auto"/>
              </w:rPr>
            </w:pPr>
            <w:r>
              <w:rPr>
                <w:rFonts w:ascii="Arial" w:cs="Arial" w:eastAsia="Arial" w:hAnsi="Arial"/>
                <w:sz w:val="14"/>
                <w:szCs w:val="14"/>
                <w:b w:val="1"/>
                <w:bCs w:val="1"/>
                <w:color w:val="auto"/>
              </w:rPr>
              <w:t>Debt</w:t>
            </w:r>
          </w:p>
        </w:tc>
      </w:tr>
      <w:tr>
        <w:trPr>
          <w:trHeight w:val="192"/>
        </w:trPr>
        <w:tc>
          <w:tcPr>
            <w:tcW w:w="58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8"/>
              </w:rPr>
              <w:t>Amount</w:t>
            </w: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96"/>
              </w:rPr>
              <w:t>Premium</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Amount</w:t>
            </w: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6"/>
              </w:rPr>
              <w:t>Premium</w:t>
            </w:r>
          </w:p>
        </w:tc>
      </w:tr>
      <w:tr>
        <w:trPr>
          <w:trHeight w:val="270"/>
        </w:trPr>
        <w:tc>
          <w:tcPr>
            <w:tcW w:w="58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880" w:type="dxa"/>
            <w:vAlign w:val="bottom"/>
            <w:gridSpan w:val="5"/>
            <w:shd w:val="clear" w:color="auto" w:fill="CCEEFF"/>
          </w:tcPr>
          <w:p>
            <w:pPr>
              <w:ind w:left="4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b w:val="1"/>
                <w:bCs w:val="1"/>
                <w:color w:val="auto"/>
              </w:rPr>
              <w:t>Recourse to EZCORP:</w:t>
            </w: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
        </w:trPr>
        <w:tc>
          <w:tcPr>
            <w:tcW w:w="5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Domestic line of credit up to $175,000 due 2015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142,600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40,500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130,000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Capital lease obligations</w:t>
            </w:r>
          </w:p>
        </w:tc>
        <w:tc>
          <w:tcPr>
            <w:tcW w:w="16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1,304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1,589</w:t>
            </w:r>
          </w:p>
        </w:tc>
        <w:tc>
          <w:tcPr>
            <w:tcW w:w="18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5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Non-recourse to EZCORP:</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Unsecured, variable interest foreign currency line of credit</w:t>
            </w:r>
          </w:p>
        </w:tc>
        <w:tc>
          <w:tcPr>
            <w:tcW w:w="16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5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Secured foreign currency line of credit up to $3,800 due 2014</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2,256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2,629</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199</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Secured foreign currency line of credit up to $19,000 due 2015</w:t>
            </w:r>
          </w:p>
        </w:tc>
        <w:tc>
          <w:tcPr>
            <w:tcW w:w="16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14,146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16,073</w:t>
            </w:r>
          </w:p>
        </w:tc>
        <w:tc>
          <w:tcPr>
            <w:tcW w:w="18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5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Secured foreign currency line of credit up to $23,000 due 2017</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17,212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11,263</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Consumer loans facility due 2017</w:t>
            </w:r>
          </w:p>
        </w:tc>
        <w:tc>
          <w:tcPr>
            <w:tcW w:w="16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32,338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32,679</w:t>
            </w:r>
          </w:p>
        </w:tc>
        <w:tc>
          <w:tcPr>
            <w:tcW w:w="18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5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10% unsecured notes due 2013</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937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1,766</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15% unsecured notes due 2013</w:t>
            </w:r>
          </w:p>
        </w:tc>
        <w:tc>
          <w:tcPr>
            <w:tcW w:w="16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13,844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1,052</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14,262</w:t>
            </w:r>
          </w:p>
        </w:tc>
        <w:tc>
          <w:tcPr>
            <w:tcW w:w="18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1,334</w:t>
            </w:r>
          </w:p>
        </w:tc>
      </w:tr>
      <w:tr>
        <w:trPr>
          <w:trHeight w:val="27"/>
        </w:trPr>
        <w:tc>
          <w:tcPr>
            <w:tcW w:w="5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16% unsecured notes due 2013</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5,248</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108</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10% unsecured notes due 2014</w:t>
            </w:r>
          </w:p>
        </w:tc>
        <w:tc>
          <w:tcPr>
            <w:tcW w:w="16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2,257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963</w:t>
            </w:r>
          </w:p>
        </w:tc>
        <w:tc>
          <w:tcPr>
            <w:tcW w:w="18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5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11% unsecured notes due 2014</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5,086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10% unsecured notes due 2015</w:t>
            </w:r>
          </w:p>
        </w:tc>
        <w:tc>
          <w:tcPr>
            <w:tcW w:w="16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314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427</w:t>
            </w:r>
          </w:p>
        </w:tc>
        <w:tc>
          <w:tcPr>
            <w:tcW w:w="18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5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15% secured notes due 2015</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4,390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4,488</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597</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10% unsecured notes due 2016</w:t>
            </w: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123</w:t>
            </w:r>
          </w:p>
        </w:tc>
        <w:tc>
          <w:tcPr>
            <w:tcW w:w="18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58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long-term obligations</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236,844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1,764</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40,500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221,510</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2,238</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Less current portion</w:t>
            </w: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28,095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1,353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21,679</w:t>
            </w:r>
          </w:p>
        </w:tc>
        <w:tc>
          <w:tcPr>
            <w:tcW w:w="18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1,497</w:t>
            </w:r>
          </w:p>
        </w:tc>
      </w:tr>
      <w:tr>
        <w:trPr>
          <w:trHeight w:val="27"/>
        </w:trPr>
        <w:tc>
          <w:tcPr>
            <w:tcW w:w="58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7"/>
        </w:trPr>
        <w:tc>
          <w:tcPr>
            <w:tcW w:w="5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long-term and capital lease obligations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208,749</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3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40,500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199,831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741</w:t>
            </w: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On May 10, 2011, we entered into a new senior secured credit agreement with a syndicate of five banks, replacing our previous credit agreement. Among other things, the new credit agreement provides for a four year $175 million revolving credit facility that we may, under the terms of the agreement, request to be increased to a total of $225 million. Upon entering the new credit agreement, we repaid and retired our $17.5 million outstanding debt. The new credit facility increases our available credit and provides greater flexibility to make investments and acquisitions both domestically and internationally.</w:t>
      </w:r>
    </w:p>
    <w:p>
      <w:pPr>
        <w:spacing w:after="0" w:line="10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Pursuant to the credit agreement, we may choose to pay interest to the lenders for outstanding borrowings at LIBOR plus 200 to 275 basis points or the bank's base rate plus 100 to 175 basis points, depending on our leverage ratio computed at the end of each calendar quarter. On the unused amount of the credit facility, we pay a commitment fee of 37.5 to 50 basis points depending on our leverage ratio calculated at the end of each quarter. Terms of the credit agreement require, among other things, that we meet certain financial covenants, restrict dividend payments and limit other and non-recourse debt. At December 31, 2012, we were in compliance with all covenants. We expect the recorded value of our debt to approximate its fair value, as it is all variable rate debt and carries no pre-payment penalty, and would be considered a Level 2 estimate within the fair value hierarchy.</w:t>
      </w:r>
    </w:p>
    <w:p>
      <w:pPr>
        <w:spacing w:after="0" w:line="12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Deferred financing costs related to our credit agreement are included in intangible assets, net on the balance sheet and are being amortized to interest expense over the term of the agreement.</w:t>
      </w:r>
    </w:p>
    <w:p>
      <w:pPr>
        <w:spacing w:after="0" w:line="116"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On January 30, 2012, we acquired a 60% ownership interest in Crediamigo, a specialty consumer finance company headquartered in Mexico City. Non-recourse debt amounts in the table above represent Crediamigo’s third party debt. All lines of credit are guaranteed by the Crediamigo loan portfolio. Interest on lines of credit due 2014 and 2015 is charged at the Mexican Interbank Equilibrium ("TIIE") plus a margin varying from 6% to 9%. The line of credit due 2014 requires monthly payments of $0.1 million with remaining principal due at maturity. The line of credit due 2015 requires monthly payments of</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$0.8 million with the remaining principal due at maturity. The 15% secured notes require monthly payments of $0.1 million with remaining principal due at maturity.</w:t>
      </w:r>
    </w:p>
    <w:p>
      <w:pPr>
        <w:spacing w:after="0" w:line="116"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At acquisition, we performed a valuation to determine the fair value of Crediamigo's debt. As a result, we recorded a debt premium on Crediamigo’s debt. This debt premium is being amortized as a reduction of interest expense over the life of the debt. The fair value was determined by using an income approach, specifically the discounted cash flows method based on the contractual terms of the debt and risk adjusted discount rates. The significant inputs used for the valuation are not observable in the market and thus this fair value measurement represents a Level 3 measurement within the fair value hierarchy. We expect the recorded value of our debt to approximate its fair value and would be considered Level 3 estimates within the fair value hierarchy.</w:t>
      </w:r>
    </w:p>
    <w:p>
      <w:pPr>
        <w:spacing w:after="0" w:line="104"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On July 10, 2012, Crediamigo entered into a securitization transaction to transfer the collection rights of certain eligible consumer loans to a bankruptcy remote trust in exchange for cash on a non-recourse basis. The trust received financing as a result of the issuance of debt securities and delivered the proceeds of the financing to Crediamigo.The securitization agreement calls for a two-year revolving period in which the trust will use principal collections of the consumer loan portfolio to acquire additional collection rights up to $115.5 million in eligible loans from Crediamigo. Upon the termination of the revolving period, the collection received by the trust will be used to repay the debt. Crediamigo will continue to service the underlying loans in the trust.</w:t>
      </w:r>
    </w:p>
    <w:p>
      <w:pPr>
        <w:spacing w:after="0" w:line="104"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Crediamigo is the primary beneficiary of the securitization trust because Crediamigo has the power to direct the most significant activities of the trust through its role as servicer of all the receivables held by the trust and through its obligation to absorb losses or receive benefits that could potentially be significant to the trust. Consequently, we consolidate the trust.</w:t>
      </w:r>
    </w:p>
    <w:p>
      <w:pPr>
        <w:spacing w:after="0" w:line="127"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As of December 31, 2012, borrowings under the securitization borrowing facility amounted to $32.3 million. Interest is charged at TIIE plus a 2.5% margin, or a total of 7.3% as of December 31, 2012, and required monthly payments of $0.9 million begin on July 2014. The debt issued by the trust will be paid solely from the collections of the consumer loans transferred to the trust, and therefore there is no recourse to Crediamigo or EZCORP.</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COMMON STOCK, OPTIONS AND STOCK COMPENSATION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Our net income includes the following compensation costs related to our stock compensation arrangements: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0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3"/>
              </w:rPr>
              <w:t>Three Months Ended December 31,</w:t>
            </w:r>
          </w:p>
        </w:tc>
        <w:tc>
          <w:tcPr>
            <w:tcW w:w="0" w:type="dxa"/>
            <w:vAlign w:val="bottom"/>
          </w:tcPr>
          <w:p>
            <w:pPr>
              <w:spacing w:after="0"/>
              <w:rPr>
                <w:sz w:val="1"/>
                <w:szCs w:val="1"/>
                <w:color w:val="auto"/>
              </w:rPr>
            </w:pPr>
          </w:p>
        </w:tc>
      </w:tr>
      <w:tr>
        <w:trPr>
          <w:trHeight w:val="264"/>
        </w:trPr>
        <w:tc>
          <w:tcPr>
            <w:tcW w:w="8340" w:type="dxa"/>
            <w:vAlign w:val="bottom"/>
          </w:tcPr>
          <w:p>
            <w:pPr>
              <w:spacing w:after="0"/>
              <w:rPr>
                <w:sz w:val="22"/>
                <w:szCs w:val="22"/>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2012</w:t>
            </w: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2"/>
          </w:tcPr>
          <w:p>
            <w:pPr>
              <w:jc w:val="right"/>
              <w:ind w:right="510"/>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196"/>
        </w:trPr>
        <w:tc>
          <w:tcPr>
            <w:tcW w:w="8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60" w:type="dxa"/>
            <w:vAlign w:val="bottom"/>
            <w:gridSpan w:val="3"/>
          </w:tcPr>
          <w:p>
            <w:pPr>
              <w:jc w:val="center"/>
              <w:ind w:right="321"/>
              <w:spacing w:after="0"/>
              <w:rPr>
                <w:sz w:val="20"/>
                <w:szCs w:val="20"/>
                <w:color w:val="auto"/>
              </w:rPr>
            </w:pPr>
            <w:r>
              <w:rPr>
                <w:rFonts w:ascii="Arial" w:cs="Arial" w:eastAsia="Arial" w:hAnsi="Arial"/>
                <w:sz w:val="14"/>
                <w:szCs w:val="14"/>
                <w:i w:val="1"/>
                <w:iCs w:val="1"/>
                <w:color w:val="auto"/>
                <w:w w:val="92"/>
              </w:rPr>
              <w:t>(in thousands)</w:t>
            </w: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compensation costs</w:t>
            </w: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925</w:t>
            </w: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1,513</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Income tax benefits</w:t>
            </w:r>
          </w:p>
        </w:tc>
        <w:tc>
          <w:tcPr>
            <w:tcW w:w="10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9"/>
              </w:rPr>
              <w:t>(299)</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compensation expense</w:t>
            </w:r>
          </w:p>
        </w:tc>
        <w:tc>
          <w:tcPr>
            <w:tcW w:w="1020" w:type="dxa"/>
            <w:vAlign w:val="bottom"/>
            <w:tcBorders>
              <w:bottom w:val="single" w:sz="8" w:color="auto"/>
            </w:tcBorders>
            <w:shd w:val="clear" w:color="auto" w:fill="CCEEFF"/>
          </w:tcPr>
          <w:p>
            <w:pPr>
              <w:jc w:val="right"/>
              <w:ind w:right="819"/>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626</w:t>
            </w: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1,067</w:t>
            </w:r>
          </w:p>
        </w:tc>
        <w:tc>
          <w:tcPr>
            <w:tcW w:w="0" w:type="dxa"/>
            <w:vAlign w:val="bottom"/>
          </w:tcPr>
          <w:p>
            <w:pPr>
              <w:spacing w:after="0"/>
              <w:rPr>
                <w:sz w:val="1"/>
                <w:szCs w:val="1"/>
                <w:color w:val="auto"/>
              </w:rPr>
            </w:pPr>
          </w:p>
        </w:tc>
      </w:tr>
      <w:tr>
        <w:trPr>
          <w:trHeight w:val="20"/>
        </w:trPr>
        <w:tc>
          <w:tcPr>
            <w:tcW w:w="8340" w:type="dxa"/>
            <w:vAlign w:val="bottom"/>
            <w:vMerge w:val="restart"/>
          </w:tcPr>
          <w:p>
            <w:pPr>
              <w:spacing w:after="0"/>
              <w:rPr>
                <w:sz w:val="20"/>
                <w:szCs w:val="20"/>
                <w:color w:val="auto"/>
              </w:rPr>
            </w:pPr>
            <w:r>
              <w:rPr>
                <w:rFonts w:ascii="Arial" w:cs="Arial" w:eastAsia="Arial" w:hAnsi="Arial"/>
                <w:sz w:val="18"/>
                <w:szCs w:val="18"/>
                <w:color w:val="auto"/>
              </w:rPr>
              <w:t>In the three months ended December 31, 2012 and 2011, no stock options were exercised.</w:t>
            </w: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834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8340" w:type="dxa"/>
            <w:vAlign w:val="bottom"/>
          </w:tcPr>
          <w:p>
            <w:pPr>
              <w:spacing w:after="0"/>
              <w:rPr>
                <w:sz w:val="20"/>
                <w:szCs w:val="20"/>
                <w:color w:val="auto"/>
              </w:rPr>
            </w:pPr>
            <w:r>
              <w:rPr>
                <w:rFonts w:ascii="Arial" w:cs="Arial" w:eastAsia="Arial" w:hAnsi="Arial"/>
                <w:sz w:val="18"/>
                <w:szCs w:val="18"/>
                <w:b w:val="1"/>
                <w:bCs w:val="1"/>
                <w:color w:val="auto"/>
              </w:rPr>
              <w:t>NOTE 8: REDEEMABLE NONCONTROLLING INTEREST</w:t>
            </w: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9360" w:type="dxa"/>
            <w:vAlign w:val="bottom"/>
            <w:gridSpan w:val="2"/>
          </w:tcPr>
          <w:p>
            <w:pPr>
              <w:spacing w:after="0"/>
              <w:rPr>
                <w:sz w:val="20"/>
                <w:szCs w:val="20"/>
                <w:color w:val="auto"/>
              </w:rPr>
            </w:pPr>
            <w:r>
              <w:rPr>
                <w:rFonts w:ascii="Arial" w:cs="Arial" w:eastAsia="Arial" w:hAnsi="Arial"/>
                <w:sz w:val="18"/>
                <w:szCs w:val="18"/>
                <w:color w:val="auto"/>
                <w:w w:val="94"/>
              </w:rPr>
              <w:t>The following table provides a summary of the activities in our redeemable noncontrolling interests as of December 31, 2012:</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8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Redeemable Noncontrolling</w:t>
            </w:r>
          </w:p>
        </w:tc>
        <w:tc>
          <w:tcPr>
            <w:tcW w:w="0" w:type="dxa"/>
            <w:vAlign w:val="bottom"/>
          </w:tcPr>
          <w:p>
            <w:pPr>
              <w:spacing w:after="0"/>
              <w:rPr>
                <w:sz w:val="1"/>
                <w:szCs w:val="1"/>
                <w:color w:val="auto"/>
              </w:rPr>
            </w:pPr>
          </w:p>
        </w:tc>
      </w:tr>
      <w:tr>
        <w:trPr>
          <w:trHeight w:val="192"/>
        </w:trPr>
        <w:tc>
          <w:tcPr>
            <w:tcW w:w="8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Interests</w:t>
            </w: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8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ind w:left="40"/>
              <w:spacing w:after="0"/>
              <w:rPr>
                <w:sz w:val="20"/>
                <w:szCs w:val="20"/>
                <w:color w:val="auto"/>
              </w:rPr>
            </w:pPr>
            <w:r>
              <w:rPr>
                <w:rFonts w:ascii="Arial" w:cs="Arial" w:eastAsia="Arial" w:hAnsi="Arial"/>
                <w:sz w:val="14"/>
                <w:szCs w:val="14"/>
                <w:i w:val="1"/>
                <w:iCs w:val="1"/>
                <w:color w:val="auto"/>
                <w:w w:val="92"/>
              </w:rPr>
              <w:t>(in thousands)</w:t>
            </w: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September 30, 2012</w:t>
            </w:r>
          </w:p>
        </w:tc>
        <w:tc>
          <w:tcPr>
            <w:tcW w:w="10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5"/>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53,681</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Acquisition of redeemable noncontrolling interest</w:t>
            </w:r>
          </w:p>
        </w:tc>
        <w:tc>
          <w:tcPr>
            <w:tcW w:w="10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2,836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Sale of additional shares to parent</w:t>
            </w:r>
          </w:p>
        </w:tc>
        <w:tc>
          <w:tcPr>
            <w:tcW w:w="10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(7,981)</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Net income attributable to redeemable noncontrolling interests</w:t>
            </w:r>
          </w:p>
        </w:tc>
        <w:tc>
          <w:tcPr>
            <w:tcW w:w="10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1,438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currency translation adjustment attributable to noncontrolling interests</w:t>
            </w:r>
          </w:p>
        </w:tc>
        <w:tc>
          <w:tcPr>
            <w:tcW w:w="10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0" w:type="dxa"/>
            <w:vAlign w:val="bottom"/>
          </w:tcPr>
          <w:p>
            <w:pPr>
              <w:spacing w:after="0"/>
              <w:rPr>
                <w:sz w:val="1"/>
                <w:szCs w:val="1"/>
                <w:color w:val="auto"/>
              </w:rPr>
            </w:pP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Balance as of December 31, 2012</w:t>
            </w:r>
          </w:p>
        </w:tc>
        <w:tc>
          <w:tcPr>
            <w:tcW w:w="102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5"/>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87"/>
              </w:rPr>
              <w:t>49,323</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5620"/>
              <w:spacing w:after="0"/>
              <w:rPr>
                <w:sz w:val="20"/>
                <w:szCs w:val="20"/>
                <w:color w:val="auto"/>
              </w:rPr>
            </w:pPr>
            <w:r>
              <w:rPr>
                <w:rFonts w:ascii="Arial" w:cs="Arial" w:eastAsia="Arial" w:hAnsi="Arial"/>
                <w:sz w:val="18"/>
                <w:szCs w:val="18"/>
                <w:color w:val="auto"/>
              </w:rPr>
              <w:t>16</w:t>
            </w:r>
          </w:p>
        </w:tc>
        <w:tc>
          <w:tcPr>
            <w:tcW w:w="10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834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On November 1, 2012, we acquired a 51% interest in Tuyo (See note 2 for details).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14, 2012, we acquired an additional 23% of the ordinary shares outstanding of Cash Genie, our U.K. online lending business, for $10.4 million, increasing our ownership percentage from 72% to 95%, with the remaining 5% held by local management. The consideration paid to the selling shareholder was paid in the form of 592,461 shares of EZCORP Class A Non-Voting Common Stock. This transaction was treated as an equity transaction and not an adjustment to the purchase price of the our initial controlling interest acquisition of Cash Genie.</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INCOME TAXES</w:t>
      </w:r>
    </w:p>
    <w:p>
      <w:pPr>
        <w:spacing w:after="0" w:line="9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Income tax expense is provided at the U.S. tax rate on financial statement earnings, adjusted for the difference between the U.S. tax rate and the rate of tax in effect for non-U.S. earnings deemed to be permanently reinvested in the Company's non-U.S. operations. Deferred income taxes have not been provided for the potential remittance of non-U.S. undistributed earnings to the extent those earnings are deemed to be permanently reinvested, or to the extent such recognition would result in a deferred tax asset.</w:t>
      </w:r>
    </w:p>
    <w:p>
      <w:pPr>
        <w:spacing w:after="0" w:line="5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current quarter’s effective tax rate is 33.9% of pretax income compared to 33.9% for the prior year quarter. The effective tax rate for the three months ended December 31, 2011 was lowered by a one-time recognition of a tax benefit from state net operating losses.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CONTINGENCIES</w:t>
      </w:r>
    </w:p>
    <w:p>
      <w:pPr>
        <w:spacing w:after="0" w:line="9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Currently and from time to time, we are defendants in various legal and regulatory actions. While we cannot determine the ultimate outcome of these actions, we believe their resolution will not have a material adverse effect on our financial condition, results of operations or liquidity.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OPERATING SEGMENT INFORMATION</w:t>
      </w:r>
    </w:p>
    <w:p>
      <w:pPr>
        <w:spacing w:after="0" w:line="94"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Segment information is prepared on the same basis that our management reviews financial information for operational decision-making purposes. Previously, we reported segment information based primarily on product offerings. Beginning with the second quarter of fiscal 2012, we redefined our reportable operating segments based on geography as our company is increasingly being organized and managed along geographic lines, with product offerings and channels based on local custom and regulation. As a result, we concluded that segment reporting based on geography more closely aligns with our management organization and strategic direction. In connection with the new segment structure, we have changed the accountability for, and reporting of, certain items including administrative expenses, depreciation and amortization, interest and our equity in the net income of unconsolidated affiliates. When practical, these items are allocated to segments. Interest is also allocated to operating segments when debt is incurred at the local country level and is non-recourse to EZCORP. These items are now included in the segment’s measure of profit or loss (“segment contribution”). Expenses that cannot be allocated are included as corporate expenses. Concurrent with the change in reportable operating segments, we revised our prior period financial information to reflect comparable financial information for the new segment structure.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For periods ending after January 1, 2012, we report segments as follows:</w:t>
      </w:r>
    </w:p>
    <w:p>
      <w:pPr>
        <w:spacing w:after="0" w:line="117"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U.S. &amp; Canada – All business activities in the United States and Canada</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Latin America – All business activities in Mexico and other parts of Latin America</w:t>
      </w:r>
    </w:p>
    <w:p>
      <w:pPr>
        <w:spacing w:after="0" w:line="225" w:lineRule="exact"/>
        <w:rPr>
          <w:rFonts w:ascii="Arial" w:cs="Arial" w:eastAsia="Arial" w:hAnsi="Arial"/>
          <w:sz w:val="18"/>
          <w:szCs w:val="18"/>
          <w:color w:val="auto"/>
        </w:rPr>
      </w:pPr>
    </w:p>
    <w:p>
      <w:pPr>
        <w:ind w:left="660" w:right="64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International – All business activities in the rest of the world (currently consisting of consumer loans online in the U.K. and our equity interests in the net income of Albemarle &amp; Bond and Cash Converters International)</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There are no inter-segment revenues, and the amounts below were determined in accordance with the same accounting principles used in our consolidated financial statements. The following tables present operating segment information for the three months ending December 31, 2012 and 2011:</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4"/>
                <w:szCs w:val="14"/>
                <w:b w:val="1"/>
                <w:bCs w:val="1"/>
                <w:color w:val="auto"/>
                <w:w w:val="93"/>
              </w:rPr>
              <w:t>Three Months Ended December 31, 2012</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80" w:type="dxa"/>
            <w:vAlign w:val="bottom"/>
            <w:gridSpan w:val="2"/>
          </w:tcPr>
          <w:p>
            <w:pPr>
              <w:jc w:val="center"/>
              <w:ind w:right="440"/>
              <w:spacing w:after="0" w:line="153" w:lineRule="exact"/>
              <w:rPr>
                <w:sz w:val="20"/>
                <w:szCs w:val="20"/>
                <w:color w:val="auto"/>
              </w:rPr>
            </w:pPr>
            <w:r>
              <w:rPr>
                <w:rFonts w:ascii="Arial" w:cs="Arial" w:eastAsia="Arial" w:hAnsi="Arial"/>
                <w:sz w:val="14"/>
                <w:szCs w:val="14"/>
                <w:b w:val="1"/>
                <w:bCs w:val="1"/>
                <w:color w:val="auto"/>
              </w:rPr>
              <w:t>U.S. &amp;</w:t>
            </w:r>
          </w:p>
        </w:tc>
        <w:tc>
          <w:tcPr>
            <w:tcW w:w="140" w:type="dxa"/>
            <w:vAlign w:val="bottom"/>
          </w:tcPr>
          <w:p>
            <w:pPr>
              <w:spacing w:after="0"/>
              <w:rPr>
                <w:sz w:val="13"/>
                <w:szCs w:val="13"/>
                <w:color w:val="auto"/>
              </w:rPr>
            </w:pPr>
          </w:p>
        </w:tc>
        <w:tc>
          <w:tcPr>
            <w:tcW w:w="13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rPr>
              <w:t>Latin</w:t>
            </w:r>
          </w:p>
        </w:tc>
        <w:tc>
          <w:tcPr>
            <w:tcW w:w="200" w:type="dxa"/>
            <w:vAlign w:val="bottom"/>
          </w:tcPr>
          <w:p>
            <w:pPr>
              <w:spacing w:after="0"/>
              <w:rPr>
                <w:sz w:val="13"/>
                <w:szCs w:val="13"/>
                <w:color w:val="auto"/>
              </w:rPr>
            </w:pPr>
          </w:p>
        </w:tc>
        <w:tc>
          <w:tcPr>
            <w:tcW w:w="128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6"/>
              </w:rPr>
              <w:t>Other</w:t>
            </w:r>
          </w:p>
        </w:tc>
        <w:tc>
          <w:tcPr>
            <w:tcW w:w="200" w:type="dxa"/>
            <w:vAlign w:val="bottom"/>
          </w:tcPr>
          <w:p>
            <w:pPr>
              <w:spacing w:after="0"/>
              <w:rPr>
                <w:sz w:val="13"/>
                <w:szCs w:val="13"/>
                <w:color w:val="auto"/>
              </w:rPr>
            </w:pPr>
          </w:p>
        </w:tc>
        <w:tc>
          <w:tcPr>
            <w:tcW w:w="116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w w:val="94"/>
              </w:rPr>
              <w:t>Canada</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4"/>
              </w:rPr>
              <w:t>America</w:t>
            </w: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7"/>
              </w:rPr>
              <w:t>International</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0" w:type="dxa"/>
            <w:vAlign w:val="bottom"/>
            <w:gridSpan w:val="5"/>
          </w:tcPr>
          <w:p>
            <w:pPr>
              <w:jc w:val="center"/>
              <w:ind w:right="260"/>
              <w:spacing w:after="0"/>
              <w:rPr>
                <w:sz w:val="20"/>
                <w:szCs w:val="20"/>
                <w:color w:val="auto"/>
              </w:rPr>
            </w:pPr>
            <w:r>
              <w:rPr>
                <w:rFonts w:ascii="Arial" w:cs="Arial" w:eastAsia="Arial" w:hAnsi="Arial"/>
                <w:sz w:val="14"/>
                <w:szCs w:val="14"/>
                <w:i w:val="1"/>
                <w:iCs w:val="1"/>
                <w:color w:val="auto"/>
                <w:w w:val="92"/>
              </w:rPr>
              <w:t>(in thousands)</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Merchandise sales</w:t>
            </w: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80,465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15,117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95,582</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Jewelry scrapping sales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42,142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3,783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45,925</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Pawn service charges</w:t>
            </w: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58,210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7,814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66,024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Consumer loan fees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45,959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11,877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6,929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64,765</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Other revenues</w:t>
            </w: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2,794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1,654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382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4,830</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revenues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229,570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40,245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7,311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277,126</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Merchandise cost of goods sold</w:t>
            </w: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46,732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8,769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55,501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Jewelry scrapping cost of goods sold</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29,157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3,042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32,199</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Consumer loan bad debt</w:t>
            </w: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11,481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(1,048)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3,641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14,074</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revenues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142,200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29,482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3,670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175,352</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Segment expenses:</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87,443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15,741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4,078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107,262</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4,102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1,675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5,853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on sale or disposal of assets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2,613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2,630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in net income of unconsolidated affiliates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(5,038)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(5,038)</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Other (income) expense</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contribution</w:t>
            </w: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50,613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9,433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4,623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64,669</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Corporate expenses:</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Administrative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13,671</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1,799</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net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1,007</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Other income</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taxes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48,640</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16,485</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32,155</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Net income attributable to noncontrolling interest</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1,438</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EZCORP</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30,717</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320" w:type="dxa"/>
            <w:vAlign w:val="bottom"/>
            <w:vMerge w:val="restart"/>
          </w:tcPr>
          <w:p>
            <w:pPr>
              <w:spacing w:after="0"/>
              <w:rPr>
                <w:sz w:val="20"/>
                <w:szCs w:val="20"/>
                <w:color w:val="auto"/>
              </w:rPr>
            </w:pPr>
            <w:r>
              <w:rPr>
                <w:rFonts w:ascii="Arial" w:cs="Arial" w:eastAsia="Arial" w:hAnsi="Arial"/>
                <w:sz w:val="18"/>
                <w:szCs w:val="18"/>
                <w:color w:val="auto"/>
              </w:rPr>
              <w:t>18</w:t>
            </w: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620" w:type="dxa"/>
            <w:vAlign w:val="bottom"/>
          </w:tcPr>
          <w:p>
            <w:pPr>
              <w:spacing w:after="0"/>
              <w:rPr>
                <w:sz w:val="24"/>
                <w:szCs w:val="24"/>
                <w:color w:val="auto"/>
              </w:rPr>
            </w:pPr>
          </w:p>
        </w:tc>
        <w:tc>
          <w:tcPr>
            <w:tcW w:w="32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gridSpan w:val="2"/>
          </w:tcPr>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82"/>
        </w:trPr>
        <w:tc>
          <w:tcPr>
            <w:tcW w:w="1020" w:type="dxa"/>
            <w:vAlign w:val="bottom"/>
            <w:tcBorders>
              <w:top w:val="single" w:sz="8" w:color="0000FF"/>
            </w:tcBorders>
          </w:tcPr>
          <w:p>
            <w:pPr>
              <w:spacing w:after="0"/>
              <w:rPr>
                <w:sz w:val="24"/>
                <w:szCs w:val="24"/>
                <w:color w:val="auto"/>
              </w:rPr>
            </w:pPr>
          </w:p>
        </w:tc>
        <w:tc>
          <w:tcPr>
            <w:tcW w:w="46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4"/>
                <w:szCs w:val="14"/>
                <w:b w:val="1"/>
                <w:bCs w:val="1"/>
                <w:color w:val="auto"/>
                <w:w w:val="93"/>
              </w:rPr>
              <w:t>Three Months Ended December 31, 2011</w:t>
            </w: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020" w:type="dxa"/>
            <w:vAlign w:val="bottom"/>
          </w:tcPr>
          <w:p>
            <w:pPr>
              <w:spacing w:after="0"/>
              <w:rPr>
                <w:sz w:val="13"/>
                <w:szCs w:val="13"/>
                <w:color w:val="auto"/>
              </w:rPr>
            </w:pPr>
          </w:p>
        </w:tc>
        <w:tc>
          <w:tcPr>
            <w:tcW w:w="4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rPr>
              <w:t>U.S. &amp;</w:t>
            </w:r>
          </w:p>
        </w:tc>
        <w:tc>
          <w:tcPr>
            <w:tcW w:w="140" w:type="dxa"/>
            <w:vAlign w:val="bottom"/>
          </w:tcPr>
          <w:p>
            <w:pPr>
              <w:spacing w:after="0"/>
              <w:rPr>
                <w:sz w:val="13"/>
                <w:szCs w:val="13"/>
                <w:color w:val="auto"/>
              </w:rPr>
            </w:pPr>
          </w:p>
        </w:tc>
        <w:tc>
          <w:tcPr>
            <w:tcW w:w="13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rPr>
              <w:t>Latin</w:t>
            </w:r>
          </w:p>
        </w:tc>
        <w:tc>
          <w:tcPr>
            <w:tcW w:w="200" w:type="dxa"/>
            <w:vAlign w:val="bottom"/>
          </w:tcPr>
          <w:p>
            <w:pPr>
              <w:spacing w:after="0"/>
              <w:rPr>
                <w:sz w:val="13"/>
                <w:szCs w:val="13"/>
                <w:color w:val="auto"/>
              </w:rPr>
            </w:pPr>
          </w:p>
        </w:tc>
        <w:tc>
          <w:tcPr>
            <w:tcW w:w="128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6"/>
              </w:rPr>
              <w:t>Other</w:t>
            </w:r>
          </w:p>
        </w:tc>
        <w:tc>
          <w:tcPr>
            <w:tcW w:w="200" w:type="dxa"/>
            <w:vAlign w:val="bottom"/>
          </w:tcPr>
          <w:p>
            <w:pPr>
              <w:spacing w:after="0"/>
              <w:rPr>
                <w:sz w:val="13"/>
                <w:szCs w:val="13"/>
                <w:color w:val="auto"/>
              </w:rPr>
            </w:pPr>
          </w:p>
        </w:tc>
        <w:tc>
          <w:tcPr>
            <w:tcW w:w="116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2"/>
        </w:trPr>
        <w:tc>
          <w:tcPr>
            <w:tcW w:w="102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94"/>
              </w:rPr>
              <w:t>Canada</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4"/>
              </w:rPr>
              <w:t>America</w:t>
            </w: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7"/>
              </w:rPr>
              <w:t>International</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0" w:type="dxa"/>
            <w:vAlign w:val="bottom"/>
            <w:gridSpan w:val="5"/>
          </w:tcPr>
          <w:p>
            <w:pPr>
              <w:jc w:val="center"/>
              <w:ind w:right="260"/>
              <w:spacing w:after="0"/>
              <w:rPr>
                <w:sz w:val="20"/>
                <w:szCs w:val="20"/>
                <w:color w:val="auto"/>
              </w:rPr>
            </w:pPr>
            <w:r>
              <w:rPr>
                <w:rFonts w:ascii="Arial" w:cs="Arial" w:eastAsia="Arial" w:hAnsi="Arial"/>
                <w:sz w:val="14"/>
                <w:szCs w:val="14"/>
                <w:i w:val="1"/>
                <w:iCs w:val="1"/>
                <w:color w:val="auto"/>
                <w:w w:val="92"/>
              </w:rPr>
              <w:t>(in thousands)</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20" w:type="dxa"/>
            <w:vAlign w:val="bottom"/>
            <w:gridSpan w:val="2"/>
          </w:tcPr>
          <w:p>
            <w:pPr>
              <w:ind w:left="380"/>
              <w:spacing w:after="0"/>
              <w:rPr>
                <w:sz w:val="20"/>
                <w:szCs w:val="20"/>
                <w:color w:val="auto"/>
              </w:rPr>
            </w:pPr>
            <w:r>
              <w:rPr>
                <w:rFonts w:ascii="Arial" w:cs="Arial" w:eastAsia="Arial" w:hAnsi="Arial"/>
                <w:sz w:val="18"/>
                <w:szCs w:val="18"/>
                <w:color w:val="auto"/>
              </w:rPr>
              <w:t>Merchandise sales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76,552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10,342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86,894</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Jewelry scrapping sales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52,866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3,537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56,403</w:t>
            </w:r>
          </w:p>
        </w:tc>
        <w:tc>
          <w:tcPr>
            <w:tcW w:w="0" w:type="dxa"/>
            <w:vAlign w:val="bottom"/>
          </w:tcPr>
          <w:p>
            <w:pPr>
              <w:spacing w:after="0"/>
              <w:rPr>
                <w:sz w:val="1"/>
                <w:szCs w:val="1"/>
                <w:color w:val="auto"/>
              </w:rPr>
            </w:pPr>
          </w:p>
        </w:tc>
      </w:tr>
      <w:tr>
        <w:trPr>
          <w:trHeight w:val="243"/>
        </w:trPr>
        <w:tc>
          <w:tcPr>
            <w:tcW w:w="5620" w:type="dxa"/>
            <w:vAlign w:val="bottom"/>
            <w:gridSpan w:val="2"/>
          </w:tcPr>
          <w:p>
            <w:pPr>
              <w:ind w:left="380"/>
              <w:spacing w:after="0"/>
              <w:rPr>
                <w:sz w:val="20"/>
                <w:szCs w:val="20"/>
                <w:color w:val="auto"/>
              </w:rPr>
            </w:pPr>
            <w:r>
              <w:rPr>
                <w:rFonts w:ascii="Arial" w:cs="Arial" w:eastAsia="Arial" w:hAnsi="Arial"/>
                <w:sz w:val="18"/>
                <w:szCs w:val="18"/>
                <w:color w:val="auto"/>
              </w:rPr>
              <w:t>Pawn service charges</w:t>
            </w:r>
          </w:p>
        </w:tc>
        <w:tc>
          <w:tcPr>
            <w:tcW w:w="2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54,370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5,422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59,792</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Consumer loan fees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45,012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45,088</w:t>
            </w:r>
          </w:p>
        </w:tc>
        <w:tc>
          <w:tcPr>
            <w:tcW w:w="0" w:type="dxa"/>
            <w:vAlign w:val="bottom"/>
          </w:tcPr>
          <w:p>
            <w:pPr>
              <w:spacing w:after="0"/>
              <w:rPr>
                <w:sz w:val="1"/>
                <w:szCs w:val="1"/>
                <w:color w:val="auto"/>
              </w:rPr>
            </w:pPr>
          </w:p>
        </w:tc>
      </w:tr>
      <w:tr>
        <w:trPr>
          <w:trHeight w:val="243"/>
        </w:trPr>
        <w:tc>
          <w:tcPr>
            <w:tcW w:w="5620" w:type="dxa"/>
            <w:vAlign w:val="bottom"/>
            <w:gridSpan w:val="2"/>
          </w:tcPr>
          <w:p>
            <w:pPr>
              <w:ind w:left="380"/>
              <w:spacing w:after="0"/>
              <w:rPr>
                <w:sz w:val="20"/>
                <w:szCs w:val="20"/>
                <w:color w:val="auto"/>
              </w:rPr>
            </w:pPr>
            <w:r>
              <w:rPr>
                <w:rFonts w:ascii="Arial" w:cs="Arial" w:eastAsia="Arial" w:hAnsi="Arial"/>
                <w:sz w:val="18"/>
                <w:szCs w:val="18"/>
                <w:color w:val="auto"/>
              </w:rPr>
              <w:t>Other revenues</w:t>
            </w:r>
          </w:p>
        </w:tc>
        <w:tc>
          <w:tcPr>
            <w:tcW w:w="2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576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7"/>
        </w:trPr>
        <w:tc>
          <w:tcPr>
            <w:tcW w:w="1020" w:type="dxa"/>
            <w:vAlign w:val="bottom"/>
            <w:tcBorders>
              <w:bottom w:val="single" w:sz="8" w:color="CCEEFF"/>
            </w:tcBorders>
          </w:tcPr>
          <w:p>
            <w:pPr>
              <w:spacing w:after="0"/>
              <w:rPr>
                <w:sz w:val="2"/>
                <w:szCs w:val="2"/>
                <w:color w:val="auto"/>
              </w:rPr>
            </w:pPr>
          </w:p>
        </w:tc>
        <w:tc>
          <w:tcPr>
            <w:tcW w:w="46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Total revenues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229,376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19,421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248,873</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Merchandise cost of goods sold</w:t>
            </w:r>
          </w:p>
        </w:tc>
        <w:tc>
          <w:tcPr>
            <w:tcW w:w="2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43,451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4,945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48,396</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Jewelry scrapping cost of goods sold</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33,150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2,274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35,424</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Consumer loan bad debt</w:t>
            </w:r>
          </w:p>
        </w:tc>
        <w:tc>
          <w:tcPr>
            <w:tcW w:w="2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10,890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11,025</w:t>
            </w:r>
          </w:p>
        </w:tc>
        <w:tc>
          <w:tcPr>
            <w:tcW w:w="0" w:type="dxa"/>
            <w:vAlign w:val="bottom"/>
          </w:tcPr>
          <w:p>
            <w:pPr>
              <w:spacing w:after="0"/>
              <w:rPr>
                <w:sz w:val="1"/>
                <w:szCs w:val="1"/>
                <w:color w:val="auto"/>
              </w:rPr>
            </w:pPr>
          </w:p>
        </w:tc>
      </w:tr>
      <w:tr>
        <w:trPr>
          <w:trHeight w:val="27"/>
        </w:trPr>
        <w:tc>
          <w:tcPr>
            <w:tcW w:w="1020" w:type="dxa"/>
            <w:vAlign w:val="bottom"/>
            <w:tcBorders>
              <w:bottom w:val="single" w:sz="8" w:color="CCEEFF"/>
            </w:tcBorders>
          </w:tcPr>
          <w:p>
            <w:pPr>
              <w:spacing w:after="0"/>
              <w:rPr>
                <w:sz w:val="2"/>
                <w:szCs w:val="2"/>
                <w:color w:val="auto"/>
              </w:rPr>
            </w:pPr>
          </w:p>
        </w:tc>
        <w:tc>
          <w:tcPr>
            <w:tcW w:w="46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Net revenues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141,885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12,202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154,028</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Segment expenses:</w:t>
            </w: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Operations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74,994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6,966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82,558</w:t>
            </w:r>
          </w:p>
        </w:tc>
        <w:tc>
          <w:tcPr>
            <w:tcW w:w="0" w:type="dxa"/>
            <w:vAlign w:val="bottom"/>
          </w:tcPr>
          <w:p>
            <w:pPr>
              <w:spacing w:after="0"/>
              <w:rPr>
                <w:sz w:val="1"/>
                <w:szCs w:val="1"/>
                <w:color w:val="auto"/>
              </w:rPr>
            </w:pPr>
          </w:p>
        </w:tc>
      </w:tr>
      <w:tr>
        <w:trPr>
          <w:trHeight w:val="243"/>
        </w:trPr>
        <w:tc>
          <w:tcPr>
            <w:tcW w:w="5620" w:type="dxa"/>
            <w:vAlign w:val="bottom"/>
            <w:gridSpan w:val="2"/>
          </w:tcPr>
          <w:p>
            <w:pPr>
              <w:ind w:left="3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3,223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770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4,015</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(Gain) on sale or disposal of assets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43"/>
        </w:trPr>
        <w:tc>
          <w:tcPr>
            <w:tcW w:w="5620" w:type="dxa"/>
            <w:vAlign w:val="bottom"/>
            <w:gridSpan w:val="2"/>
          </w:tcPr>
          <w:p>
            <w:pPr>
              <w:ind w:left="380"/>
              <w:spacing w:after="0"/>
              <w:rPr>
                <w:sz w:val="20"/>
                <w:szCs w:val="20"/>
                <w:color w:val="auto"/>
              </w:rPr>
            </w:pPr>
            <w:r>
              <w:rPr>
                <w:rFonts w:ascii="Arial" w:cs="Arial" w:eastAsia="Arial" w:hAnsi="Arial"/>
                <w:sz w:val="18"/>
                <w:szCs w:val="18"/>
                <w:color w:val="auto"/>
              </w:rPr>
              <w:t>Interest, net</w:t>
            </w:r>
          </w:p>
        </w:tc>
        <w:tc>
          <w:tcPr>
            <w:tcW w:w="2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Equity in net income of unconsolidated affiliates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(4,161)</w:t>
            </w:r>
          </w:p>
        </w:tc>
        <w:tc>
          <w:tcPr>
            <w:tcW w:w="0" w:type="dxa"/>
            <w:vAlign w:val="bottom"/>
          </w:tcPr>
          <w:p>
            <w:pPr>
              <w:spacing w:after="0"/>
              <w:rPr>
                <w:sz w:val="1"/>
                <w:szCs w:val="1"/>
                <w:color w:val="auto"/>
              </w:rPr>
            </w:pPr>
          </w:p>
        </w:tc>
      </w:tr>
      <w:tr>
        <w:trPr>
          <w:trHeight w:val="243"/>
        </w:trPr>
        <w:tc>
          <w:tcPr>
            <w:tcW w:w="5620" w:type="dxa"/>
            <w:vAlign w:val="bottom"/>
            <w:gridSpan w:val="2"/>
          </w:tcPr>
          <w:p>
            <w:pPr>
              <w:ind w:left="380"/>
              <w:spacing w:after="0"/>
              <w:rPr>
                <w:sz w:val="20"/>
                <w:szCs w:val="20"/>
                <w:color w:val="auto"/>
              </w:rPr>
            </w:pPr>
            <w:r>
              <w:rPr>
                <w:rFonts w:ascii="Arial" w:cs="Arial" w:eastAsia="Arial" w:hAnsi="Arial"/>
                <w:sz w:val="18"/>
                <w:szCs w:val="18"/>
                <w:color w:val="auto"/>
              </w:rPr>
              <w:t>Other (income) expense</w:t>
            </w: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(1,060)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(1,121)</w:t>
            </w:r>
          </w:p>
        </w:tc>
        <w:tc>
          <w:tcPr>
            <w:tcW w:w="0" w:type="dxa"/>
            <w:vAlign w:val="bottom"/>
          </w:tcPr>
          <w:p>
            <w:pPr>
              <w:spacing w:after="0"/>
              <w:rPr>
                <w:sz w:val="1"/>
                <w:szCs w:val="1"/>
                <w:color w:val="auto"/>
              </w:rPr>
            </w:pPr>
          </w:p>
        </w:tc>
      </w:tr>
      <w:tr>
        <w:trPr>
          <w:trHeight w:val="27"/>
        </w:trPr>
        <w:tc>
          <w:tcPr>
            <w:tcW w:w="1020" w:type="dxa"/>
            <w:vAlign w:val="bottom"/>
            <w:tcBorders>
              <w:bottom w:val="single" w:sz="8" w:color="CCEEFF"/>
            </w:tcBorders>
          </w:tcPr>
          <w:p>
            <w:pPr>
              <w:spacing w:after="0"/>
              <w:rPr>
                <w:sz w:val="2"/>
                <w:szCs w:val="2"/>
                <w:color w:val="auto"/>
              </w:rPr>
            </w:pPr>
          </w:p>
        </w:tc>
        <w:tc>
          <w:tcPr>
            <w:tcW w:w="46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Segment contribution</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64,924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4,500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3,546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72,970</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Corporate expenses:</w:t>
            </w: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Administrative</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11,654</w:t>
            </w:r>
          </w:p>
        </w:tc>
        <w:tc>
          <w:tcPr>
            <w:tcW w:w="0" w:type="dxa"/>
            <w:vAlign w:val="bottom"/>
          </w:tcPr>
          <w:p>
            <w:pPr>
              <w:spacing w:after="0"/>
              <w:rPr>
                <w:sz w:val="1"/>
                <w:szCs w:val="1"/>
                <w:color w:val="auto"/>
              </w:rPr>
            </w:pPr>
          </w:p>
        </w:tc>
      </w:tr>
      <w:tr>
        <w:trPr>
          <w:trHeight w:val="243"/>
        </w:trPr>
        <w:tc>
          <w:tcPr>
            <w:tcW w:w="5620" w:type="dxa"/>
            <w:vAlign w:val="bottom"/>
            <w:gridSpan w:val="2"/>
          </w:tcPr>
          <w:p>
            <w:pPr>
              <w:ind w:left="3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1,240</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43"/>
        </w:trPr>
        <w:tc>
          <w:tcPr>
            <w:tcW w:w="5620" w:type="dxa"/>
            <w:vAlign w:val="bottom"/>
            <w:gridSpan w:val="2"/>
          </w:tcPr>
          <w:p>
            <w:pPr>
              <w:ind w:left="380"/>
              <w:spacing w:after="0"/>
              <w:rPr>
                <w:sz w:val="20"/>
                <w:szCs w:val="20"/>
                <w:color w:val="auto"/>
              </w:rPr>
            </w:pPr>
            <w:r>
              <w:rPr>
                <w:rFonts w:ascii="Arial" w:cs="Arial" w:eastAsia="Arial" w:hAnsi="Arial"/>
                <w:sz w:val="18"/>
                <w:szCs w:val="18"/>
                <w:color w:val="auto"/>
              </w:rPr>
              <w:t>Other expense</w:t>
            </w: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1020" w:type="dxa"/>
            <w:vAlign w:val="bottom"/>
            <w:tcBorders>
              <w:bottom w:val="single" w:sz="8" w:color="CCEEFF"/>
            </w:tcBorders>
          </w:tcPr>
          <w:p>
            <w:pPr>
              <w:spacing w:after="0"/>
              <w:rPr>
                <w:sz w:val="2"/>
                <w:szCs w:val="2"/>
                <w:color w:val="auto"/>
              </w:rPr>
            </w:pPr>
          </w:p>
        </w:tc>
        <w:tc>
          <w:tcPr>
            <w:tcW w:w="46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before taxes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59,491</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Income tax expense</w:t>
            </w: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20,139</w:t>
            </w:r>
          </w:p>
        </w:tc>
        <w:tc>
          <w:tcPr>
            <w:tcW w:w="0" w:type="dxa"/>
            <w:vAlign w:val="bottom"/>
          </w:tcPr>
          <w:p>
            <w:pPr>
              <w:spacing w:after="0"/>
              <w:rPr>
                <w:sz w:val="1"/>
                <w:szCs w:val="1"/>
                <w:color w:val="auto"/>
              </w:rPr>
            </w:pPr>
          </w:p>
        </w:tc>
      </w:tr>
      <w:tr>
        <w:trPr>
          <w:trHeight w:val="27"/>
        </w:trPr>
        <w:tc>
          <w:tcPr>
            <w:tcW w:w="1020" w:type="dxa"/>
            <w:vAlign w:val="bottom"/>
            <w:tcBorders>
              <w:bottom w:val="single" w:sz="8" w:color="CCEEFF"/>
            </w:tcBorders>
          </w:tcPr>
          <w:p>
            <w:pPr>
              <w:spacing w:after="0"/>
              <w:rPr>
                <w:sz w:val="2"/>
                <w:szCs w:val="2"/>
                <w:color w:val="auto"/>
              </w:rPr>
            </w:pPr>
          </w:p>
        </w:tc>
        <w:tc>
          <w:tcPr>
            <w:tcW w:w="46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39,352</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Net income attributable to noncontrolling interest</w:t>
            </w: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020" w:type="dxa"/>
            <w:vAlign w:val="bottom"/>
            <w:tcBorders>
              <w:bottom w:val="single" w:sz="8" w:color="CCEEFF"/>
            </w:tcBorders>
          </w:tcPr>
          <w:p>
            <w:pPr>
              <w:spacing w:after="0"/>
              <w:rPr>
                <w:sz w:val="2"/>
                <w:szCs w:val="2"/>
                <w:color w:val="auto"/>
              </w:rPr>
            </w:pPr>
          </w:p>
        </w:tc>
        <w:tc>
          <w:tcPr>
            <w:tcW w:w="46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attributable to EZCORP</w:t>
            </w:r>
          </w:p>
        </w:tc>
        <w:tc>
          <w:tcPr>
            <w:tcW w:w="2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39,352</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14" w:right="239" w:bottom="1440" w:gutter="0" w:footer="0" w:header="0"/>
        </w:sectPr>
      </w:pPr>
    </w:p>
    <w:bookmarkStart w:id="21" w:name="page22"/>
    <w:bookmarkEnd w:id="2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separately identified segment assets: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U.S. &amp;</w:t>
            </w:r>
          </w:p>
        </w:tc>
        <w:tc>
          <w:tcPr>
            <w:tcW w:w="260" w:type="dxa"/>
            <w:vAlign w:val="bottom"/>
          </w:tcPr>
          <w:p>
            <w:pPr>
              <w:spacing w:after="0"/>
              <w:rPr>
                <w:sz w:val="14"/>
                <w:szCs w:val="14"/>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Latin</w:t>
            </w:r>
          </w:p>
        </w:tc>
        <w:tc>
          <w:tcPr>
            <w:tcW w:w="20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Other</w:t>
            </w:r>
          </w:p>
        </w:tc>
        <w:tc>
          <w:tcPr>
            <w:tcW w:w="200" w:type="dxa"/>
            <w:vAlign w:val="bottom"/>
          </w:tcPr>
          <w:p>
            <w:pPr>
              <w:spacing w:after="0"/>
              <w:rPr>
                <w:sz w:val="14"/>
                <w:szCs w:val="14"/>
                <w:color w:val="auto"/>
              </w:rPr>
            </w:pPr>
          </w:p>
        </w:tc>
        <w:tc>
          <w:tcPr>
            <w:tcW w:w="116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w w:val="94"/>
              </w:rPr>
              <w:t>Canada</w:t>
            </w: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4"/>
              </w:rPr>
              <w:t>America</w:t>
            </w: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7"/>
              </w:rPr>
              <w:t>International</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80" w:type="dxa"/>
            <w:vAlign w:val="bottom"/>
            <w:gridSpan w:val="5"/>
          </w:tcPr>
          <w:p>
            <w:pPr>
              <w:ind w:left="74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620" w:type="dxa"/>
            <w:vAlign w:val="bottom"/>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Assets at December 31, 2012</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16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3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80" w:type="dxa"/>
            <w:vAlign w:val="bottom"/>
            <w:gridSpan w:val="3"/>
          </w:tcPr>
          <w:p>
            <w:pPr>
              <w:ind w:left="340"/>
              <w:spacing w:after="0"/>
              <w:rPr>
                <w:sz w:val="20"/>
                <w:szCs w:val="20"/>
                <w:color w:val="auto"/>
              </w:rPr>
            </w:pPr>
            <w:r>
              <w:rPr>
                <w:rFonts w:ascii="Arial" w:cs="Arial" w:eastAsia="Arial" w:hAnsi="Arial"/>
                <w:sz w:val="18"/>
                <w:szCs w:val="18"/>
                <w:color w:val="auto"/>
              </w:rPr>
              <w:t>Cash and cash equivalents</w:t>
            </w: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15,407</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14,508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2,115</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32,030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60" w:type="dxa"/>
            <w:vAlign w:val="bottom"/>
          </w:tcPr>
          <w:p>
            <w:pPr>
              <w:spacing w:after="0"/>
              <w:rPr>
                <w:sz w:val="2"/>
                <w:szCs w:val="2"/>
                <w:color w:val="auto"/>
              </w:rPr>
            </w:pPr>
          </w:p>
        </w:tc>
        <w:tc>
          <w:tcPr>
            <w:tcW w:w="3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Restricted cash</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80" w:type="dxa"/>
            <w:vAlign w:val="bottom"/>
            <w:gridSpan w:val="3"/>
          </w:tcPr>
          <w:p>
            <w:pPr>
              <w:ind w:left="340"/>
              <w:spacing w:after="0"/>
              <w:rPr>
                <w:sz w:val="20"/>
                <w:szCs w:val="20"/>
                <w:color w:val="auto"/>
              </w:rPr>
            </w:pPr>
            <w:r>
              <w:rPr>
                <w:rFonts w:ascii="Arial" w:cs="Arial" w:eastAsia="Arial" w:hAnsi="Arial"/>
                <w:sz w:val="18"/>
                <w:szCs w:val="18"/>
                <w:color w:val="auto"/>
              </w:rPr>
              <w:t>Pawn loans</w:t>
            </w: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147,145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14,950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162,095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60" w:type="dxa"/>
            <w:vAlign w:val="bottom"/>
          </w:tcPr>
          <w:p>
            <w:pPr>
              <w:spacing w:after="0"/>
              <w:rPr>
                <w:sz w:val="2"/>
                <w:szCs w:val="2"/>
                <w:color w:val="auto"/>
              </w:rPr>
            </w:pPr>
          </w:p>
        </w:tc>
        <w:tc>
          <w:tcPr>
            <w:tcW w:w="3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Consumer loans, net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21,546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80,858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4,810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107,214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80" w:type="dxa"/>
            <w:vAlign w:val="bottom"/>
            <w:gridSpan w:val="3"/>
          </w:tcPr>
          <w:p>
            <w:pPr>
              <w:ind w:left="340"/>
              <w:spacing w:after="0"/>
              <w:rPr>
                <w:sz w:val="20"/>
                <w:szCs w:val="20"/>
                <w:color w:val="auto"/>
              </w:rPr>
            </w:pPr>
            <w:r>
              <w:rPr>
                <w:rFonts w:ascii="Arial" w:cs="Arial" w:eastAsia="Arial" w:hAnsi="Arial"/>
                <w:sz w:val="18"/>
                <w:szCs w:val="18"/>
                <w:color w:val="auto"/>
              </w:rPr>
              <w:t>Service charges and fees receivable, net</w:t>
            </w: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36,973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26,837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1,341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65,151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60" w:type="dxa"/>
            <w:vAlign w:val="bottom"/>
          </w:tcPr>
          <w:p>
            <w:pPr>
              <w:spacing w:after="0"/>
              <w:rPr>
                <w:sz w:val="2"/>
                <w:szCs w:val="2"/>
                <w:color w:val="auto"/>
              </w:rPr>
            </w:pPr>
          </w:p>
        </w:tc>
        <w:tc>
          <w:tcPr>
            <w:tcW w:w="3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Inventory, net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103,042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17,284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120,326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80" w:type="dxa"/>
            <w:vAlign w:val="bottom"/>
            <w:gridSpan w:val="3"/>
          </w:tcPr>
          <w:p>
            <w:pPr>
              <w:ind w:left="340"/>
              <w:spacing w:after="0"/>
              <w:rPr>
                <w:sz w:val="20"/>
                <w:szCs w:val="20"/>
                <w:color w:val="auto"/>
              </w:rPr>
            </w:pPr>
            <w:r>
              <w:rPr>
                <w:rFonts w:ascii="Arial" w:cs="Arial" w:eastAsia="Arial" w:hAnsi="Arial"/>
                <w:sz w:val="18"/>
                <w:szCs w:val="18"/>
                <w:color w:val="auto"/>
              </w:rPr>
              <w:t>Property and equipment, net</w:t>
            </w: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67,581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25,768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1,572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94,921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60" w:type="dxa"/>
            <w:vAlign w:val="bottom"/>
          </w:tcPr>
          <w:p>
            <w:pPr>
              <w:spacing w:after="0"/>
              <w:rPr>
                <w:sz w:val="2"/>
                <w:szCs w:val="2"/>
                <w:color w:val="auto"/>
              </w:rPr>
            </w:pPr>
          </w:p>
        </w:tc>
        <w:tc>
          <w:tcPr>
            <w:tcW w:w="3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Restricted cash, non-current</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1,994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80" w:type="dxa"/>
            <w:vAlign w:val="bottom"/>
            <w:gridSpan w:val="3"/>
          </w:tcPr>
          <w:p>
            <w:pPr>
              <w:ind w:left="340"/>
              <w:spacing w:after="0"/>
              <w:rPr>
                <w:sz w:val="20"/>
                <w:szCs w:val="20"/>
                <w:color w:val="auto"/>
              </w:rPr>
            </w:pPr>
            <w:r>
              <w:rPr>
                <w:rFonts w:ascii="Arial" w:cs="Arial" w:eastAsia="Arial" w:hAnsi="Arial"/>
                <w:sz w:val="18"/>
                <w:szCs w:val="18"/>
                <w:color w:val="auto"/>
              </w:rPr>
              <w:t>Goodwill</w:t>
            </w: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276,570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111,485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39,956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428,011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60" w:type="dxa"/>
            <w:vAlign w:val="bottom"/>
          </w:tcPr>
          <w:p>
            <w:pPr>
              <w:spacing w:after="0"/>
              <w:rPr>
                <w:sz w:val="2"/>
                <w:szCs w:val="2"/>
                <w:color w:val="auto"/>
              </w:rPr>
            </w:pPr>
          </w:p>
        </w:tc>
        <w:tc>
          <w:tcPr>
            <w:tcW w:w="3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58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Intangibles, net</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35,522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20,820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2,921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59,263</w:t>
            </w:r>
          </w:p>
        </w:tc>
        <w:tc>
          <w:tcPr>
            <w:tcW w:w="0" w:type="dxa"/>
            <w:vAlign w:val="bottom"/>
          </w:tcPr>
          <w:p>
            <w:pPr>
              <w:spacing w:after="0"/>
              <w:rPr>
                <w:sz w:val="1"/>
                <w:szCs w:val="1"/>
                <w:color w:val="auto"/>
              </w:rPr>
            </w:pPr>
          </w:p>
        </w:tc>
      </w:tr>
      <w:tr>
        <w:trPr>
          <w:trHeight w:val="297"/>
        </w:trPr>
        <w:tc>
          <w:tcPr>
            <w:tcW w:w="40" w:type="dxa"/>
            <w:vAlign w:val="bottom"/>
            <w:tcBorders>
              <w:bottom w:val="single" w:sz="8" w:color="CCEEFF"/>
            </w:tcBorders>
          </w:tcPr>
          <w:p>
            <w:pPr>
              <w:spacing w:after="0"/>
              <w:rPr>
                <w:sz w:val="24"/>
                <w:szCs w:val="24"/>
                <w:color w:val="auto"/>
              </w:rPr>
            </w:pPr>
          </w:p>
        </w:tc>
        <w:tc>
          <w:tcPr>
            <w:tcW w:w="5580" w:type="dxa"/>
            <w:vAlign w:val="bottom"/>
            <w:tcBorders>
              <w:bottom w:val="single" w:sz="8" w:color="CCEEFF"/>
            </w:tcBorders>
            <w:gridSpan w:val="3"/>
          </w:tcPr>
          <w:p>
            <w:pPr>
              <w:ind w:left="680"/>
              <w:spacing w:after="0"/>
              <w:rPr>
                <w:sz w:val="20"/>
                <w:szCs w:val="20"/>
                <w:color w:val="auto"/>
              </w:rPr>
            </w:pPr>
            <w:r>
              <w:rPr>
                <w:rFonts w:ascii="Arial" w:cs="Arial" w:eastAsia="Arial" w:hAnsi="Arial"/>
                <w:sz w:val="18"/>
                <w:szCs w:val="18"/>
                <w:color w:val="auto"/>
              </w:rPr>
              <w:t>Total separately identified recorded segment assets</w:t>
            </w:r>
          </w:p>
        </w:tc>
        <w:tc>
          <w:tcPr>
            <w:tcW w:w="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703,786</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315,637</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52,715</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1,072,138</w:t>
            </w: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5580" w:type="dxa"/>
            <w:vAlign w:val="bottom"/>
            <w:tcBorders>
              <w:bottom w:val="single" w:sz="8" w:color="CCEEFF"/>
            </w:tcBorders>
            <w:gridSpan w:val="3"/>
            <w:shd w:val="clear" w:color="auto" w:fill="CCEEFF"/>
          </w:tcPr>
          <w:p>
            <w:pPr>
              <w:ind w:left="680"/>
              <w:spacing w:after="0"/>
              <w:rPr>
                <w:sz w:val="20"/>
                <w:szCs w:val="20"/>
                <w:color w:val="auto"/>
              </w:rPr>
            </w:pPr>
            <w:r>
              <w:rPr>
                <w:rFonts w:ascii="Arial" w:cs="Arial" w:eastAsia="Arial" w:hAnsi="Arial"/>
                <w:sz w:val="18"/>
                <w:szCs w:val="18"/>
                <w:color w:val="auto"/>
              </w:rPr>
              <w:t>Consumer loans outstanding from unaffiliated lenders</w:t>
            </w: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29,079</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29,079</w:t>
            </w:r>
          </w:p>
        </w:tc>
        <w:tc>
          <w:tcPr>
            <w:tcW w:w="0" w:type="dxa"/>
            <w:vAlign w:val="bottom"/>
          </w:tcPr>
          <w:p>
            <w:pPr>
              <w:spacing w:after="0"/>
              <w:rPr>
                <w:sz w:val="1"/>
                <w:szCs w:val="1"/>
                <w:color w:val="auto"/>
              </w:rPr>
            </w:pPr>
          </w:p>
        </w:tc>
      </w:tr>
      <w:tr>
        <w:trPr>
          <w:trHeight w:val="203"/>
        </w:trPr>
        <w:tc>
          <w:tcPr>
            <w:tcW w:w="5620" w:type="dxa"/>
            <w:vAlign w:val="bottom"/>
            <w:gridSpan w:val="4"/>
          </w:tcPr>
          <w:p>
            <w:pPr>
              <w:ind w:left="40"/>
              <w:spacing w:after="0" w:line="202" w:lineRule="exact"/>
              <w:rPr>
                <w:sz w:val="20"/>
                <w:szCs w:val="20"/>
                <w:color w:val="auto"/>
              </w:rPr>
            </w:pPr>
            <w:r>
              <w:rPr>
                <w:rFonts w:ascii="Arial" w:cs="Arial" w:eastAsia="Arial" w:hAnsi="Arial"/>
                <w:sz w:val="18"/>
                <w:szCs w:val="18"/>
                <w:b w:val="1"/>
                <w:bCs w:val="1"/>
                <w:color w:val="auto"/>
              </w:rPr>
              <w:t>Assets at December 31, 2011</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216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33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13,004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17,883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80" w:type="dxa"/>
            <w:vAlign w:val="bottom"/>
            <w:gridSpan w:val="3"/>
          </w:tcPr>
          <w:p>
            <w:pPr>
              <w:ind w:left="340"/>
              <w:spacing w:after="0"/>
              <w:rPr>
                <w:sz w:val="20"/>
                <w:szCs w:val="20"/>
                <w:color w:val="auto"/>
              </w:rPr>
            </w:pPr>
            <w:r>
              <w:rPr>
                <w:rFonts w:ascii="Arial" w:cs="Arial" w:eastAsia="Arial" w:hAnsi="Arial"/>
                <w:sz w:val="18"/>
                <w:szCs w:val="18"/>
                <w:color w:val="auto"/>
              </w:rPr>
              <w:t>Pawn loans</w:t>
            </w: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140,386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9,674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150,060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60" w:type="dxa"/>
            <w:vAlign w:val="bottom"/>
          </w:tcPr>
          <w:p>
            <w:pPr>
              <w:spacing w:after="0"/>
              <w:rPr>
                <w:sz w:val="2"/>
                <w:szCs w:val="2"/>
                <w:color w:val="auto"/>
              </w:rPr>
            </w:pPr>
          </w:p>
        </w:tc>
        <w:tc>
          <w:tcPr>
            <w:tcW w:w="3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Consumer loans, net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16,102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16,188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80" w:type="dxa"/>
            <w:vAlign w:val="bottom"/>
            <w:gridSpan w:val="3"/>
          </w:tcPr>
          <w:p>
            <w:pPr>
              <w:ind w:left="340"/>
              <w:spacing w:after="0"/>
              <w:rPr>
                <w:sz w:val="20"/>
                <w:szCs w:val="20"/>
                <w:color w:val="auto"/>
              </w:rPr>
            </w:pPr>
            <w:r>
              <w:rPr>
                <w:rFonts w:ascii="Arial" w:cs="Arial" w:eastAsia="Arial" w:hAnsi="Arial"/>
                <w:sz w:val="18"/>
                <w:szCs w:val="18"/>
                <w:color w:val="auto"/>
              </w:rPr>
              <w:t>Service charges and fees receivable, net</w:t>
            </w: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34,644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1,532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36,204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60" w:type="dxa"/>
            <w:vAlign w:val="bottom"/>
          </w:tcPr>
          <w:p>
            <w:pPr>
              <w:spacing w:after="0"/>
              <w:rPr>
                <w:sz w:val="2"/>
                <w:szCs w:val="2"/>
                <w:color w:val="auto"/>
              </w:rPr>
            </w:pPr>
          </w:p>
        </w:tc>
        <w:tc>
          <w:tcPr>
            <w:tcW w:w="3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Inventory, net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91,264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9,121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100,385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80" w:type="dxa"/>
            <w:vAlign w:val="bottom"/>
            <w:gridSpan w:val="3"/>
          </w:tcPr>
          <w:p>
            <w:pPr>
              <w:ind w:left="340"/>
              <w:spacing w:after="0"/>
              <w:rPr>
                <w:sz w:val="20"/>
                <w:szCs w:val="20"/>
                <w:color w:val="auto"/>
              </w:rPr>
            </w:pPr>
            <w:r>
              <w:rPr>
                <w:rFonts w:ascii="Arial" w:cs="Arial" w:eastAsia="Arial" w:hAnsi="Arial"/>
                <w:sz w:val="18"/>
                <w:szCs w:val="18"/>
                <w:color w:val="auto"/>
              </w:rPr>
              <w:t>Property and equipment, net</w:t>
            </w: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53,190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14,161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238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67,589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60" w:type="dxa"/>
            <w:vAlign w:val="bottom"/>
          </w:tcPr>
          <w:p>
            <w:pPr>
              <w:spacing w:after="0"/>
              <w:rPr>
                <w:sz w:val="2"/>
                <w:szCs w:val="2"/>
                <w:color w:val="auto"/>
              </w:rPr>
            </w:pPr>
          </w:p>
        </w:tc>
        <w:tc>
          <w:tcPr>
            <w:tcW w:w="3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Goodwill</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203,325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8,938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212,263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80" w:type="dxa"/>
            <w:vAlign w:val="bottom"/>
            <w:gridSpan w:val="3"/>
          </w:tcPr>
          <w:p>
            <w:pPr>
              <w:ind w:left="340"/>
              <w:spacing w:after="0"/>
              <w:rPr>
                <w:sz w:val="20"/>
                <w:szCs w:val="20"/>
                <w:color w:val="auto"/>
              </w:rPr>
            </w:pPr>
            <w:r>
              <w:rPr>
                <w:rFonts w:ascii="Arial" w:cs="Arial" w:eastAsia="Arial" w:hAnsi="Arial"/>
                <w:sz w:val="18"/>
                <w:szCs w:val="18"/>
                <w:color w:val="auto"/>
              </w:rPr>
              <w:t>Intangibles, net</w:t>
            </w: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17,770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18,570</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3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5580" w:type="dxa"/>
            <w:vAlign w:val="bottom"/>
            <w:tcBorders>
              <w:bottom w:val="single" w:sz="8" w:color="CCEEFF"/>
            </w:tcBorders>
            <w:gridSpan w:val="3"/>
            <w:shd w:val="clear" w:color="auto" w:fill="CCEEFF"/>
          </w:tcPr>
          <w:p>
            <w:pPr>
              <w:ind w:left="680"/>
              <w:spacing w:after="0"/>
              <w:rPr>
                <w:sz w:val="20"/>
                <w:szCs w:val="20"/>
                <w:color w:val="auto"/>
              </w:rPr>
            </w:pPr>
            <w:r>
              <w:rPr>
                <w:rFonts w:ascii="Arial" w:cs="Arial" w:eastAsia="Arial" w:hAnsi="Arial"/>
                <w:sz w:val="18"/>
                <w:szCs w:val="18"/>
                <w:color w:val="auto"/>
              </w:rPr>
              <w:t>Total separately identified recorded segment assets</w:t>
            </w:r>
          </w:p>
        </w:tc>
        <w:tc>
          <w:tcPr>
            <w:tcW w:w="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569,685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48,922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535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619,142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0" w:type="dxa"/>
            <w:vAlign w:val="bottom"/>
          </w:tcPr>
          <w:p>
            <w:pPr>
              <w:spacing w:after="0"/>
              <w:rPr>
                <w:sz w:val="20"/>
                <w:szCs w:val="20"/>
                <w:color w:val="auto"/>
              </w:rPr>
            </w:pPr>
          </w:p>
        </w:tc>
        <w:tc>
          <w:tcPr>
            <w:tcW w:w="5580" w:type="dxa"/>
            <w:vAlign w:val="bottom"/>
            <w:gridSpan w:val="3"/>
          </w:tcPr>
          <w:p>
            <w:pPr>
              <w:ind w:left="680"/>
              <w:spacing w:after="0"/>
              <w:rPr>
                <w:sz w:val="20"/>
                <w:szCs w:val="20"/>
                <w:color w:val="auto"/>
              </w:rPr>
            </w:pPr>
            <w:r>
              <w:rPr>
                <w:rFonts w:ascii="Arial" w:cs="Arial" w:eastAsia="Arial" w:hAnsi="Arial"/>
                <w:sz w:val="18"/>
                <w:szCs w:val="18"/>
                <w:color w:val="auto"/>
              </w:rPr>
              <w:t>Consumer loans outstanding from unaffiliated lenders</w:t>
            </w: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29,722</w:t>
            </w:r>
          </w:p>
        </w:tc>
        <w:tc>
          <w:tcPr>
            <w:tcW w:w="1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29,722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60" w:type="dxa"/>
            <w:vAlign w:val="bottom"/>
          </w:tcPr>
          <w:p>
            <w:pPr>
              <w:spacing w:after="0"/>
              <w:rPr>
                <w:sz w:val="2"/>
                <w:szCs w:val="2"/>
                <w:color w:val="auto"/>
              </w:rPr>
            </w:pPr>
          </w:p>
        </w:tc>
        <w:tc>
          <w:tcPr>
            <w:tcW w:w="3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62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Assets at September 30, 2012</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16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33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80" w:type="dxa"/>
            <w:vAlign w:val="bottom"/>
            <w:gridSpan w:val="3"/>
          </w:tcPr>
          <w:p>
            <w:pPr>
              <w:ind w:left="340"/>
              <w:spacing w:after="0"/>
              <w:rPr>
                <w:sz w:val="20"/>
                <w:szCs w:val="20"/>
                <w:color w:val="auto"/>
              </w:rPr>
            </w:pPr>
            <w:r>
              <w:rPr>
                <w:rFonts w:ascii="Arial" w:cs="Arial" w:eastAsia="Arial" w:hAnsi="Arial"/>
                <w:sz w:val="18"/>
                <w:szCs w:val="18"/>
                <w:color w:val="auto"/>
              </w:rPr>
              <w:t>Cash and cash equivalents</w:t>
            </w: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14,820</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16,365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1,789</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32,974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60" w:type="dxa"/>
            <w:vAlign w:val="bottom"/>
          </w:tcPr>
          <w:p>
            <w:pPr>
              <w:spacing w:after="0"/>
              <w:rPr>
                <w:sz w:val="2"/>
                <w:szCs w:val="2"/>
                <w:color w:val="auto"/>
              </w:rPr>
            </w:pPr>
          </w:p>
        </w:tc>
        <w:tc>
          <w:tcPr>
            <w:tcW w:w="3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Restricted cash</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80" w:type="dxa"/>
            <w:vAlign w:val="bottom"/>
            <w:gridSpan w:val="3"/>
          </w:tcPr>
          <w:p>
            <w:pPr>
              <w:ind w:left="340"/>
              <w:spacing w:after="0"/>
              <w:rPr>
                <w:sz w:val="20"/>
                <w:szCs w:val="20"/>
                <w:color w:val="auto"/>
              </w:rPr>
            </w:pPr>
            <w:r>
              <w:rPr>
                <w:rFonts w:ascii="Arial" w:cs="Arial" w:eastAsia="Arial" w:hAnsi="Arial"/>
                <w:sz w:val="18"/>
                <w:szCs w:val="18"/>
                <w:color w:val="auto"/>
              </w:rPr>
              <w:t>Pawn loans</w:t>
            </w: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140,885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16,763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157,648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60" w:type="dxa"/>
            <w:vAlign w:val="bottom"/>
          </w:tcPr>
          <w:p>
            <w:pPr>
              <w:spacing w:after="0"/>
              <w:rPr>
                <w:sz w:val="2"/>
                <w:szCs w:val="2"/>
                <w:color w:val="auto"/>
              </w:rPr>
            </w:pPr>
          </w:p>
        </w:tc>
        <w:tc>
          <w:tcPr>
            <w:tcW w:w="3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Consumer loans, net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18,960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73,422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3,767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96,149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80" w:type="dxa"/>
            <w:vAlign w:val="bottom"/>
            <w:gridSpan w:val="3"/>
          </w:tcPr>
          <w:p>
            <w:pPr>
              <w:ind w:left="340"/>
              <w:spacing w:after="0"/>
              <w:rPr>
                <w:sz w:val="20"/>
                <w:szCs w:val="20"/>
                <w:color w:val="auto"/>
              </w:rPr>
            </w:pPr>
            <w:r>
              <w:rPr>
                <w:rFonts w:ascii="Arial" w:cs="Arial" w:eastAsia="Arial" w:hAnsi="Arial"/>
                <w:sz w:val="18"/>
                <w:szCs w:val="18"/>
                <w:color w:val="auto"/>
              </w:rPr>
              <w:t>Service charges and fees receivable, net</w:t>
            </w: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34,066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24,637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1,114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59,817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60" w:type="dxa"/>
            <w:vAlign w:val="bottom"/>
          </w:tcPr>
          <w:p>
            <w:pPr>
              <w:spacing w:after="0"/>
              <w:rPr>
                <w:sz w:val="2"/>
                <w:szCs w:val="2"/>
                <w:color w:val="auto"/>
              </w:rPr>
            </w:pPr>
          </w:p>
        </w:tc>
        <w:tc>
          <w:tcPr>
            <w:tcW w:w="3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Inventory, net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94,449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14,765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109,214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80" w:type="dxa"/>
            <w:vAlign w:val="bottom"/>
            <w:gridSpan w:val="3"/>
          </w:tcPr>
          <w:p>
            <w:pPr>
              <w:ind w:left="340"/>
              <w:spacing w:after="0"/>
              <w:rPr>
                <w:sz w:val="20"/>
                <w:szCs w:val="20"/>
                <w:color w:val="auto"/>
              </w:rPr>
            </w:pPr>
            <w:r>
              <w:rPr>
                <w:rFonts w:ascii="Arial" w:cs="Arial" w:eastAsia="Arial" w:hAnsi="Arial"/>
                <w:sz w:val="18"/>
                <w:szCs w:val="18"/>
                <w:color w:val="auto"/>
              </w:rPr>
              <w:t>Property and equipment, net</w:t>
            </w: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60,708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23,220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1,503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85,431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60" w:type="dxa"/>
            <w:vAlign w:val="bottom"/>
          </w:tcPr>
          <w:p>
            <w:pPr>
              <w:spacing w:after="0"/>
              <w:rPr>
                <w:sz w:val="2"/>
                <w:szCs w:val="2"/>
                <w:color w:val="auto"/>
              </w:rPr>
            </w:pPr>
          </w:p>
        </w:tc>
        <w:tc>
          <w:tcPr>
            <w:tcW w:w="3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Restricted cash, non-current</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4,337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4,337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80" w:type="dxa"/>
            <w:vAlign w:val="bottom"/>
            <w:gridSpan w:val="3"/>
          </w:tcPr>
          <w:p>
            <w:pPr>
              <w:ind w:left="340"/>
              <w:spacing w:after="0"/>
              <w:rPr>
                <w:sz w:val="20"/>
                <w:szCs w:val="20"/>
                <w:color w:val="auto"/>
              </w:rPr>
            </w:pPr>
            <w:r>
              <w:rPr>
                <w:rFonts w:ascii="Arial" w:cs="Arial" w:eastAsia="Arial" w:hAnsi="Arial"/>
                <w:sz w:val="18"/>
                <w:szCs w:val="18"/>
                <w:color w:val="auto"/>
              </w:rPr>
              <w:t>Goodwill</w:t>
            </w: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224,306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110,401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39,956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374,663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60" w:type="dxa"/>
            <w:vAlign w:val="bottom"/>
          </w:tcPr>
          <w:p>
            <w:pPr>
              <w:spacing w:after="0"/>
              <w:rPr>
                <w:sz w:val="2"/>
                <w:szCs w:val="2"/>
                <w:color w:val="auto"/>
              </w:rPr>
            </w:pPr>
          </w:p>
        </w:tc>
        <w:tc>
          <w:tcPr>
            <w:tcW w:w="3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58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Intangibles, net</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18,824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21,867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2,946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43,637</w:t>
            </w:r>
          </w:p>
        </w:tc>
        <w:tc>
          <w:tcPr>
            <w:tcW w:w="0" w:type="dxa"/>
            <w:vAlign w:val="bottom"/>
          </w:tcPr>
          <w:p>
            <w:pPr>
              <w:spacing w:after="0"/>
              <w:rPr>
                <w:sz w:val="1"/>
                <w:szCs w:val="1"/>
                <w:color w:val="auto"/>
              </w:rPr>
            </w:pPr>
          </w:p>
        </w:tc>
      </w:tr>
      <w:tr>
        <w:trPr>
          <w:trHeight w:val="297"/>
        </w:trPr>
        <w:tc>
          <w:tcPr>
            <w:tcW w:w="40" w:type="dxa"/>
            <w:vAlign w:val="bottom"/>
            <w:tcBorders>
              <w:bottom w:val="single" w:sz="8" w:color="CCEEFF"/>
            </w:tcBorders>
          </w:tcPr>
          <w:p>
            <w:pPr>
              <w:spacing w:after="0"/>
              <w:rPr>
                <w:sz w:val="24"/>
                <w:szCs w:val="24"/>
                <w:color w:val="auto"/>
              </w:rPr>
            </w:pPr>
          </w:p>
        </w:tc>
        <w:tc>
          <w:tcPr>
            <w:tcW w:w="5580" w:type="dxa"/>
            <w:vAlign w:val="bottom"/>
            <w:tcBorders>
              <w:bottom w:val="single" w:sz="8" w:color="CCEEFF"/>
            </w:tcBorders>
            <w:gridSpan w:val="3"/>
          </w:tcPr>
          <w:p>
            <w:pPr>
              <w:ind w:left="680"/>
              <w:spacing w:after="0"/>
              <w:rPr>
                <w:sz w:val="20"/>
                <w:szCs w:val="20"/>
                <w:color w:val="auto"/>
              </w:rPr>
            </w:pPr>
            <w:r>
              <w:rPr>
                <w:rFonts w:ascii="Arial" w:cs="Arial" w:eastAsia="Arial" w:hAnsi="Arial"/>
                <w:sz w:val="18"/>
                <w:szCs w:val="18"/>
                <w:color w:val="auto"/>
              </w:rPr>
              <w:t>Total separately identified recorded segment assets</w:t>
            </w:r>
          </w:p>
        </w:tc>
        <w:tc>
          <w:tcPr>
            <w:tcW w:w="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607,018</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306,922</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51,075</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965,015</w:t>
            </w: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5580" w:type="dxa"/>
            <w:vAlign w:val="bottom"/>
            <w:tcBorders>
              <w:bottom w:val="single" w:sz="8" w:color="CCEEFF"/>
            </w:tcBorders>
            <w:gridSpan w:val="3"/>
            <w:shd w:val="clear" w:color="auto" w:fill="CCEEFF"/>
          </w:tcPr>
          <w:p>
            <w:pPr>
              <w:ind w:left="680"/>
              <w:spacing w:after="0"/>
              <w:rPr>
                <w:sz w:val="20"/>
                <w:szCs w:val="20"/>
                <w:color w:val="auto"/>
              </w:rPr>
            </w:pPr>
            <w:r>
              <w:rPr>
                <w:rFonts w:ascii="Arial" w:cs="Arial" w:eastAsia="Arial" w:hAnsi="Arial"/>
                <w:sz w:val="18"/>
                <w:szCs w:val="18"/>
                <w:color w:val="auto"/>
              </w:rPr>
              <w:t>Consumer loans outstanding from unaffiliated lenders</w:t>
            </w: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24,773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24,773</w:t>
            </w:r>
          </w:p>
        </w:tc>
        <w:tc>
          <w:tcPr>
            <w:tcW w:w="0" w:type="dxa"/>
            <w:vAlign w:val="bottom"/>
          </w:tcPr>
          <w:p>
            <w:pPr>
              <w:spacing w:after="0"/>
              <w:rPr>
                <w:sz w:val="1"/>
                <w:szCs w:val="1"/>
                <w:color w:val="auto"/>
              </w:rPr>
            </w:pPr>
          </w:p>
        </w:tc>
      </w:tr>
      <w:tr>
        <w:trPr>
          <w:trHeight w:val="675"/>
        </w:trPr>
        <w:tc>
          <w:tcPr>
            <w:tcW w:w="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20</w:t>
            </w: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separately identified recorded segment assets, as shown above, to our consolidated total assets: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4"/>
          </w:tcPr>
          <w:p>
            <w:pPr>
              <w:ind w:left="700"/>
              <w:spacing w:after="0"/>
              <w:rPr>
                <w:sz w:val="20"/>
                <w:szCs w:val="20"/>
                <w:color w:val="auto"/>
              </w:rPr>
            </w:pPr>
            <w:r>
              <w:rPr>
                <w:rFonts w:ascii="Arial" w:cs="Arial" w:eastAsia="Arial" w:hAnsi="Arial"/>
                <w:sz w:val="14"/>
                <w:szCs w:val="14"/>
                <w:b w:val="1"/>
                <w:bCs w:val="1"/>
                <w:color w:val="auto"/>
                <w:w w:val="98"/>
              </w:rPr>
              <w:t>December 31,</w:t>
            </w: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264"/>
        </w:trPr>
        <w:tc>
          <w:tcPr>
            <w:tcW w:w="70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center"/>
              <w:ind w:right="375"/>
              <w:spacing w:after="0"/>
              <w:rPr>
                <w:sz w:val="20"/>
                <w:szCs w:val="20"/>
                <w:color w:val="auto"/>
              </w:rPr>
            </w:pPr>
            <w:r>
              <w:rPr>
                <w:rFonts w:ascii="Arial" w:cs="Arial" w:eastAsia="Arial" w:hAnsi="Arial"/>
                <w:sz w:val="14"/>
                <w:szCs w:val="14"/>
                <w:b w:val="1"/>
                <w:bCs w:val="1"/>
                <w:color w:val="auto"/>
                <w:w w:val="89"/>
              </w:rPr>
              <w:t>2011</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89"/>
              </w:rPr>
              <w:t>2012</w:t>
            </w:r>
          </w:p>
        </w:tc>
        <w:tc>
          <w:tcPr>
            <w:tcW w:w="0" w:type="dxa"/>
            <w:vAlign w:val="bottom"/>
          </w:tcPr>
          <w:p>
            <w:pPr>
              <w:spacing w:after="0"/>
              <w:rPr>
                <w:sz w:val="1"/>
                <w:szCs w:val="1"/>
                <w:color w:val="auto"/>
              </w:rPr>
            </w:pPr>
          </w:p>
        </w:tc>
      </w:tr>
      <w:tr>
        <w:trPr>
          <w:trHeight w:val="196"/>
        </w:trPr>
        <w:tc>
          <w:tcPr>
            <w:tcW w:w="7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3"/>
          </w:tcPr>
          <w:p>
            <w:pPr>
              <w:jc w:val="center"/>
              <w:ind w:right="320"/>
              <w:spacing w:after="0"/>
              <w:rPr>
                <w:sz w:val="20"/>
                <w:szCs w:val="20"/>
                <w:color w:val="auto"/>
              </w:rPr>
            </w:pPr>
            <w:r>
              <w:rPr>
                <w:rFonts w:ascii="Arial" w:cs="Arial" w:eastAsia="Arial" w:hAnsi="Arial"/>
                <w:sz w:val="14"/>
                <w:szCs w:val="14"/>
                <w:i w:val="1"/>
                <w:iCs w:val="1"/>
                <w:color w:val="auto"/>
                <w:w w:val="92"/>
              </w:rPr>
              <w:t>(in thousands)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separately identified recorded segment assets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1,072,138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619,142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965,015</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Corporate assets</w:t>
            </w:r>
          </w:p>
        </w:tc>
        <w:tc>
          <w:tcPr>
            <w:tcW w:w="340" w:type="dxa"/>
            <w:vAlign w:val="bottom"/>
          </w:tcPr>
          <w:p>
            <w:pPr>
              <w:spacing w:after="0"/>
              <w:rPr>
                <w:sz w:val="21"/>
                <w:szCs w:val="21"/>
                <w:color w:val="auto"/>
              </w:rPr>
            </w:pPr>
          </w:p>
        </w:tc>
        <w:tc>
          <w:tcPr>
            <w:tcW w:w="1060" w:type="dxa"/>
            <w:vAlign w:val="bottom"/>
          </w:tcPr>
          <w:p>
            <w:pPr>
              <w:jc w:val="right"/>
              <w:ind w:right="36"/>
              <w:spacing w:after="0"/>
              <w:rPr>
                <w:sz w:val="20"/>
                <w:szCs w:val="20"/>
                <w:color w:val="auto"/>
              </w:rPr>
            </w:pPr>
            <w:r>
              <w:rPr>
                <w:rFonts w:ascii="Arial" w:cs="Arial" w:eastAsia="Arial" w:hAnsi="Arial"/>
                <w:sz w:val="18"/>
                <w:szCs w:val="18"/>
                <w:color w:val="auto"/>
              </w:rPr>
              <w:t>265,208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5"/>
              <w:spacing w:after="0"/>
              <w:rPr>
                <w:sz w:val="20"/>
                <w:szCs w:val="20"/>
                <w:color w:val="auto"/>
              </w:rPr>
            </w:pPr>
            <w:r>
              <w:rPr>
                <w:rFonts w:ascii="Arial" w:cs="Arial" w:eastAsia="Arial" w:hAnsi="Arial"/>
                <w:sz w:val="18"/>
                <w:szCs w:val="18"/>
                <w:color w:val="auto"/>
              </w:rPr>
              <w:t>206,698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252,992</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1,337,346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825,840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1,218,007</w:t>
            </w:r>
          </w:p>
        </w:tc>
        <w:tc>
          <w:tcPr>
            <w:tcW w:w="0" w:type="dxa"/>
            <w:vAlign w:val="bottom"/>
          </w:tcPr>
          <w:p>
            <w:pPr>
              <w:spacing w:after="0"/>
              <w:rPr>
                <w:sz w:val="1"/>
                <w:szCs w:val="1"/>
                <w:color w:val="auto"/>
              </w:rPr>
            </w:pPr>
          </w:p>
        </w:tc>
      </w:tr>
      <w:tr>
        <w:trPr>
          <w:trHeight w:val="20"/>
        </w:trPr>
        <w:tc>
          <w:tcPr>
            <w:tcW w:w="7080" w:type="dxa"/>
            <w:vAlign w:val="bottom"/>
            <w:vMerge w:val="restart"/>
          </w:tcPr>
          <w:p>
            <w:pPr>
              <w:spacing w:after="0"/>
              <w:rPr>
                <w:sz w:val="20"/>
                <w:szCs w:val="20"/>
                <w:color w:val="auto"/>
              </w:rPr>
            </w:pPr>
            <w:r>
              <w:rPr>
                <w:rFonts w:ascii="Arial" w:cs="Arial" w:eastAsia="Arial" w:hAnsi="Arial"/>
                <w:sz w:val="18"/>
                <w:szCs w:val="18"/>
                <w:color w:val="auto"/>
              </w:rPr>
              <w:t>The following tables provide geographic information required by ASC 280-10-50-41:</w:t>
            </w: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70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8"/>
        </w:trPr>
        <w:tc>
          <w:tcPr>
            <w:tcW w:w="7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5"/>
          </w:tcPr>
          <w:p>
            <w:pPr>
              <w:jc w:val="center"/>
              <w:ind w:right="135"/>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264"/>
        </w:trPr>
        <w:tc>
          <w:tcPr>
            <w:tcW w:w="70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196"/>
        </w:trPr>
        <w:tc>
          <w:tcPr>
            <w:tcW w:w="7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80" w:type="dxa"/>
            <w:vAlign w:val="bottom"/>
            <w:gridSpan w:val="5"/>
          </w:tcPr>
          <w:p>
            <w:pPr>
              <w:jc w:val="center"/>
              <w:ind w:right="135"/>
              <w:spacing w:after="0"/>
              <w:rPr>
                <w:sz w:val="20"/>
                <w:szCs w:val="20"/>
                <w:color w:val="auto"/>
              </w:rPr>
            </w:pPr>
            <w:r>
              <w:rPr>
                <w:rFonts w:ascii="Arial" w:cs="Arial" w:eastAsia="Arial" w:hAnsi="Arial"/>
                <w:sz w:val="14"/>
                <w:szCs w:val="14"/>
                <w:i w:val="1"/>
                <w:iCs w:val="1"/>
                <w:color w:val="auto"/>
                <w:w w:val="94"/>
              </w:rPr>
              <w:t>(in thousands)</w:t>
            </w:r>
          </w:p>
        </w:tc>
        <w:tc>
          <w:tcPr>
            <w:tcW w:w="0" w:type="dxa"/>
            <w:vAlign w:val="bottom"/>
          </w:tcPr>
          <w:p>
            <w:pPr>
              <w:spacing w:after="0"/>
              <w:rPr>
                <w:sz w:val="1"/>
                <w:szCs w:val="1"/>
                <w:color w:val="auto"/>
              </w:rPr>
            </w:pPr>
          </w:p>
        </w:tc>
      </w:tr>
      <w:tr>
        <w:trPr>
          <w:trHeight w:val="256"/>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U.S.</w:t>
            </w: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jc w:val="right"/>
              <w:ind w:right="42"/>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224,756</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225,715</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Mexico</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40,245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19,421</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Canada</w:t>
            </w: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4,814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3,661</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U.K</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7,311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57"/>
        </w:trPr>
        <w:tc>
          <w:tcPr>
            <w:tcW w:w="7080" w:type="dxa"/>
            <w:vAlign w:val="bottom"/>
          </w:tcPr>
          <w:p>
            <w:pPr>
              <w:ind w:left="40"/>
              <w:spacing w:after="0"/>
              <w:rPr>
                <w:sz w:val="20"/>
                <w:szCs w:val="20"/>
                <w:color w:val="auto"/>
              </w:rPr>
            </w:pPr>
            <w:r>
              <w:rPr>
                <w:rFonts w:ascii="Arial" w:cs="Arial" w:eastAsia="Arial" w:hAnsi="Arial"/>
                <w:sz w:val="18"/>
                <w:szCs w:val="18"/>
                <w:color w:val="auto"/>
              </w:rPr>
              <w:t>Total</w:t>
            </w:r>
          </w:p>
        </w:tc>
        <w:tc>
          <w:tcPr>
            <w:tcW w:w="3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277,126</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248,873</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70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4"/>
          </w:tcPr>
          <w:p>
            <w:pPr>
              <w:ind w:left="700"/>
              <w:spacing w:after="0"/>
              <w:rPr>
                <w:sz w:val="20"/>
                <w:szCs w:val="20"/>
                <w:color w:val="auto"/>
              </w:rPr>
            </w:pPr>
            <w:r>
              <w:rPr>
                <w:rFonts w:ascii="Arial" w:cs="Arial" w:eastAsia="Arial" w:hAnsi="Arial"/>
                <w:sz w:val="14"/>
                <w:szCs w:val="14"/>
                <w:b w:val="1"/>
                <w:bCs w:val="1"/>
                <w:color w:val="auto"/>
                <w:w w:val="98"/>
              </w:rPr>
              <w:t>December 31,</w:t>
            </w: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264"/>
        </w:trPr>
        <w:tc>
          <w:tcPr>
            <w:tcW w:w="70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center"/>
              <w:ind w:right="375"/>
              <w:spacing w:after="0"/>
              <w:rPr>
                <w:sz w:val="20"/>
                <w:szCs w:val="20"/>
                <w:color w:val="auto"/>
              </w:rPr>
            </w:pPr>
            <w:r>
              <w:rPr>
                <w:rFonts w:ascii="Arial" w:cs="Arial" w:eastAsia="Arial" w:hAnsi="Arial"/>
                <w:sz w:val="14"/>
                <w:szCs w:val="14"/>
                <w:b w:val="1"/>
                <w:bCs w:val="1"/>
                <w:color w:val="auto"/>
                <w:w w:val="89"/>
              </w:rPr>
              <w:t>2011</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89"/>
              </w:rPr>
              <w:t>2012</w:t>
            </w:r>
          </w:p>
        </w:tc>
        <w:tc>
          <w:tcPr>
            <w:tcW w:w="0" w:type="dxa"/>
            <w:vAlign w:val="bottom"/>
          </w:tcPr>
          <w:p>
            <w:pPr>
              <w:spacing w:after="0"/>
              <w:rPr>
                <w:sz w:val="1"/>
                <w:szCs w:val="1"/>
                <w:color w:val="auto"/>
              </w:rPr>
            </w:pPr>
          </w:p>
        </w:tc>
      </w:tr>
      <w:tr>
        <w:trPr>
          <w:trHeight w:val="190"/>
        </w:trPr>
        <w:tc>
          <w:tcPr>
            <w:tcW w:w="7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3"/>
          </w:tcPr>
          <w:p>
            <w:pPr>
              <w:jc w:val="center"/>
              <w:ind w:right="320"/>
              <w:spacing w:after="0"/>
              <w:rPr>
                <w:sz w:val="20"/>
                <w:szCs w:val="20"/>
                <w:color w:val="auto"/>
              </w:rPr>
            </w:pPr>
            <w:r>
              <w:rPr>
                <w:rFonts w:ascii="Arial" w:cs="Arial" w:eastAsia="Arial" w:hAnsi="Arial"/>
                <w:sz w:val="14"/>
                <w:szCs w:val="14"/>
                <w:i w:val="1"/>
                <w:iCs w:val="1"/>
                <w:color w:val="auto"/>
                <w:w w:val="92"/>
              </w:rPr>
              <w:t>(in thousands)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7080" w:type="dxa"/>
            <w:vAlign w:val="bottom"/>
          </w:tcPr>
          <w:p>
            <w:pPr>
              <w:ind w:left="40"/>
              <w:spacing w:after="0"/>
              <w:rPr>
                <w:sz w:val="20"/>
                <w:szCs w:val="20"/>
                <w:color w:val="auto"/>
              </w:rPr>
            </w:pPr>
            <w:r>
              <w:rPr>
                <w:rFonts w:ascii="Arial" w:cs="Arial" w:eastAsia="Arial" w:hAnsi="Arial"/>
                <w:sz w:val="18"/>
                <w:szCs w:val="18"/>
                <w:color w:val="auto"/>
              </w:rPr>
              <w:t>Long-lived assets:</w:t>
            </w:r>
          </w:p>
        </w:tc>
        <w:tc>
          <w:tcPr>
            <w:tcW w:w="3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U.S.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6"/>
              <w:spacing w:after="0"/>
              <w:rPr>
                <w:sz w:val="20"/>
                <w:szCs w:val="20"/>
                <w:color w:val="auto"/>
              </w:rPr>
            </w:pPr>
            <w:r>
              <w:rPr>
                <w:rFonts w:ascii="Arial" w:cs="Arial" w:eastAsia="Arial" w:hAnsi="Arial"/>
                <w:sz w:val="18"/>
                <w:szCs w:val="18"/>
                <w:color w:val="auto"/>
              </w:rPr>
              <w:t>391,169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21"/>
                <w:szCs w:val="21"/>
                <w:color w:val="auto"/>
              </w:rPr>
            </w:pPr>
          </w:p>
        </w:tc>
        <w:tc>
          <w:tcPr>
            <w:tcW w:w="900" w:type="dxa"/>
            <w:vAlign w:val="bottom"/>
          </w:tcPr>
          <w:p>
            <w:pPr>
              <w:jc w:val="right"/>
              <w:ind w:right="15"/>
              <w:spacing w:after="0"/>
              <w:rPr>
                <w:sz w:val="20"/>
                <w:szCs w:val="20"/>
                <w:color w:val="auto"/>
              </w:rPr>
            </w:pPr>
            <w:r>
              <w:rPr>
                <w:rFonts w:ascii="Arial" w:cs="Arial" w:eastAsia="Arial" w:hAnsi="Arial"/>
                <w:sz w:val="18"/>
                <w:szCs w:val="18"/>
                <w:color w:val="auto"/>
              </w:rPr>
              <w:t>283,462</w:t>
            </w:r>
          </w:p>
        </w:tc>
        <w:tc>
          <w:tcPr>
            <w:tcW w:w="120" w:type="dxa"/>
            <w:vAlign w:val="bottom"/>
          </w:tcPr>
          <w:p>
            <w:pPr>
              <w:spacing w:after="0"/>
              <w:rPr>
                <w:sz w:val="21"/>
                <w:szCs w:val="21"/>
                <w:color w:val="auto"/>
              </w:rPr>
            </w:pPr>
          </w:p>
        </w:tc>
        <w:tc>
          <w:tcPr>
            <w:tcW w:w="2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317,887</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Mexico</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158,073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23,899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155,488</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Canada</w:t>
            </w:r>
          </w:p>
        </w:tc>
        <w:tc>
          <w:tcPr>
            <w:tcW w:w="340" w:type="dxa"/>
            <w:vAlign w:val="bottom"/>
          </w:tcPr>
          <w:p>
            <w:pPr>
              <w:spacing w:after="0"/>
              <w:rPr>
                <w:sz w:val="21"/>
                <w:szCs w:val="21"/>
                <w:color w:val="auto"/>
              </w:rPr>
            </w:pPr>
          </w:p>
        </w:tc>
        <w:tc>
          <w:tcPr>
            <w:tcW w:w="1060" w:type="dxa"/>
            <w:vAlign w:val="bottom"/>
          </w:tcPr>
          <w:p>
            <w:pPr>
              <w:jc w:val="right"/>
              <w:ind w:right="36"/>
              <w:spacing w:after="0"/>
              <w:rPr>
                <w:sz w:val="20"/>
                <w:szCs w:val="20"/>
                <w:color w:val="auto"/>
              </w:rPr>
            </w:pPr>
            <w:r>
              <w:rPr>
                <w:rFonts w:ascii="Arial" w:cs="Arial" w:eastAsia="Arial" w:hAnsi="Arial"/>
                <w:sz w:val="18"/>
                <w:szCs w:val="18"/>
                <w:color w:val="auto"/>
              </w:rPr>
              <w:t>9,658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5"/>
              <w:spacing w:after="0"/>
              <w:rPr>
                <w:sz w:val="20"/>
                <w:szCs w:val="20"/>
                <w:color w:val="auto"/>
              </w:rPr>
            </w:pPr>
            <w:r>
              <w:rPr>
                <w:rFonts w:ascii="Arial" w:cs="Arial" w:eastAsia="Arial" w:hAnsi="Arial"/>
                <w:sz w:val="18"/>
                <w:szCs w:val="18"/>
                <w:color w:val="auto"/>
              </w:rPr>
              <w:t>9,745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10,199</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U.K</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44,407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238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44,363</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060" w:type="dxa"/>
            <w:vAlign w:val="bottom"/>
          </w:tcPr>
          <w:p>
            <w:pPr>
              <w:jc w:val="right"/>
              <w:ind w:right="36"/>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603,349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317,344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527,979</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ALLOWANCE FOR LOSSES AND CREDIT QUALITY OF FINANCING RECEIVABLES</w:t>
      </w:r>
    </w:p>
    <w:p>
      <w:pPr>
        <w:spacing w:after="0" w:line="9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offer a variety of loan products and credit services to customers who do not have cash resources or access to credit to meet their cash needs. Our customers are considered to be in a higher risk pool with regard to creditworthiness when compared to those of typical financial institutions. As a result, our receivables do not have a credit risk profile that can easily be measured by the normal credit quality indicators used by the financial markets. We manage the risk through closely monitoring the performance of the portfolio and through our underwriting process. This process includes review of customer information, such as making a credit reporting agency inquiry, evaluating and verifying income sources and levels, verifying employment and verifying a telephone number where customers may be contacted. For auto title loans, we additionally inspect the automobile, title and reference to market values of used automobiles.</w:t>
      </w:r>
    </w:p>
    <w:p>
      <w:pPr>
        <w:spacing w:after="0" w:line="135"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We consider consumer loans made by our wholly owned subsidiaries defaulted if they have not been repaid or renewed by the maturity date. If one payment of a multiple-payment loan is delinquent, that one payment is considered defaulted. If more than one payment is delinquent at any time, the entire loan is considered defaulted. Although defaulted loans may be collected later, we charge the loan principal to consumer loan bad debt upon default, leaving only active loans in the reported balance. Accrued fees related to defaulted loans reduce fee revenue upon loan default, and increase fee revenue upon collection.</w:t>
      </w:r>
    </w:p>
    <w:p>
      <w:pPr>
        <w:spacing w:after="0" w:line="10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Based on historical collection experience, the age of past-due loans and amounts we expect to receive through the sale of repossessed vehicles, we provide an allowance for losses on auto title loans.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Crediamigo acquisition marked our initial entry into unsecured consumer lending in Mexico. Crediamigo consumer loans are considered in current status as long as the customer is employed and Crediamigo receives payments via payroll withholdings. Loans made to customers no longer employed are considered current if payments are made by due date. If one payment of a loan is delinquent, that one payment is considered defaulted. If two or more payments are delinquent at any time, the entire loan is considered defaulted. Although defaulted loans may be collected later, Crediamigo charges the loan principal to consumer loan bad debt upon default, leaving only active loans in the reported balance. Subsequent collections of principal are recorded as a reduction of consumer loan bad debt when collected. Accrued fees related to defaulted loans reduce fee revenue upon default, and increase fee revenue upon collection.</w:t>
      </w:r>
    </w:p>
    <w:p>
      <w:pPr>
        <w:spacing w:after="0" w:line="135" w:lineRule="exact"/>
        <w:rPr>
          <w:sz w:val="20"/>
          <w:szCs w:val="20"/>
          <w:color w:val="auto"/>
        </w:rPr>
      </w:pPr>
    </w:p>
    <w:p>
      <w:pPr>
        <w:jc w:val="both"/>
        <w:ind w:right="160"/>
        <w:spacing w:after="0" w:line="381" w:lineRule="auto"/>
        <w:rPr>
          <w:sz w:val="20"/>
          <w:szCs w:val="20"/>
          <w:color w:val="auto"/>
        </w:rPr>
      </w:pPr>
      <w:r>
        <w:rPr>
          <w:rFonts w:ascii="Arial" w:cs="Arial" w:eastAsia="Arial" w:hAnsi="Arial"/>
          <w:sz w:val="15"/>
          <w:szCs w:val="15"/>
          <w:color w:val="auto"/>
        </w:rPr>
        <w:t>The accuracy of our allowance estimates is dependent upon several factors, including our ability to predict future default rates based on historical trends and expected future events. We base our estimates on observable trends and various other assumptions that we believe to be reasonable under the circumstances.</w:t>
      </w:r>
    </w:p>
    <w:p>
      <w:pPr>
        <w:spacing w:after="0" w:line="4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table presents changes in the allowance for credit losses, as well as the recorded investment in our financing receivables by portfolio segment for the periods presented:</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jc w:val="center"/>
              <w:ind w:right="62"/>
              <w:spacing w:after="0"/>
              <w:rPr>
                <w:sz w:val="20"/>
                <w:szCs w:val="20"/>
                <w:color w:val="auto"/>
              </w:rPr>
            </w:pPr>
            <w:r>
              <w:rPr>
                <w:rFonts w:ascii="Arial" w:cs="Arial" w:eastAsia="Arial" w:hAnsi="Arial"/>
                <w:sz w:val="14"/>
                <w:szCs w:val="14"/>
                <w:b w:val="1"/>
                <w:bCs w:val="1"/>
                <w:color w:val="auto"/>
                <w:w w:val="92"/>
              </w:rPr>
              <w:t>Allowance</w:t>
            </w: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center"/>
              <w:ind w:right="42"/>
              <w:spacing w:after="0"/>
              <w:rPr>
                <w:sz w:val="20"/>
                <w:szCs w:val="20"/>
                <w:color w:val="auto"/>
              </w:rPr>
            </w:pPr>
            <w:r>
              <w:rPr>
                <w:rFonts w:ascii="Arial" w:cs="Arial" w:eastAsia="Arial" w:hAnsi="Arial"/>
                <w:sz w:val="14"/>
                <w:szCs w:val="14"/>
                <w:b w:val="1"/>
                <w:bCs w:val="1"/>
                <w:color w:val="auto"/>
                <w:w w:val="92"/>
              </w:rPr>
              <w:t>Allowance</w:t>
            </w:r>
          </w:p>
        </w:tc>
        <w:tc>
          <w:tcPr>
            <w:tcW w:w="220" w:type="dxa"/>
            <w:vAlign w:val="bottom"/>
          </w:tcPr>
          <w:p>
            <w:pPr>
              <w:spacing w:after="0"/>
              <w:rPr>
                <w:sz w:val="14"/>
                <w:szCs w:val="14"/>
                <w:color w:val="auto"/>
              </w:rPr>
            </w:pPr>
          </w:p>
        </w:tc>
        <w:tc>
          <w:tcPr>
            <w:tcW w:w="880" w:type="dxa"/>
            <w:vAlign w:val="bottom"/>
          </w:tcPr>
          <w:p>
            <w:pPr>
              <w:jc w:val="center"/>
              <w:ind w:right="62"/>
              <w:spacing w:after="0"/>
              <w:rPr>
                <w:sz w:val="20"/>
                <w:szCs w:val="20"/>
                <w:color w:val="auto"/>
              </w:rPr>
            </w:pPr>
            <w:r>
              <w:rPr>
                <w:rFonts w:ascii="Arial" w:cs="Arial" w:eastAsia="Arial" w:hAnsi="Arial"/>
                <w:sz w:val="14"/>
                <w:szCs w:val="14"/>
                <w:b w:val="1"/>
                <w:bCs w:val="1"/>
                <w:color w:val="auto"/>
                <w:w w:val="93"/>
              </w:rPr>
              <w:t>Financing</w:t>
            </w: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91"/>
              </w:rPr>
              <w:t>Balance at</w:t>
            </w: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0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Translation</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1"/>
              </w:rPr>
              <w:t>Balance at</w:t>
            </w:r>
          </w:p>
        </w:tc>
        <w:tc>
          <w:tcPr>
            <w:tcW w:w="220" w:type="dxa"/>
            <w:vAlign w:val="bottom"/>
          </w:tcPr>
          <w:p>
            <w:pPr>
              <w:spacing w:after="0"/>
              <w:rPr>
                <w:sz w:val="12"/>
                <w:szCs w:val="12"/>
                <w:color w:val="auto"/>
              </w:rPr>
            </w:pPr>
          </w:p>
        </w:tc>
        <w:tc>
          <w:tcPr>
            <w:tcW w:w="88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90"/>
              </w:rPr>
              <w:t>Receivable</w:t>
            </w:r>
          </w:p>
        </w:tc>
        <w:tc>
          <w:tcPr>
            <w:tcW w:w="0" w:type="dxa"/>
            <w:vAlign w:val="bottom"/>
          </w:tcPr>
          <w:p>
            <w:pPr>
              <w:spacing w:after="0"/>
              <w:rPr>
                <w:sz w:val="1"/>
                <w:szCs w:val="1"/>
                <w:color w:val="auto"/>
              </w:rPr>
            </w:pPr>
          </w:p>
        </w:tc>
      </w:tr>
      <w:tr>
        <w:trPr>
          <w:trHeight w:val="149"/>
        </w:trPr>
        <w:tc>
          <w:tcPr>
            <w:tcW w:w="34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460" w:type="dxa"/>
            <w:vAlign w:val="bottom"/>
          </w:tcPr>
          <w:p>
            <w:pPr>
              <w:spacing w:after="0"/>
              <w:rPr>
                <w:sz w:val="12"/>
                <w:szCs w:val="12"/>
                <w:color w:val="auto"/>
              </w:rPr>
            </w:pPr>
          </w:p>
        </w:tc>
        <w:tc>
          <w:tcPr>
            <w:tcW w:w="82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0"/>
              </w:rPr>
              <w:t>Beginning</w:t>
            </w:r>
          </w:p>
        </w:tc>
        <w:tc>
          <w:tcPr>
            <w:tcW w:w="1080" w:type="dxa"/>
            <w:vAlign w:val="bottom"/>
            <w:gridSpan w:val="2"/>
            <w:vMerge w:val="restart"/>
          </w:tcPr>
          <w:p>
            <w:pPr>
              <w:jc w:val="right"/>
              <w:ind w:right="59"/>
              <w:spacing w:after="0"/>
              <w:rPr>
                <w:sz w:val="20"/>
                <w:szCs w:val="20"/>
                <w:color w:val="auto"/>
              </w:rPr>
            </w:pPr>
            <w:r>
              <w:rPr>
                <w:rFonts w:ascii="Arial" w:cs="Arial" w:eastAsia="Arial" w:hAnsi="Arial"/>
                <w:sz w:val="14"/>
                <w:szCs w:val="14"/>
                <w:b w:val="1"/>
                <w:bCs w:val="1"/>
                <w:color w:val="auto"/>
              </w:rPr>
              <w:t>Charge-offs</w:t>
            </w:r>
          </w:p>
        </w:tc>
        <w:tc>
          <w:tcPr>
            <w:tcW w:w="200" w:type="dxa"/>
            <w:vAlign w:val="bottom"/>
          </w:tcPr>
          <w:p>
            <w:pPr>
              <w:spacing w:after="0"/>
              <w:rPr>
                <w:sz w:val="12"/>
                <w:szCs w:val="12"/>
                <w:color w:val="auto"/>
              </w:rPr>
            </w:pPr>
          </w:p>
        </w:tc>
        <w:tc>
          <w:tcPr>
            <w:tcW w:w="820" w:type="dxa"/>
            <w:vAlign w:val="bottom"/>
            <w:vMerge w:val="restart"/>
          </w:tcPr>
          <w:p>
            <w:pPr>
              <w:jc w:val="right"/>
              <w:ind w:right="60"/>
              <w:spacing w:after="0"/>
              <w:rPr>
                <w:sz w:val="20"/>
                <w:szCs w:val="20"/>
                <w:color w:val="auto"/>
              </w:rPr>
            </w:pPr>
            <w:r>
              <w:rPr>
                <w:rFonts w:ascii="Arial" w:cs="Arial" w:eastAsia="Arial" w:hAnsi="Arial"/>
                <w:sz w:val="14"/>
                <w:szCs w:val="14"/>
                <w:b w:val="1"/>
                <w:bCs w:val="1"/>
                <w:color w:val="auto"/>
                <w:w w:val="88"/>
              </w:rPr>
              <w:t>Recoveries</w:t>
            </w:r>
          </w:p>
        </w:tc>
        <w:tc>
          <w:tcPr>
            <w:tcW w:w="260" w:type="dxa"/>
            <w:vAlign w:val="bottom"/>
          </w:tcPr>
          <w:p>
            <w:pPr>
              <w:spacing w:after="0"/>
              <w:rPr>
                <w:sz w:val="12"/>
                <w:szCs w:val="12"/>
                <w:color w:val="auto"/>
              </w:rPr>
            </w:pPr>
          </w:p>
        </w:tc>
        <w:tc>
          <w:tcPr>
            <w:tcW w:w="800" w:type="dxa"/>
            <w:vAlign w:val="bottom"/>
            <w:vMerge w:val="restart"/>
          </w:tcPr>
          <w:p>
            <w:pPr>
              <w:jc w:val="right"/>
              <w:ind w:right="121"/>
              <w:spacing w:after="0"/>
              <w:rPr>
                <w:sz w:val="20"/>
                <w:szCs w:val="20"/>
                <w:color w:val="auto"/>
              </w:rPr>
            </w:pPr>
            <w:r>
              <w:rPr>
                <w:rFonts w:ascii="Arial" w:cs="Arial" w:eastAsia="Arial" w:hAnsi="Arial"/>
                <w:sz w:val="14"/>
                <w:szCs w:val="14"/>
                <w:b w:val="1"/>
                <w:bCs w:val="1"/>
                <w:color w:val="auto"/>
                <w:w w:val="90"/>
              </w:rPr>
              <w:t>Provision</w:t>
            </w:r>
          </w:p>
        </w:tc>
        <w:tc>
          <w:tcPr>
            <w:tcW w:w="110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96"/>
              </w:rPr>
              <w:t>End of</w:t>
            </w:r>
          </w:p>
        </w:tc>
        <w:tc>
          <w:tcPr>
            <w:tcW w:w="220" w:type="dxa"/>
            <w:vAlign w:val="bottom"/>
          </w:tcPr>
          <w:p>
            <w:pPr>
              <w:spacing w:after="0"/>
              <w:rPr>
                <w:sz w:val="12"/>
                <w:szCs w:val="12"/>
                <w:color w:val="auto"/>
              </w:rPr>
            </w:pPr>
          </w:p>
        </w:tc>
        <w:tc>
          <w:tcPr>
            <w:tcW w:w="88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96"/>
              </w:rPr>
              <w:t>at End of</w:t>
            </w:r>
          </w:p>
        </w:tc>
        <w:tc>
          <w:tcPr>
            <w:tcW w:w="0" w:type="dxa"/>
            <w:vAlign w:val="bottom"/>
          </w:tcPr>
          <w:p>
            <w:pPr>
              <w:spacing w:after="0"/>
              <w:rPr>
                <w:sz w:val="1"/>
                <w:szCs w:val="1"/>
                <w:color w:val="auto"/>
              </w:rPr>
            </w:pPr>
          </w:p>
        </w:tc>
      </w:tr>
      <w:tr>
        <w:trPr>
          <w:trHeight w:val="192"/>
        </w:trPr>
        <w:tc>
          <w:tcPr>
            <w:tcW w:w="344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2"/>
              </w:rPr>
              <w:t>of Period</w:t>
            </w:r>
          </w:p>
        </w:tc>
        <w:tc>
          <w:tcPr>
            <w:tcW w:w="108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10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w w:val="98"/>
              </w:rPr>
              <w:t>Adjustment</w:t>
            </w:r>
          </w:p>
        </w:tc>
        <w:tc>
          <w:tcPr>
            <w:tcW w:w="3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6"/>
              </w:rPr>
              <w:t>Period</w:t>
            </w: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6"/>
              </w:rPr>
              <w:t>Period</w:t>
            </w:r>
          </w:p>
        </w:tc>
        <w:tc>
          <w:tcPr>
            <w:tcW w:w="0" w:type="dxa"/>
            <w:vAlign w:val="bottom"/>
          </w:tcPr>
          <w:p>
            <w:pPr>
              <w:spacing w:after="0"/>
              <w:rPr>
                <w:sz w:val="1"/>
                <w:szCs w:val="1"/>
                <w:color w:val="auto"/>
              </w:rPr>
            </w:pPr>
          </w:p>
        </w:tc>
      </w:tr>
      <w:tr>
        <w:trPr>
          <w:trHeight w:val="196"/>
        </w:trPr>
        <w:tc>
          <w:tcPr>
            <w:tcW w:w="3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00" w:type="dxa"/>
            <w:vAlign w:val="bottom"/>
            <w:gridSpan w:val="2"/>
          </w:tcPr>
          <w:p>
            <w:pPr>
              <w:jc w:val="right"/>
              <w:ind w:right="881"/>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Unsecured short-term consumer loans:</w:t>
            </w:r>
          </w:p>
        </w:tc>
        <w:tc>
          <w:tcPr>
            <w:tcW w:w="4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440" w:type="dxa"/>
            <w:vAlign w:val="bottom"/>
          </w:tcPr>
          <w:p>
            <w:pPr>
              <w:ind w:left="380"/>
              <w:spacing w:after="0"/>
              <w:rPr>
                <w:sz w:val="20"/>
                <w:szCs w:val="20"/>
                <w:color w:val="auto"/>
              </w:rPr>
            </w:pPr>
            <w:r>
              <w:rPr>
                <w:rFonts w:ascii="Arial" w:cs="Arial" w:eastAsia="Arial" w:hAnsi="Arial"/>
                <w:sz w:val="16"/>
                <w:szCs w:val="16"/>
                <w:color w:val="auto"/>
              </w:rPr>
              <w:t>Three Months Ended December 31, 2012</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62"/>
              <w:spacing w:after="0"/>
              <w:rPr>
                <w:sz w:val="20"/>
                <w:szCs w:val="20"/>
                <w:color w:val="auto"/>
              </w:rPr>
            </w:pPr>
            <w:r>
              <w:rPr>
                <w:rFonts w:ascii="Arial" w:cs="Arial" w:eastAsia="Arial" w:hAnsi="Arial"/>
                <w:sz w:val="16"/>
                <w:szCs w:val="16"/>
                <w:color w:val="auto"/>
              </w:rPr>
              <w:t>2,390</w:t>
            </w:r>
          </w:p>
        </w:tc>
        <w:tc>
          <w:tcPr>
            <w:tcW w:w="3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(12,295)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4,894</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61"/>
              <w:spacing w:after="0"/>
              <w:rPr>
                <w:sz w:val="20"/>
                <w:szCs w:val="20"/>
                <w:color w:val="auto"/>
              </w:rPr>
            </w:pPr>
            <w:r>
              <w:rPr>
                <w:rFonts w:ascii="Arial" w:cs="Arial" w:eastAsia="Arial" w:hAnsi="Arial"/>
                <w:sz w:val="16"/>
                <w:szCs w:val="16"/>
                <w:color w:val="auto"/>
              </w:rPr>
              <w:t>7,604</w:t>
            </w:r>
          </w:p>
        </w:tc>
        <w:tc>
          <w:tcPr>
            <w:tcW w:w="1100" w:type="dxa"/>
            <w:vAlign w:val="bottom"/>
          </w:tcPr>
          <w:p>
            <w:pPr>
              <w:jc w:val="right"/>
              <w:ind w:right="621"/>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42"/>
              <w:spacing w:after="0"/>
              <w:rPr>
                <w:sz w:val="20"/>
                <w:szCs w:val="20"/>
                <w:color w:val="auto"/>
              </w:rPr>
            </w:pPr>
            <w:r>
              <w:rPr>
                <w:rFonts w:ascii="Arial" w:cs="Arial" w:eastAsia="Arial" w:hAnsi="Arial"/>
                <w:sz w:val="16"/>
                <w:szCs w:val="16"/>
                <w:color w:val="auto"/>
              </w:rPr>
              <w:t>2,593</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23,158</w:t>
            </w: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Three Months Ended December 31, 2011</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1,727</w:t>
            </w:r>
          </w:p>
        </w:tc>
        <w:tc>
          <w:tcPr>
            <w:tcW w:w="3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(4,679)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1,458</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3,224</w:t>
            </w:r>
          </w:p>
        </w:tc>
        <w:tc>
          <w:tcPr>
            <w:tcW w:w="1100" w:type="dxa"/>
            <w:vAlign w:val="bottom"/>
            <w:tcBorders>
              <w:bottom w:val="single" w:sz="8" w:color="CCEEFF"/>
            </w:tcBorders>
            <w:shd w:val="clear" w:color="auto" w:fill="CCEEFF"/>
          </w:tcPr>
          <w:p>
            <w:pPr>
              <w:jc w:val="right"/>
              <w:ind w:right="621"/>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1,730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14,406</w:t>
            </w:r>
          </w:p>
        </w:tc>
        <w:tc>
          <w:tcPr>
            <w:tcW w:w="0" w:type="dxa"/>
            <w:vAlign w:val="bottom"/>
          </w:tcPr>
          <w:p>
            <w:pPr>
              <w:spacing w:after="0"/>
              <w:rPr>
                <w:sz w:val="1"/>
                <w:szCs w:val="1"/>
                <w:color w:val="auto"/>
              </w:rPr>
            </w:pPr>
          </w:p>
        </w:tc>
      </w:tr>
      <w:tr>
        <w:trPr>
          <w:trHeight w:val="237"/>
        </w:trPr>
        <w:tc>
          <w:tcPr>
            <w:tcW w:w="3440" w:type="dxa"/>
            <w:vAlign w:val="bottom"/>
          </w:tcPr>
          <w:p>
            <w:pPr>
              <w:ind w:left="380"/>
              <w:spacing w:after="0"/>
              <w:rPr>
                <w:sz w:val="20"/>
                <w:szCs w:val="20"/>
                <w:color w:val="auto"/>
              </w:rPr>
            </w:pPr>
            <w:r>
              <w:rPr>
                <w:rFonts w:ascii="Arial" w:cs="Arial" w:eastAsia="Arial" w:hAnsi="Arial"/>
                <w:sz w:val="16"/>
                <w:szCs w:val="16"/>
                <w:color w:val="auto"/>
              </w:rPr>
              <w:t>Year Ended September 30, 2012</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62"/>
              <w:spacing w:after="0"/>
              <w:rPr>
                <w:sz w:val="20"/>
                <w:szCs w:val="20"/>
                <w:color w:val="auto"/>
              </w:rPr>
            </w:pPr>
            <w:r>
              <w:rPr>
                <w:rFonts w:ascii="Arial" w:cs="Arial" w:eastAsia="Arial" w:hAnsi="Arial"/>
                <w:sz w:val="16"/>
                <w:szCs w:val="16"/>
                <w:color w:val="auto"/>
              </w:rPr>
              <w:t>1,727</w:t>
            </w:r>
          </w:p>
        </w:tc>
        <w:tc>
          <w:tcPr>
            <w:tcW w:w="3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(26,564)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12,176</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61"/>
              <w:spacing w:after="0"/>
              <w:rPr>
                <w:sz w:val="20"/>
                <w:szCs w:val="20"/>
                <w:color w:val="auto"/>
              </w:rPr>
            </w:pPr>
            <w:r>
              <w:rPr>
                <w:rFonts w:ascii="Arial" w:cs="Arial" w:eastAsia="Arial" w:hAnsi="Arial"/>
                <w:sz w:val="16"/>
                <w:szCs w:val="16"/>
                <w:color w:val="auto"/>
              </w:rPr>
              <w:t>15,034</w:t>
            </w:r>
          </w:p>
        </w:tc>
        <w:tc>
          <w:tcPr>
            <w:tcW w:w="1100" w:type="dxa"/>
            <w:vAlign w:val="bottom"/>
          </w:tcPr>
          <w:p>
            <w:pPr>
              <w:jc w:val="right"/>
              <w:ind w:right="621"/>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17</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42"/>
              <w:spacing w:after="0"/>
              <w:rPr>
                <w:sz w:val="20"/>
                <w:szCs w:val="20"/>
                <w:color w:val="auto"/>
              </w:rPr>
            </w:pPr>
            <w:r>
              <w:rPr>
                <w:rFonts w:ascii="Arial" w:cs="Arial" w:eastAsia="Arial" w:hAnsi="Arial"/>
                <w:sz w:val="16"/>
                <w:szCs w:val="16"/>
                <w:color w:val="auto"/>
              </w:rPr>
              <w:t>2,390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20,108</w:t>
            </w: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Secured short-term consumer loans:</w:t>
            </w:r>
          </w:p>
        </w:tc>
        <w:tc>
          <w:tcPr>
            <w:tcW w:w="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440" w:type="dxa"/>
            <w:vAlign w:val="bottom"/>
          </w:tcPr>
          <w:p>
            <w:pPr>
              <w:ind w:left="380"/>
              <w:spacing w:after="0"/>
              <w:rPr>
                <w:sz w:val="20"/>
                <w:szCs w:val="20"/>
                <w:color w:val="auto"/>
              </w:rPr>
            </w:pPr>
            <w:r>
              <w:rPr>
                <w:rFonts w:ascii="Arial" w:cs="Arial" w:eastAsia="Arial" w:hAnsi="Arial"/>
                <w:sz w:val="16"/>
                <w:szCs w:val="16"/>
                <w:color w:val="auto"/>
              </w:rPr>
              <w:t>Three Months Ended December 31, 2012</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62"/>
              <w:spacing w:after="0"/>
              <w:rPr>
                <w:sz w:val="20"/>
                <w:szCs w:val="20"/>
                <w:color w:val="auto"/>
              </w:rPr>
            </w:pPr>
            <w:r>
              <w:rPr>
                <w:rFonts w:ascii="Arial" w:cs="Arial" w:eastAsia="Arial" w:hAnsi="Arial"/>
                <w:sz w:val="16"/>
                <w:szCs w:val="16"/>
                <w:color w:val="auto"/>
              </w:rPr>
              <w:t>942</w:t>
            </w:r>
          </w:p>
        </w:tc>
        <w:tc>
          <w:tcPr>
            <w:tcW w:w="3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(9,220)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8,142</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61"/>
              <w:spacing w:after="0"/>
              <w:rPr>
                <w:sz w:val="20"/>
                <w:szCs w:val="20"/>
                <w:color w:val="auto"/>
              </w:rPr>
            </w:pPr>
            <w:r>
              <w:rPr>
                <w:rFonts w:ascii="Arial" w:cs="Arial" w:eastAsia="Arial" w:hAnsi="Arial"/>
                <w:sz w:val="16"/>
                <w:szCs w:val="16"/>
                <w:color w:val="auto"/>
              </w:rPr>
              <w:t>1,609</w:t>
            </w:r>
          </w:p>
        </w:tc>
        <w:tc>
          <w:tcPr>
            <w:tcW w:w="1100" w:type="dxa"/>
            <w:vAlign w:val="bottom"/>
          </w:tcPr>
          <w:p>
            <w:pPr>
              <w:jc w:val="right"/>
              <w:ind w:right="621"/>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42"/>
              <w:spacing w:after="0"/>
              <w:rPr>
                <w:sz w:val="20"/>
                <w:szCs w:val="20"/>
                <w:color w:val="auto"/>
              </w:rPr>
            </w:pPr>
            <w:r>
              <w:rPr>
                <w:rFonts w:ascii="Arial" w:cs="Arial" w:eastAsia="Arial" w:hAnsi="Arial"/>
                <w:sz w:val="16"/>
                <w:szCs w:val="16"/>
                <w:color w:val="auto"/>
              </w:rPr>
              <w:t>1,473</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7,264</w:t>
            </w: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Three Months Ended December 31, 2011</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538</w:t>
            </w:r>
          </w:p>
        </w:tc>
        <w:tc>
          <w:tcPr>
            <w:tcW w:w="3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(2,494)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2,160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778</w:t>
            </w:r>
          </w:p>
        </w:tc>
        <w:tc>
          <w:tcPr>
            <w:tcW w:w="1100" w:type="dxa"/>
            <w:vAlign w:val="bottom"/>
            <w:tcBorders>
              <w:bottom w:val="single" w:sz="8" w:color="CCEEFF"/>
            </w:tcBorders>
            <w:shd w:val="clear" w:color="auto" w:fill="CCEEFF"/>
          </w:tcPr>
          <w:p>
            <w:pPr>
              <w:jc w:val="right"/>
              <w:ind w:right="621"/>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982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4,494</w:t>
            </w:r>
          </w:p>
        </w:tc>
        <w:tc>
          <w:tcPr>
            <w:tcW w:w="0" w:type="dxa"/>
            <w:vAlign w:val="bottom"/>
          </w:tcPr>
          <w:p>
            <w:pPr>
              <w:spacing w:after="0"/>
              <w:rPr>
                <w:sz w:val="1"/>
                <w:szCs w:val="1"/>
                <w:color w:val="auto"/>
              </w:rPr>
            </w:pPr>
          </w:p>
        </w:tc>
      </w:tr>
      <w:tr>
        <w:trPr>
          <w:trHeight w:val="237"/>
        </w:trPr>
        <w:tc>
          <w:tcPr>
            <w:tcW w:w="3440" w:type="dxa"/>
            <w:vAlign w:val="bottom"/>
          </w:tcPr>
          <w:p>
            <w:pPr>
              <w:ind w:left="380"/>
              <w:spacing w:after="0"/>
              <w:rPr>
                <w:sz w:val="20"/>
                <w:szCs w:val="20"/>
                <w:color w:val="auto"/>
              </w:rPr>
            </w:pPr>
            <w:r>
              <w:rPr>
                <w:rFonts w:ascii="Arial" w:cs="Arial" w:eastAsia="Arial" w:hAnsi="Arial"/>
                <w:sz w:val="16"/>
                <w:szCs w:val="16"/>
                <w:color w:val="auto"/>
              </w:rPr>
              <w:t>Year Ended September 30, 2012</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62"/>
              <w:spacing w:after="0"/>
              <w:rPr>
                <w:sz w:val="20"/>
                <w:szCs w:val="20"/>
                <w:color w:val="auto"/>
              </w:rPr>
            </w:pPr>
            <w:r>
              <w:rPr>
                <w:rFonts w:ascii="Arial" w:cs="Arial" w:eastAsia="Arial" w:hAnsi="Arial"/>
                <w:sz w:val="16"/>
                <w:szCs w:val="16"/>
                <w:color w:val="auto"/>
              </w:rPr>
              <w:t>538</w:t>
            </w:r>
          </w:p>
        </w:tc>
        <w:tc>
          <w:tcPr>
            <w:tcW w:w="3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(11,295)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9,087</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61"/>
              <w:spacing w:after="0"/>
              <w:rPr>
                <w:sz w:val="20"/>
                <w:szCs w:val="20"/>
                <w:color w:val="auto"/>
              </w:rPr>
            </w:pPr>
            <w:r>
              <w:rPr>
                <w:rFonts w:ascii="Arial" w:cs="Arial" w:eastAsia="Arial" w:hAnsi="Arial"/>
                <w:sz w:val="16"/>
                <w:szCs w:val="16"/>
                <w:color w:val="auto"/>
              </w:rPr>
              <w:t>2,612</w:t>
            </w:r>
          </w:p>
        </w:tc>
        <w:tc>
          <w:tcPr>
            <w:tcW w:w="1100" w:type="dxa"/>
            <w:vAlign w:val="bottom"/>
          </w:tcPr>
          <w:p>
            <w:pPr>
              <w:jc w:val="right"/>
              <w:ind w:right="621"/>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42"/>
              <w:spacing w:after="0"/>
              <w:rPr>
                <w:sz w:val="20"/>
                <w:szCs w:val="20"/>
                <w:color w:val="auto"/>
              </w:rPr>
            </w:pPr>
            <w:r>
              <w:rPr>
                <w:rFonts w:ascii="Arial" w:cs="Arial" w:eastAsia="Arial" w:hAnsi="Arial"/>
                <w:sz w:val="16"/>
                <w:szCs w:val="16"/>
                <w:color w:val="auto"/>
              </w:rPr>
              <w:t>942</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5,951</w:t>
            </w: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*Unsecured long-term consumer loans:</w:t>
            </w:r>
          </w:p>
        </w:tc>
        <w:tc>
          <w:tcPr>
            <w:tcW w:w="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440" w:type="dxa"/>
            <w:vAlign w:val="bottom"/>
          </w:tcPr>
          <w:p>
            <w:pPr>
              <w:ind w:left="380"/>
              <w:spacing w:after="0"/>
              <w:rPr>
                <w:sz w:val="20"/>
                <w:szCs w:val="20"/>
                <w:color w:val="auto"/>
              </w:rPr>
            </w:pPr>
            <w:r>
              <w:rPr>
                <w:rFonts w:ascii="Arial" w:cs="Arial" w:eastAsia="Arial" w:hAnsi="Arial"/>
                <w:sz w:val="16"/>
                <w:szCs w:val="16"/>
                <w:color w:val="auto"/>
              </w:rPr>
              <w:t>Three Months Ended December 31, 2012</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62"/>
              <w:spacing w:after="0"/>
              <w:rPr>
                <w:sz w:val="20"/>
                <w:szCs w:val="20"/>
                <w:color w:val="auto"/>
              </w:rPr>
            </w:pPr>
            <w:r>
              <w:rPr>
                <w:rFonts w:ascii="Arial" w:cs="Arial" w:eastAsia="Arial" w:hAnsi="Arial"/>
                <w:sz w:val="16"/>
                <w:szCs w:val="16"/>
                <w:color w:val="auto"/>
              </w:rPr>
              <w:t>623</w:t>
            </w:r>
          </w:p>
        </w:tc>
        <w:tc>
          <w:tcPr>
            <w:tcW w:w="3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(160)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1,221</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(1,053)</w:t>
            </w:r>
          </w:p>
        </w:tc>
        <w:tc>
          <w:tcPr>
            <w:tcW w:w="1100" w:type="dxa"/>
            <w:vAlign w:val="bottom"/>
          </w:tcPr>
          <w:p>
            <w:pPr>
              <w:jc w:val="right"/>
              <w:ind w:right="621"/>
              <w:spacing w:after="0"/>
              <w:rPr>
                <w:sz w:val="20"/>
                <w:szCs w:val="20"/>
                <w:color w:val="auto"/>
              </w:rPr>
            </w:pPr>
            <w:r>
              <w:rPr>
                <w:rFonts w:ascii="Arial" w:cs="Arial" w:eastAsia="Arial" w:hAnsi="Arial"/>
                <w:sz w:val="16"/>
                <w:szCs w:val="16"/>
                <w:color w:val="auto"/>
              </w:rPr>
              <w:t>** $</w:t>
            </w: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(7)</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42"/>
              <w:spacing w:after="0"/>
              <w:rPr>
                <w:sz w:val="20"/>
                <w:szCs w:val="20"/>
                <w:color w:val="auto"/>
              </w:rPr>
            </w:pPr>
            <w:r>
              <w:rPr>
                <w:rFonts w:ascii="Arial" w:cs="Arial" w:eastAsia="Arial" w:hAnsi="Arial"/>
                <w:sz w:val="16"/>
                <w:szCs w:val="16"/>
                <w:color w:val="auto"/>
              </w:rPr>
              <w:t>624</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81,482</w:t>
            </w: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4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Year Ended September 30, 2012</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(571)</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896</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285</w:t>
            </w:r>
          </w:p>
        </w:tc>
        <w:tc>
          <w:tcPr>
            <w:tcW w:w="1100" w:type="dxa"/>
            <w:vAlign w:val="bottom"/>
            <w:shd w:val="clear" w:color="auto" w:fill="CCEEFF"/>
          </w:tcPr>
          <w:p>
            <w:pPr>
              <w:jc w:val="right"/>
              <w:ind w:right="621"/>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13</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623</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74,045</w:t>
            </w:r>
          </w:p>
        </w:tc>
        <w:tc>
          <w:tcPr>
            <w:tcW w:w="0" w:type="dxa"/>
            <w:vAlign w:val="bottom"/>
          </w:tcPr>
          <w:p>
            <w:pPr>
              <w:spacing w:after="0"/>
              <w:rPr>
                <w:sz w:val="1"/>
                <w:szCs w:val="1"/>
                <w:color w:val="auto"/>
              </w:rPr>
            </w:pPr>
          </w:p>
        </w:tc>
      </w:tr>
      <w:tr>
        <w:trPr>
          <w:trHeight w:val="33"/>
        </w:trPr>
        <w:tc>
          <w:tcPr>
            <w:tcW w:w="34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6"/>
          <w:szCs w:val="16"/>
          <w:color w:val="auto"/>
        </w:rPr>
        <w:t>* No comparative information is presented as amounts are included for periods subsequent to acquisition.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 Benefit in unsecured long-term consumer loan provision is due to the sale of past due loans and recoveries of loans previously written-off.</w:t>
      </w:r>
    </w:p>
    <w:p>
      <w:pPr>
        <w:spacing w:after="0" w:line="203"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The provisions presented in the table above include only principal and excludes items such as non-sufficient funds fees, repossession fees, auction fees and interest. In addition, all credit service expenses and fees related to loans made by our unaffiliated lenders are excluded, as we do not own the loans made in connection with our credit services and they are not recorded as assets on our balance sheets. Expected losses on credit services are accrued and reported in “Accounts payable and other accrued expenses” on our balance sheets.</w:t>
      </w:r>
    </w:p>
    <w:p>
      <w:pPr>
        <w:spacing w:after="0" w:line="133"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Auto title loans are our only consumer loans (other than those made by Crediamigo) that remain as recorded investments when in delinquent or nonaccrual status. We consider an auto title loan past due if it has not been repaid or renewed by the maturity date. Based on experience, we establish a reserve on all auto title loans. On auto title loans more than 90 days past due, we reserve the percentage we estimate will not be recoverable through auction and reserve 100% of loans for which we have not yet repossessed the underlying collateral. No fees are accrued on any auto title loans more than 90 days past due.</w:t>
      </w:r>
    </w:p>
    <w:p>
      <w:pPr>
        <w:spacing w:after="0" w:line="10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Consumer loans made by Crediamigo remain on the balance sheet as recorded investments when in delinquent status. We consider a consumer loan past due if it has not been repaid or renewed by the maturity date; however, it is not unusual to have a lag in payments due to the time it takes the government agencies to setup the initial payroll withholding. Only those consumer loans made to customers that are no longer employed are considered in nonaccrual status. We establish a reserve on all consumer loans, based on historical experience. No fees are accrued on any consumer loans made to customers that are no longer employed.</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an aging analysis of past due financing receivables by portfolio segment:</w:t>
      </w:r>
    </w:p>
    <w:p>
      <w:pPr>
        <w:spacing w:after="0" w:line="340" w:lineRule="exact"/>
        <w:rPr>
          <w:sz w:val="20"/>
          <w:szCs w:val="20"/>
          <w:color w:val="auto"/>
        </w:rPr>
      </w:pPr>
    </w:p>
    <w:tbl>
      <w:tblPr>
        <w:tblLayout w:type="fixed"/>
        <w:tblInd w:w="1840" w:type="dxa"/>
        <w:tblCellMar>
          <w:top w:w="0" w:type="dxa"/>
          <w:left w:w="0" w:type="dxa"/>
          <w:bottom w:w="0" w:type="dxa"/>
          <w:right w:w="0" w:type="dxa"/>
        </w:tblCellMar>
      </w:tblPr>
      <w:tr>
        <w:trPr>
          <w:trHeight w:val="149"/>
        </w:trPr>
        <w:tc>
          <w:tcPr>
            <w:tcW w:w="7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40" w:type="dxa"/>
            <w:vAlign w:val="bottom"/>
          </w:tcPr>
          <w:p>
            <w:pPr>
              <w:jc w:val="center"/>
              <w:ind w:left="176"/>
              <w:spacing w:after="0"/>
              <w:rPr>
                <w:sz w:val="20"/>
                <w:szCs w:val="20"/>
                <w:color w:val="auto"/>
              </w:rPr>
            </w:pPr>
            <w:r>
              <w:rPr>
                <w:rFonts w:ascii="Arial" w:cs="Arial" w:eastAsia="Arial" w:hAnsi="Arial"/>
                <w:sz w:val="13"/>
                <w:szCs w:val="13"/>
                <w:b w:val="1"/>
                <w:bCs w:val="1"/>
                <w:color w:val="auto"/>
                <w:w w:val="86"/>
              </w:rPr>
              <w:t>Recorded</w:t>
            </w:r>
          </w:p>
        </w:tc>
      </w:tr>
      <w:tr>
        <w:trPr>
          <w:trHeight w:val="135"/>
        </w:trPr>
        <w:tc>
          <w:tcPr>
            <w:tcW w:w="7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Total</w:t>
            </w:r>
          </w:p>
        </w:tc>
        <w:tc>
          <w:tcPr>
            <w:tcW w:w="1020" w:type="dxa"/>
            <w:vAlign w:val="bottom"/>
          </w:tcPr>
          <w:p>
            <w:pPr>
              <w:spacing w:after="0"/>
              <w:rPr>
                <w:sz w:val="11"/>
                <w:szCs w:val="11"/>
                <w:color w:val="auto"/>
              </w:rPr>
            </w:pPr>
          </w:p>
        </w:tc>
        <w:tc>
          <w:tcPr>
            <w:tcW w:w="840" w:type="dxa"/>
            <w:vAlign w:val="bottom"/>
          </w:tcPr>
          <w:p>
            <w:pPr>
              <w:jc w:val="center"/>
              <w:ind w:left="156"/>
              <w:spacing w:after="0" w:line="135" w:lineRule="exact"/>
              <w:rPr>
                <w:sz w:val="20"/>
                <w:szCs w:val="20"/>
                <w:color w:val="auto"/>
              </w:rPr>
            </w:pPr>
            <w:r>
              <w:rPr>
                <w:rFonts w:ascii="Arial" w:cs="Arial" w:eastAsia="Arial" w:hAnsi="Arial"/>
                <w:sz w:val="13"/>
                <w:szCs w:val="13"/>
                <w:b w:val="1"/>
                <w:bCs w:val="1"/>
                <w:color w:val="auto"/>
                <w:w w:val="90"/>
              </w:rPr>
              <w:t>Investment</w:t>
            </w:r>
          </w:p>
        </w:tc>
      </w:tr>
      <w:tr>
        <w:trPr>
          <w:trHeight w:val="175"/>
        </w:trPr>
        <w:tc>
          <w:tcPr>
            <w:tcW w:w="7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b w:val="1"/>
                <w:bCs w:val="1"/>
                <w:color w:val="auto"/>
                <w:w w:val="84"/>
              </w:rPr>
              <w:t>Days Past Due</w:t>
            </w:r>
          </w:p>
        </w:tc>
        <w:tc>
          <w:tcPr>
            <w:tcW w:w="860" w:type="dxa"/>
            <w:vAlign w:val="bottom"/>
            <w:tcBorders>
              <w:bottom w:val="single" w:sz="8" w:color="auto"/>
            </w:tcBorders>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w w:val="89"/>
              </w:rPr>
              <w:t>Total</w:t>
            </w:r>
          </w:p>
        </w:tc>
        <w:tc>
          <w:tcPr>
            <w:tcW w:w="1000" w:type="dxa"/>
            <w:vAlign w:val="bottom"/>
          </w:tcPr>
          <w:p>
            <w:pPr>
              <w:jc w:val="center"/>
              <w:ind w:left="16"/>
              <w:spacing w:after="0"/>
              <w:rPr>
                <w:sz w:val="20"/>
                <w:szCs w:val="20"/>
                <w:color w:val="auto"/>
              </w:rPr>
            </w:pPr>
            <w:r>
              <w:rPr>
                <w:rFonts w:ascii="Arial" w:cs="Arial" w:eastAsia="Arial" w:hAnsi="Arial"/>
                <w:sz w:val="13"/>
                <w:szCs w:val="13"/>
                <w:b w:val="1"/>
                <w:bCs w:val="1"/>
                <w:color w:val="auto"/>
                <w:w w:val="93"/>
              </w:rPr>
              <w:t>Current</w:t>
            </w:r>
          </w:p>
        </w:tc>
        <w:tc>
          <w:tcPr>
            <w:tcW w:w="1120" w:type="dxa"/>
            <w:vAlign w:val="bottom"/>
          </w:tcPr>
          <w:p>
            <w:pPr>
              <w:ind w:left="180"/>
              <w:spacing w:after="0"/>
              <w:rPr>
                <w:sz w:val="20"/>
                <w:szCs w:val="20"/>
                <w:color w:val="auto"/>
              </w:rPr>
            </w:pPr>
            <w:r>
              <w:rPr>
                <w:rFonts w:ascii="Arial" w:cs="Arial" w:eastAsia="Arial" w:hAnsi="Arial"/>
                <w:sz w:val="13"/>
                <w:szCs w:val="13"/>
                <w:b w:val="1"/>
                <w:bCs w:val="1"/>
                <w:color w:val="auto"/>
              </w:rPr>
              <w:t>Fair Value</w:t>
            </w: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87"/>
              </w:rPr>
              <w:t>Financing</w:t>
            </w:r>
          </w:p>
        </w:tc>
        <w:tc>
          <w:tcPr>
            <w:tcW w:w="1020" w:type="dxa"/>
            <w:vAlign w:val="bottom"/>
          </w:tcPr>
          <w:p>
            <w:pPr>
              <w:ind w:left="140"/>
              <w:spacing w:after="0"/>
              <w:rPr>
                <w:sz w:val="20"/>
                <w:szCs w:val="20"/>
                <w:color w:val="auto"/>
              </w:rPr>
            </w:pPr>
            <w:r>
              <w:rPr>
                <w:rFonts w:ascii="Arial" w:cs="Arial" w:eastAsia="Arial" w:hAnsi="Arial"/>
                <w:sz w:val="13"/>
                <w:szCs w:val="13"/>
                <w:b w:val="1"/>
                <w:bCs w:val="1"/>
                <w:color w:val="auto"/>
              </w:rPr>
              <w:t>Allowance</w:t>
            </w:r>
          </w:p>
        </w:tc>
        <w:tc>
          <w:tcPr>
            <w:tcW w:w="840" w:type="dxa"/>
            <w:vAlign w:val="bottom"/>
          </w:tcPr>
          <w:p>
            <w:pPr>
              <w:jc w:val="center"/>
              <w:ind w:left="156"/>
              <w:spacing w:after="0"/>
              <w:rPr>
                <w:sz w:val="20"/>
                <w:szCs w:val="20"/>
                <w:color w:val="auto"/>
              </w:rPr>
            </w:pPr>
            <w:r>
              <w:rPr>
                <w:rFonts w:ascii="Arial" w:cs="Arial" w:eastAsia="Arial" w:hAnsi="Arial"/>
                <w:sz w:val="13"/>
                <w:szCs w:val="13"/>
                <w:b w:val="1"/>
                <w:bCs w:val="1"/>
                <w:color w:val="auto"/>
                <w:w w:val="89"/>
              </w:rPr>
              <w:t>&gt; 90 Days</w:t>
            </w:r>
          </w:p>
        </w:tc>
      </w:tr>
      <w:tr>
        <w:trPr>
          <w:trHeight w:val="254"/>
        </w:trPr>
        <w:tc>
          <w:tcPr>
            <w:tcW w:w="780" w:type="dxa"/>
            <w:vAlign w:val="bottom"/>
          </w:tcPr>
          <w:p>
            <w:pPr>
              <w:jc w:val="right"/>
              <w:ind w:right="236"/>
              <w:spacing w:after="0"/>
              <w:rPr>
                <w:sz w:val="20"/>
                <w:szCs w:val="20"/>
                <w:color w:val="auto"/>
              </w:rPr>
            </w:pPr>
            <w:r>
              <w:rPr>
                <w:rFonts w:ascii="Arial" w:cs="Arial" w:eastAsia="Arial" w:hAnsi="Arial"/>
                <w:sz w:val="13"/>
                <w:szCs w:val="13"/>
                <w:b w:val="1"/>
                <w:bCs w:val="1"/>
                <w:color w:val="auto"/>
              </w:rPr>
              <w:t>1-30</w:t>
            </w:r>
          </w:p>
        </w:tc>
        <w:tc>
          <w:tcPr>
            <w:tcW w:w="620" w:type="dxa"/>
            <w:vAlign w:val="bottom"/>
          </w:tcPr>
          <w:p>
            <w:pPr>
              <w:jc w:val="right"/>
              <w:spacing w:after="0"/>
              <w:rPr>
                <w:sz w:val="20"/>
                <w:szCs w:val="20"/>
                <w:color w:val="auto"/>
              </w:rPr>
            </w:pPr>
            <w:r>
              <w:rPr>
                <w:rFonts w:ascii="Arial" w:cs="Arial" w:eastAsia="Arial" w:hAnsi="Arial"/>
                <w:sz w:val="13"/>
                <w:szCs w:val="13"/>
                <w:b w:val="1"/>
                <w:bCs w:val="1"/>
                <w:color w:val="auto"/>
              </w:rPr>
              <w:t>31-60</w:t>
            </w:r>
          </w:p>
        </w:tc>
        <w:tc>
          <w:tcPr>
            <w:tcW w:w="1280" w:type="dxa"/>
            <w:vAlign w:val="bottom"/>
          </w:tcPr>
          <w:p>
            <w:pPr>
              <w:jc w:val="right"/>
              <w:ind w:right="276"/>
              <w:spacing w:after="0"/>
              <w:rPr>
                <w:sz w:val="20"/>
                <w:szCs w:val="20"/>
                <w:color w:val="auto"/>
              </w:rPr>
            </w:pPr>
            <w:r>
              <w:rPr>
                <w:rFonts w:ascii="Arial" w:cs="Arial" w:eastAsia="Arial" w:hAnsi="Arial"/>
                <w:sz w:val="13"/>
                <w:szCs w:val="13"/>
                <w:b w:val="1"/>
                <w:bCs w:val="1"/>
                <w:color w:val="auto"/>
              </w:rPr>
              <w:t>61-90</w:t>
            </w:r>
          </w:p>
        </w:tc>
        <w:tc>
          <w:tcPr>
            <w:tcW w:w="860" w:type="dxa"/>
            <w:vAlign w:val="bottom"/>
          </w:tcPr>
          <w:p>
            <w:pPr>
              <w:jc w:val="right"/>
              <w:ind w:right="236"/>
              <w:spacing w:after="0"/>
              <w:rPr>
                <w:sz w:val="20"/>
                <w:szCs w:val="20"/>
                <w:color w:val="auto"/>
              </w:rPr>
            </w:pPr>
            <w:r>
              <w:rPr>
                <w:rFonts w:ascii="Arial" w:cs="Arial" w:eastAsia="Arial" w:hAnsi="Arial"/>
                <w:sz w:val="13"/>
                <w:szCs w:val="13"/>
                <w:b w:val="1"/>
                <w:bCs w:val="1"/>
                <w:color w:val="auto"/>
              </w:rPr>
              <w:t>&gt;90</w:t>
            </w: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w w:val="86"/>
              </w:rPr>
              <w:t>Past Due</w:t>
            </w:r>
          </w:p>
        </w:tc>
        <w:tc>
          <w:tcPr>
            <w:tcW w:w="1000" w:type="dxa"/>
            <w:vAlign w:val="bottom"/>
          </w:tcPr>
          <w:p>
            <w:pPr>
              <w:jc w:val="center"/>
              <w:ind w:left="16"/>
              <w:spacing w:after="0"/>
              <w:rPr>
                <w:sz w:val="20"/>
                <w:szCs w:val="20"/>
                <w:color w:val="auto"/>
              </w:rPr>
            </w:pPr>
            <w:r>
              <w:rPr>
                <w:rFonts w:ascii="Arial" w:cs="Arial" w:eastAsia="Arial" w:hAnsi="Arial"/>
                <w:sz w:val="13"/>
                <w:szCs w:val="13"/>
                <w:b w:val="1"/>
                <w:bCs w:val="1"/>
                <w:color w:val="auto"/>
                <w:w w:val="88"/>
              </w:rPr>
              <w:t>Receivable</w:t>
            </w:r>
          </w:p>
        </w:tc>
        <w:tc>
          <w:tcPr>
            <w:tcW w:w="1120" w:type="dxa"/>
            <w:vAlign w:val="bottom"/>
          </w:tcPr>
          <w:p>
            <w:pPr>
              <w:ind w:left="280"/>
              <w:spacing w:after="0"/>
              <w:rPr>
                <w:sz w:val="20"/>
                <w:szCs w:val="20"/>
                <w:color w:val="auto"/>
              </w:rPr>
            </w:pPr>
            <w:r>
              <w:rPr>
                <w:rFonts w:ascii="Arial" w:cs="Arial" w:eastAsia="Arial" w:hAnsi="Arial"/>
                <w:sz w:val="13"/>
                <w:szCs w:val="13"/>
                <w:b w:val="1"/>
                <w:bCs w:val="1"/>
                <w:color w:val="auto"/>
              </w:rPr>
              <w:t>Adjustment</w:t>
            </w: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85"/>
              </w:rPr>
              <w:t>Receivable</w:t>
            </w:r>
          </w:p>
        </w:tc>
        <w:tc>
          <w:tcPr>
            <w:tcW w:w="1020" w:type="dxa"/>
            <w:vAlign w:val="bottom"/>
          </w:tcPr>
          <w:p>
            <w:pPr>
              <w:ind w:left="340"/>
              <w:spacing w:after="0"/>
              <w:rPr>
                <w:sz w:val="20"/>
                <w:szCs w:val="20"/>
                <w:color w:val="auto"/>
              </w:rPr>
            </w:pPr>
            <w:r>
              <w:rPr>
                <w:rFonts w:ascii="Arial" w:cs="Arial" w:eastAsia="Arial" w:hAnsi="Arial"/>
                <w:sz w:val="13"/>
                <w:szCs w:val="13"/>
                <w:b w:val="1"/>
                <w:bCs w:val="1"/>
                <w:color w:val="auto"/>
              </w:rPr>
              <w:t>Balance</w:t>
            </w:r>
          </w:p>
        </w:tc>
        <w:tc>
          <w:tcPr>
            <w:tcW w:w="840" w:type="dxa"/>
            <w:vAlign w:val="bottom"/>
          </w:tcPr>
          <w:p>
            <w:pPr>
              <w:jc w:val="center"/>
              <w:ind w:left="156"/>
              <w:spacing w:after="0"/>
              <w:rPr>
                <w:sz w:val="20"/>
                <w:szCs w:val="20"/>
                <w:color w:val="auto"/>
              </w:rPr>
            </w:pPr>
            <w:r>
              <w:rPr>
                <w:rFonts w:ascii="Arial" w:cs="Arial" w:eastAsia="Arial" w:hAnsi="Arial"/>
                <w:sz w:val="13"/>
                <w:szCs w:val="13"/>
                <w:b w:val="1"/>
                <w:bCs w:val="1"/>
                <w:color w:val="auto"/>
                <w:w w:val="88"/>
              </w:rPr>
              <w:t>Accruing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10160</wp:posOffset>
            </wp:positionV>
            <wp:extent cx="608012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080125" cy="8890"/>
                    </a:xfrm>
                    <a:prstGeom prst="rect">
                      <a:avLst/>
                    </a:prstGeom>
                    <a:noFill/>
                  </pic:spPr>
                </pic:pic>
              </a:graphicData>
            </a:graphic>
          </wp:anchor>
        </w:drawing>
      </w:r>
    </w:p>
    <w:p>
      <w:pPr>
        <w:spacing w:after="0" w:line="18" w:lineRule="exact"/>
        <w:rPr>
          <w:sz w:val="20"/>
          <w:szCs w:val="20"/>
          <w:color w:val="auto"/>
        </w:rPr>
      </w:pPr>
    </w:p>
    <w:p>
      <w:pPr>
        <w:ind w:left="6240"/>
        <w:spacing w:after="0"/>
        <w:rPr>
          <w:sz w:val="20"/>
          <w:szCs w:val="20"/>
          <w:color w:val="auto"/>
        </w:rPr>
      </w:pPr>
      <w:r>
        <w:rPr>
          <w:rFonts w:ascii="Arial" w:cs="Arial" w:eastAsia="Arial" w:hAnsi="Arial"/>
          <w:sz w:val="14"/>
          <w:szCs w:val="14"/>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Secured short-term consumer loans</w:t>
      </w:r>
    </w:p>
    <w:p>
      <w:pPr>
        <w:spacing w:after="0" w:line="85"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December 31,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tabs>
          <w:tab w:leader="none" w:pos="1860" w:val="left"/>
          <w:tab w:leader="none" w:pos="2680" w:val="left"/>
          <w:tab w:leader="none" w:pos="3100" w:val="left"/>
          <w:tab w:leader="none" w:pos="3620" w:val="left"/>
          <w:tab w:leader="none" w:pos="4060" w:val="left"/>
          <w:tab w:leader="none" w:pos="4560" w:val="left"/>
          <w:tab w:leader="none" w:pos="5000" w:val="left"/>
          <w:tab w:leader="none" w:pos="5520" w:val="left"/>
          <w:tab w:leader="none" w:pos="5800" w:val="left"/>
          <w:tab w:leader="none" w:pos="6420" w:val="left"/>
          <w:tab w:leader="none" w:pos="6920" w:val="left"/>
          <w:tab w:leader="none" w:pos="7540" w:val="left"/>
          <w:tab w:leader="none" w:pos="8140" w:val="left"/>
          <w:tab w:leader="none" w:pos="8540" w:val="left"/>
          <w:tab w:leader="none" w:pos="8920" w:val="left"/>
          <w:tab w:leader="none" w:pos="9540" w:val="left"/>
          <w:tab w:leader="none" w:pos="9920" w:val="left"/>
          <w:tab w:leader="none" w:pos="10540" w:val="left"/>
          <w:tab w:leader="none" w:pos="11120" w:val="left"/>
        </w:tabs>
        <w:rPr>
          <w:sz w:val="20"/>
          <w:szCs w:val="20"/>
          <w:color w:val="auto"/>
        </w:rPr>
      </w:pPr>
      <w:r>
        <w:rPr>
          <w:rFonts w:ascii="Arial" w:cs="Arial" w:eastAsia="Arial" w:hAnsi="Arial"/>
          <w:sz w:val="16"/>
          <w:szCs w:val="16"/>
          <w:color w:val="auto"/>
        </w:rPr>
        <w:t>Consumer loans</w:t>
      </w:r>
      <w:r>
        <w:rPr>
          <w:sz w:val="20"/>
          <w:szCs w:val="20"/>
          <w:color w:val="auto"/>
        </w:rPr>
        <w:tab/>
      </w:r>
      <w:r>
        <w:rPr>
          <w:rFonts w:ascii="Arial" w:cs="Arial" w:eastAsia="Arial" w:hAnsi="Arial"/>
          <w:sz w:val="16"/>
          <w:szCs w:val="16"/>
          <w:color w:val="auto"/>
        </w:rPr>
        <w:t>$  1,316</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695</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471</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860</w:t>
      </w:r>
      <w:r>
        <w:rPr>
          <w:sz w:val="20"/>
          <w:szCs w:val="20"/>
          <w:color w:val="auto"/>
        </w:rPr>
        <w:tab/>
      </w:r>
      <w:r>
        <w:rPr>
          <w:rFonts w:ascii="Arial" w:cs="Arial" w:eastAsia="Arial" w:hAnsi="Arial"/>
          <w:sz w:val="16"/>
          <w:szCs w:val="16"/>
          <w:color w:val="auto"/>
        </w:rPr>
        <w:t>$</w:t>
        <w:tab/>
        <w:t>3,342</w:t>
        <w:tab/>
        <w:t>$</w:t>
      </w:r>
      <w:r>
        <w:rPr>
          <w:sz w:val="20"/>
          <w:szCs w:val="20"/>
          <w:color w:val="auto"/>
        </w:rPr>
        <w:tab/>
      </w:r>
      <w:r>
        <w:rPr>
          <w:rFonts w:ascii="Arial" w:cs="Arial" w:eastAsia="Arial" w:hAnsi="Arial"/>
          <w:sz w:val="16"/>
          <w:szCs w:val="16"/>
          <w:color w:val="auto"/>
        </w:rPr>
        <w:t>3,922</w:t>
        <w:tab/>
        <w:t>$</w:t>
      </w:r>
      <w:r>
        <w:rPr>
          <w:sz w:val="20"/>
          <w:szCs w:val="20"/>
          <w:color w:val="auto"/>
        </w:rPr>
        <w:tab/>
      </w:r>
      <w:r>
        <w:rPr>
          <w:rFonts w:ascii="Arial" w:cs="Arial" w:eastAsia="Arial" w:hAnsi="Arial"/>
          <w:sz w:val="16"/>
          <w:szCs w:val="16"/>
          <w:color w:val="auto"/>
        </w:rPr>
        <w:t>—</w:t>
        <w:tab/>
        <w:t>$</w:t>
      </w:r>
      <w:r>
        <w:rPr>
          <w:sz w:val="20"/>
          <w:szCs w:val="20"/>
          <w:color w:val="auto"/>
        </w:rPr>
        <w:tab/>
      </w:r>
      <w:r>
        <w:rPr>
          <w:rFonts w:ascii="Arial" w:cs="Arial" w:eastAsia="Arial" w:hAnsi="Arial"/>
          <w:sz w:val="16"/>
          <w:szCs w:val="16"/>
          <w:color w:val="auto"/>
        </w:rPr>
        <w:t>7,264</w:t>
        <w:tab/>
        <w:t>$</w:t>
      </w:r>
      <w:r>
        <w:rPr>
          <w:sz w:val="20"/>
          <w:szCs w:val="20"/>
          <w:color w:val="auto"/>
        </w:rPr>
        <w:tab/>
      </w:r>
      <w:r>
        <w:rPr>
          <w:rFonts w:ascii="Arial" w:cs="Arial" w:eastAsia="Arial" w:hAnsi="Arial"/>
          <w:sz w:val="16"/>
          <w:szCs w:val="16"/>
          <w:color w:val="auto"/>
        </w:rPr>
        <w:t>1,473</w:t>
        <w:tab/>
        <w:t>$</w:t>
      </w:r>
      <w:r>
        <w:rPr>
          <w:sz w:val="20"/>
          <w:szCs w:val="20"/>
          <w:color w:val="auto"/>
        </w:rPr>
        <w:tab/>
      </w:r>
      <w:r>
        <w:rPr>
          <w:rFonts w:ascii="Arial" w:cs="Arial" w:eastAsia="Arial" w:hAnsi="Arial"/>
          <w:sz w:val="16"/>
          <w:szCs w:val="16"/>
          <w:color w:val="auto"/>
        </w:rPr>
        <w: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December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tabs>
          <w:tab w:leader="none" w:pos="1860" w:val="left"/>
          <w:tab w:leader="none" w:pos="2160" w:val="left"/>
          <w:tab w:leader="none" w:pos="2680" w:val="left"/>
          <w:tab w:leader="none" w:pos="3100" w:val="left"/>
          <w:tab w:leader="none" w:pos="3620" w:val="left"/>
          <w:tab w:leader="none" w:pos="4060" w:val="left"/>
          <w:tab w:leader="none" w:pos="4560" w:val="left"/>
          <w:tab w:leader="none" w:pos="5000" w:val="left"/>
          <w:tab w:leader="none" w:pos="5520" w:val="left"/>
          <w:tab w:leader="none" w:pos="5800" w:val="left"/>
          <w:tab w:leader="none" w:pos="6420" w:val="left"/>
          <w:tab w:leader="none" w:pos="6920" w:val="left"/>
          <w:tab w:leader="none" w:pos="7540" w:val="left"/>
          <w:tab w:leader="none" w:pos="8140" w:val="left"/>
          <w:tab w:leader="none" w:pos="8540" w:val="left"/>
          <w:tab w:leader="none" w:pos="8920" w:val="left"/>
          <w:tab w:leader="none" w:pos="9540" w:val="left"/>
          <w:tab w:leader="none" w:pos="10040" w:val="left"/>
          <w:tab w:leader="none" w:pos="10540" w:val="left"/>
          <w:tab w:leader="none" w:pos="11120" w:val="left"/>
        </w:tabs>
        <w:rPr>
          <w:sz w:val="20"/>
          <w:szCs w:val="20"/>
          <w:color w:val="auto"/>
        </w:rPr>
      </w:pPr>
      <w:r>
        <w:rPr>
          <w:rFonts w:ascii="Arial" w:cs="Arial" w:eastAsia="Arial" w:hAnsi="Arial"/>
          <w:sz w:val="16"/>
          <w:szCs w:val="16"/>
          <w:color w:val="auto"/>
        </w:rPr>
        <w:t>Consumer loans</w:t>
      </w:r>
      <w:r>
        <w:rPr>
          <w:sz w:val="20"/>
          <w:szCs w:val="20"/>
          <w:color w:val="auto"/>
        </w:rPr>
        <w:tab/>
      </w:r>
      <w:r>
        <w:rPr>
          <w:rFonts w:ascii="Arial" w:cs="Arial" w:eastAsia="Arial" w:hAnsi="Arial"/>
          <w:sz w:val="16"/>
          <w:szCs w:val="16"/>
          <w:color w:val="auto"/>
        </w:rPr>
        <w:t>$</w:t>
        <w:tab/>
        <w:t>659</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445</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424</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592</w:t>
      </w:r>
      <w:r>
        <w:rPr>
          <w:sz w:val="20"/>
          <w:szCs w:val="20"/>
          <w:color w:val="auto"/>
        </w:rPr>
        <w:tab/>
      </w:r>
      <w:r>
        <w:rPr>
          <w:rFonts w:ascii="Arial" w:cs="Arial" w:eastAsia="Arial" w:hAnsi="Arial"/>
          <w:sz w:val="16"/>
          <w:szCs w:val="16"/>
          <w:color w:val="auto"/>
        </w:rPr>
        <w:t>$</w:t>
        <w:tab/>
        <w:t>2,120</w:t>
        <w:tab/>
        <w:t>$</w:t>
      </w:r>
      <w:r>
        <w:rPr>
          <w:sz w:val="20"/>
          <w:szCs w:val="20"/>
          <w:color w:val="auto"/>
        </w:rPr>
        <w:tab/>
      </w:r>
      <w:r>
        <w:rPr>
          <w:rFonts w:ascii="Arial" w:cs="Arial" w:eastAsia="Arial" w:hAnsi="Arial"/>
          <w:sz w:val="16"/>
          <w:szCs w:val="16"/>
          <w:color w:val="auto"/>
        </w:rPr>
        <w:t>2,374</w:t>
        <w:tab/>
        <w:t>$</w:t>
      </w:r>
      <w:r>
        <w:rPr>
          <w:sz w:val="20"/>
          <w:szCs w:val="20"/>
          <w:color w:val="auto"/>
        </w:rPr>
        <w:tab/>
      </w:r>
      <w:r>
        <w:rPr>
          <w:rFonts w:ascii="Arial" w:cs="Arial" w:eastAsia="Arial" w:hAnsi="Arial"/>
          <w:sz w:val="16"/>
          <w:szCs w:val="16"/>
          <w:color w:val="auto"/>
        </w:rPr>
        <w:t>—</w:t>
        <w:tab/>
        <w:t>$</w:t>
      </w:r>
      <w:r>
        <w:rPr>
          <w:sz w:val="20"/>
          <w:szCs w:val="20"/>
          <w:color w:val="auto"/>
        </w:rPr>
        <w:tab/>
      </w:r>
      <w:r>
        <w:rPr>
          <w:rFonts w:ascii="Arial" w:cs="Arial" w:eastAsia="Arial" w:hAnsi="Arial"/>
          <w:sz w:val="16"/>
          <w:szCs w:val="16"/>
          <w:color w:val="auto"/>
        </w:rPr>
        <w:t>4,494</w:t>
        <w:tab/>
        <w:t>$</w:t>
      </w:r>
      <w:r>
        <w:rPr>
          <w:sz w:val="20"/>
          <w:szCs w:val="20"/>
          <w:color w:val="auto"/>
        </w:rPr>
        <w:tab/>
      </w:r>
      <w:r>
        <w:rPr>
          <w:rFonts w:ascii="Arial" w:cs="Arial" w:eastAsia="Arial" w:hAnsi="Arial"/>
          <w:sz w:val="16"/>
          <w:szCs w:val="16"/>
          <w:color w:val="auto"/>
        </w:rPr>
        <w:t>982</w:t>
        <w:tab/>
        <w:t>$</w:t>
      </w:r>
      <w:r>
        <w:rPr>
          <w:sz w:val="20"/>
          <w:szCs w:val="20"/>
          <w:color w:val="auto"/>
        </w:rPr>
        <w:tab/>
      </w:r>
      <w:r>
        <w:rPr>
          <w:rFonts w:ascii="Arial" w:cs="Arial" w:eastAsia="Arial" w:hAnsi="Arial"/>
          <w:sz w:val="16"/>
          <w:szCs w:val="16"/>
          <w:color w:val="auto"/>
        </w:rPr>
        <w: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September 30,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tabs>
          <w:tab w:leader="none" w:pos="1860" w:val="left"/>
          <w:tab w:leader="none" w:pos="2680" w:val="left"/>
          <w:tab w:leader="none" w:pos="3100" w:val="left"/>
          <w:tab w:leader="none" w:pos="3620" w:val="left"/>
          <w:tab w:leader="none" w:pos="4060" w:val="left"/>
          <w:tab w:leader="none" w:pos="4560" w:val="left"/>
          <w:tab w:leader="none" w:pos="5000" w:val="left"/>
          <w:tab w:leader="none" w:pos="5520" w:val="left"/>
          <w:tab w:leader="none" w:pos="5820" w:val="left"/>
          <w:tab w:leader="none" w:pos="6420" w:val="left"/>
          <w:tab w:leader="none" w:pos="6920" w:val="left"/>
          <w:tab w:leader="none" w:pos="7540" w:val="left"/>
          <w:tab w:leader="none" w:pos="8140" w:val="left"/>
          <w:tab w:leader="none" w:pos="8540" w:val="left"/>
          <w:tab w:leader="none" w:pos="8920" w:val="left"/>
          <w:tab w:leader="none" w:pos="9540" w:val="left"/>
          <w:tab w:leader="none" w:pos="10040" w:val="left"/>
          <w:tab w:leader="none" w:pos="10540" w:val="left"/>
          <w:tab w:leader="none" w:pos="11120" w:val="left"/>
        </w:tabs>
        <w:rPr>
          <w:sz w:val="20"/>
          <w:szCs w:val="20"/>
          <w:color w:val="auto"/>
        </w:rPr>
      </w:pPr>
      <w:r>
        <w:rPr>
          <w:rFonts w:ascii="Arial" w:cs="Arial" w:eastAsia="Arial" w:hAnsi="Arial"/>
          <w:sz w:val="16"/>
          <w:szCs w:val="16"/>
          <w:color w:val="auto"/>
        </w:rPr>
        <w:t>Consumer loans</w:t>
      </w:r>
      <w:r>
        <w:rPr>
          <w:sz w:val="20"/>
          <w:szCs w:val="20"/>
          <w:color w:val="auto"/>
        </w:rPr>
        <w:tab/>
      </w:r>
      <w:r>
        <w:rPr>
          <w:rFonts w:ascii="Arial" w:cs="Arial" w:eastAsia="Arial" w:hAnsi="Arial"/>
          <w:sz w:val="16"/>
          <w:szCs w:val="16"/>
          <w:color w:val="auto"/>
        </w:rPr>
        <w:t>$  1,246</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708</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466</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391</w:t>
      </w:r>
      <w:r>
        <w:rPr>
          <w:sz w:val="20"/>
          <w:szCs w:val="20"/>
          <w:color w:val="auto"/>
        </w:rPr>
        <w:tab/>
      </w:r>
      <w:r>
        <w:rPr>
          <w:rFonts w:ascii="Arial" w:cs="Arial" w:eastAsia="Arial" w:hAnsi="Arial"/>
          <w:sz w:val="16"/>
          <w:szCs w:val="16"/>
          <w:color w:val="auto"/>
        </w:rPr>
        <w:t>$</w:t>
        <w:tab/>
        <w:t>2,811</w:t>
        <w:tab/>
        <w:t>$</w:t>
      </w:r>
      <w:r>
        <w:rPr>
          <w:sz w:val="20"/>
          <w:szCs w:val="20"/>
          <w:color w:val="auto"/>
        </w:rPr>
        <w:tab/>
      </w:r>
      <w:r>
        <w:rPr>
          <w:rFonts w:ascii="Arial" w:cs="Arial" w:eastAsia="Arial" w:hAnsi="Arial"/>
          <w:sz w:val="16"/>
          <w:szCs w:val="16"/>
          <w:color w:val="auto"/>
        </w:rPr>
        <w:t>3,140</w:t>
        <w:tab/>
        <w:t>$</w:t>
      </w:r>
      <w:r>
        <w:rPr>
          <w:sz w:val="20"/>
          <w:szCs w:val="20"/>
          <w:color w:val="auto"/>
        </w:rPr>
        <w:tab/>
      </w:r>
      <w:r>
        <w:rPr>
          <w:rFonts w:ascii="Arial" w:cs="Arial" w:eastAsia="Arial" w:hAnsi="Arial"/>
          <w:sz w:val="16"/>
          <w:szCs w:val="16"/>
          <w:color w:val="auto"/>
        </w:rPr>
        <w:t>—</w:t>
        <w:tab/>
        <w:t>$</w:t>
      </w:r>
      <w:r>
        <w:rPr>
          <w:sz w:val="20"/>
          <w:szCs w:val="20"/>
          <w:color w:val="auto"/>
        </w:rPr>
        <w:tab/>
      </w:r>
      <w:r>
        <w:rPr>
          <w:rFonts w:ascii="Arial" w:cs="Arial" w:eastAsia="Arial" w:hAnsi="Arial"/>
          <w:sz w:val="16"/>
          <w:szCs w:val="16"/>
          <w:color w:val="auto"/>
        </w:rPr>
        <w:t>5,951</w:t>
        <w:tab/>
        <w:t>$</w:t>
      </w:r>
      <w:r>
        <w:rPr>
          <w:sz w:val="20"/>
          <w:szCs w:val="20"/>
          <w:color w:val="auto"/>
        </w:rPr>
        <w:tab/>
      </w:r>
      <w:r>
        <w:rPr>
          <w:rFonts w:ascii="Arial" w:cs="Arial" w:eastAsia="Arial" w:hAnsi="Arial"/>
          <w:sz w:val="16"/>
          <w:szCs w:val="16"/>
          <w:color w:val="auto"/>
        </w:rPr>
        <w:t>942</w:t>
        <w:tab/>
        <w:t>$</w:t>
      </w:r>
      <w:r>
        <w:rPr>
          <w:sz w:val="20"/>
          <w:szCs w:val="20"/>
          <w:color w:val="auto"/>
        </w:rPr>
        <w:tab/>
      </w:r>
      <w:r>
        <w:rPr>
          <w:rFonts w:ascii="Arial" w:cs="Arial" w:eastAsia="Arial" w:hAnsi="Arial"/>
          <w:sz w:val="16"/>
          <w:szCs w:val="16"/>
          <w:color w:val="auto"/>
        </w:rPr>
        <w:t>—</w:t>
      </w:r>
    </w:p>
    <w:p>
      <w:pPr>
        <w:spacing w:after="0" w:line="8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Unsecured long-term consumer loans: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70"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December 31, 2012</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660" w:type="dxa"/>
            <w:vAlign w:val="bottom"/>
          </w:tcPr>
          <w:p>
            <w:pPr>
              <w:ind w:left="380"/>
              <w:spacing w:after="0"/>
              <w:rPr>
                <w:sz w:val="20"/>
                <w:szCs w:val="20"/>
                <w:color w:val="auto"/>
              </w:rPr>
            </w:pPr>
            <w:r>
              <w:rPr>
                <w:rFonts w:ascii="Arial" w:cs="Arial" w:eastAsia="Arial" w:hAnsi="Arial"/>
                <w:sz w:val="16"/>
                <w:szCs w:val="16"/>
                <w:color w:val="auto"/>
              </w:rPr>
              <w:t>Consumer loans</w:t>
            </w: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5,485</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2,200</w:t>
            </w:r>
          </w:p>
        </w:tc>
        <w:tc>
          <w:tcPr>
            <w:tcW w:w="300" w:type="dxa"/>
            <w:vAlign w:val="bottom"/>
          </w:tcPr>
          <w:p>
            <w:pPr>
              <w:spacing w:after="0"/>
              <w:rPr>
                <w:sz w:val="17"/>
                <w:szCs w:val="17"/>
                <w:color w:val="auto"/>
              </w:rPr>
            </w:pPr>
          </w:p>
        </w:tc>
        <w:tc>
          <w:tcPr>
            <w:tcW w:w="660" w:type="dxa"/>
            <w:vAlign w:val="bottom"/>
          </w:tcPr>
          <w:p>
            <w:pPr>
              <w:jc w:val="right"/>
              <w:ind w:right="59"/>
              <w:spacing w:after="0"/>
              <w:rPr>
                <w:sz w:val="20"/>
                <w:szCs w:val="20"/>
                <w:color w:val="auto"/>
              </w:rPr>
            </w:pPr>
            <w:r>
              <w:rPr>
                <w:rFonts w:ascii="Arial" w:cs="Arial" w:eastAsia="Arial" w:hAnsi="Arial"/>
                <w:sz w:val="16"/>
                <w:szCs w:val="16"/>
                <w:color w:val="auto"/>
              </w:rPr>
              <w:t>18,852</w:t>
            </w: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13,214</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39,751</w:t>
            </w:r>
          </w:p>
        </w:tc>
        <w:tc>
          <w:tcPr>
            <w:tcW w:w="380" w:type="dxa"/>
            <w:vAlign w:val="bottom"/>
          </w:tcPr>
          <w:p>
            <w:pPr>
              <w:spacing w:after="0"/>
              <w:rPr>
                <w:sz w:val="17"/>
                <w:szCs w:val="17"/>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43,664</w:t>
            </w:r>
          </w:p>
        </w:tc>
        <w:tc>
          <w:tcPr>
            <w:tcW w:w="320" w:type="dxa"/>
            <w:vAlign w:val="bottom"/>
          </w:tcPr>
          <w:p>
            <w:pPr>
              <w:spacing w:after="0"/>
              <w:rPr>
                <w:sz w:val="17"/>
                <w:szCs w:val="17"/>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(1,933)</w:t>
            </w:r>
          </w:p>
        </w:tc>
        <w:tc>
          <w:tcPr>
            <w:tcW w:w="300" w:type="dxa"/>
            <w:vAlign w:val="bottom"/>
          </w:tcPr>
          <w:p>
            <w:pPr>
              <w:spacing w:after="0"/>
              <w:rPr>
                <w:sz w:val="17"/>
                <w:szCs w:val="17"/>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81,482</w:t>
            </w:r>
          </w:p>
        </w:tc>
        <w:tc>
          <w:tcPr>
            <w:tcW w:w="420" w:type="dxa"/>
            <w:vAlign w:val="bottom"/>
          </w:tcPr>
          <w:p>
            <w:pPr>
              <w:spacing w:after="0"/>
              <w:rPr>
                <w:sz w:val="17"/>
                <w:szCs w:val="17"/>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624</w:t>
            </w:r>
          </w:p>
        </w:tc>
        <w:tc>
          <w:tcPr>
            <w:tcW w:w="320" w:type="dxa"/>
            <w:vAlign w:val="bottom"/>
          </w:tcPr>
          <w:p>
            <w:pPr>
              <w:spacing w:after="0"/>
              <w:rPr>
                <w:sz w:val="17"/>
                <w:szCs w:val="17"/>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13,214</w:t>
            </w:r>
          </w:p>
        </w:tc>
      </w:tr>
      <w:tr>
        <w:trPr>
          <w:trHeight w:val="33"/>
        </w:trPr>
        <w:tc>
          <w:tcPr>
            <w:tcW w:w="1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1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September 30, 2012</w:t>
            </w:r>
          </w:p>
        </w:tc>
        <w:tc>
          <w:tcPr>
            <w:tcW w:w="9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r>
      <w:tr>
        <w:trPr>
          <w:trHeight w:val="237"/>
        </w:trPr>
        <w:tc>
          <w:tcPr>
            <w:tcW w:w="1660" w:type="dxa"/>
            <w:vAlign w:val="bottom"/>
          </w:tcPr>
          <w:p>
            <w:pPr>
              <w:ind w:left="380"/>
              <w:spacing w:after="0"/>
              <w:rPr>
                <w:sz w:val="20"/>
                <w:szCs w:val="20"/>
                <w:color w:val="auto"/>
              </w:rPr>
            </w:pPr>
            <w:r>
              <w:rPr>
                <w:rFonts w:ascii="Arial" w:cs="Arial" w:eastAsia="Arial" w:hAnsi="Arial"/>
                <w:sz w:val="16"/>
                <w:szCs w:val="16"/>
                <w:color w:val="auto"/>
              </w:rPr>
              <w:t>Consumer loans</w:t>
            </w: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  2,465</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  28,783</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59"/>
              <w:spacing w:after="0"/>
              <w:rPr>
                <w:sz w:val="20"/>
                <w:szCs w:val="20"/>
                <w:color w:val="auto"/>
              </w:rPr>
            </w:pPr>
            <w:r>
              <w:rPr>
                <w:rFonts w:ascii="Arial" w:cs="Arial" w:eastAsia="Arial" w:hAnsi="Arial"/>
                <w:sz w:val="16"/>
                <w:szCs w:val="16"/>
                <w:color w:val="auto"/>
              </w:rPr>
              <w:t>949</w:t>
            </w: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   7,507</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  39,704</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37,120</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(2,779)</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74,045</w:t>
            </w:r>
          </w:p>
        </w:tc>
        <w:tc>
          <w:tcPr>
            <w:tcW w:w="4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623</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7,507</w:t>
            </w:r>
          </w:p>
        </w:tc>
      </w:tr>
    </w:tbl>
    <w:p>
      <w:pPr>
        <w:spacing w:after="0" w:line="208" w:lineRule="exact"/>
        <w:rPr>
          <w:sz w:val="20"/>
          <w:szCs w:val="20"/>
          <w:color w:val="auto"/>
        </w:rPr>
      </w:pPr>
    </w:p>
    <w:p>
      <w:pPr>
        <w:ind w:left="120" w:hanging="112"/>
        <w:spacing w:after="0"/>
        <w:tabs>
          <w:tab w:leader="none" w:pos="120" w:val="left"/>
        </w:tabs>
        <w:numPr>
          <w:ilvl w:val="0"/>
          <w:numId w:val="5"/>
        </w:numPr>
        <w:rPr>
          <w:rFonts w:ascii="Arial" w:cs="Arial" w:eastAsia="Arial" w:hAnsi="Arial"/>
          <w:sz w:val="16"/>
          <w:szCs w:val="16"/>
          <w:color w:val="auto"/>
        </w:rPr>
      </w:pPr>
      <w:r>
        <w:rPr>
          <w:rFonts w:ascii="Arial" w:cs="Arial" w:eastAsia="Arial" w:hAnsi="Arial"/>
          <w:sz w:val="18"/>
          <w:szCs w:val="18"/>
          <w:color w:val="auto"/>
        </w:rPr>
        <w:t>Unsecured long-term consumer loans amounts only existed in periods after the acquisition of Crediamigo.</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FAIR VALUE MEASUREMENTS</w:t>
      </w:r>
    </w:p>
    <w:p>
      <w:pPr>
        <w:spacing w:after="0" w:line="9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 xml:space="preserve">In accordance with FASB ASC 820-10,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our assets and liabilities, which are carried at fair value, are classified in one of the following three categories: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Level 1: Quoted market prices in active markets for identical assets or liabilities.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Level 2: Other observable inputs other than quoted market prices.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Level 3: Unobservable inputs that are not corroborated by market data.</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The tables below present our financial assets that are measured at fair value on a recurring basis as of December 31, 2012 and 2011 and September 30, 2012:</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395"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Financial assets (liabilities):</w:t>
      </w:r>
    </w:p>
    <w:p>
      <w:pPr>
        <w:spacing w:after="0" w:line="372" w:lineRule="exact"/>
        <w:rPr>
          <w:sz w:val="20"/>
          <w:szCs w:val="20"/>
          <w:color w:val="auto"/>
        </w:rPr>
      </w:pPr>
    </w:p>
    <w:p>
      <w:pPr>
        <w:ind w:left="40"/>
        <w:spacing w:after="0"/>
        <w:rPr>
          <w:sz w:val="20"/>
          <w:szCs w:val="20"/>
          <w:color w:val="auto"/>
        </w:rPr>
      </w:pPr>
      <w:r>
        <w:rPr>
          <w:rFonts w:ascii="Arial" w:cs="Arial" w:eastAsia="Arial" w:hAnsi="Arial"/>
          <w:sz w:val="18"/>
          <w:szCs w:val="18"/>
          <w:color w:val="auto"/>
        </w:rPr>
        <w:t>Gold collar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7"/>
          <w:szCs w:val="17"/>
          <w:color w:val="auto"/>
        </w:rPr>
        <w:t>Marketable equity securities</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Contingent consideration</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w:t>
      </w:r>
    </w:p>
    <w:p>
      <w:pPr>
        <w:spacing w:after="0" w:line="200" w:lineRule="exact"/>
        <w:rPr>
          <w:sz w:val="20"/>
          <w:szCs w:val="20"/>
          <w:color w:val="auto"/>
        </w:rPr>
      </w:pPr>
    </w:p>
    <w:p>
      <w:pPr>
        <w:spacing w:after="0" w:line="386"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Financial assets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56515</wp:posOffset>
            </wp:positionV>
            <wp:extent cx="319024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352" w:lineRule="exact"/>
        <w:rPr>
          <w:sz w:val="20"/>
          <w:szCs w:val="20"/>
          <w:color w:val="auto"/>
        </w:rPr>
      </w:pPr>
    </w:p>
    <w:p>
      <w:pPr>
        <w:ind w:left="40"/>
        <w:spacing w:after="0"/>
        <w:rPr>
          <w:sz w:val="20"/>
          <w:szCs w:val="20"/>
          <w:color w:val="auto"/>
        </w:rPr>
      </w:pPr>
      <w:r>
        <w:rPr>
          <w:rFonts w:ascii="Arial" w:cs="Arial" w:eastAsia="Arial" w:hAnsi="Arial"/>
          <w:sz w:val="18"/>
          <w:szCs w:val="18"/>
          <w:color w:val="auto"/>
        </w:rPr>
        <w:t>Gold collar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7"/>
          <w:szCs w:val="17"/>
          <w:color w:val="auto"/>
        </w:rPr>
        <w:t>Marketable equity securities</w:t>
      </w:r>
    </w:p>
    <w:p>
      <w:pPr>
        <w:spacing w:after="0" w:line="102"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w:t>
      </w:r>
    </w:p>
    <w:p>
      <w:pPr>
        <w:spacing w:after="0" w:line="200" w:lineRule="exact"/>
        <w:rPr>
          <w:sz w:val="20"/>
          <w:szCs w:val="20"/>
          <w:color w:val="auto"/>
        </w:rPr>
      </w:pPr>
    </w:p>
    <w:p>
      <w:pPr>
        <w:spacing w:after="0" w:line="386"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Financial assets (liabilities):</w:t>
      </w:r>
    </w:p>
    <w:p>
      <w:pPr>
        <w:spacing w:after="0" w:line="372" w:lineRule="exact"/>
        <w:rPr>
          <w:sz w:val="20"/>
          <w:szCs w:val="20"/>
          <w:color w:val="auto"/>
        </w:rPr>
      </w:pPr>
    </w:p>
    <w:p>
      <w:pPr>
        <w:ind w:left="40"/>
        <w:spacing w:after="0"/>
        <w:rPr>
          <w:sz w:val="20"/>
          <w:szCs w:val="20"/>
          <w:color w:val="auto"/>
        </w:rPr>
      </w:pPr>
      <w:r>
        <w:rPr>
          <w:rFonts w:ascii="Arial" w:cs="Arial" w:eastAsia="Arial" w:hAnsi="Arial"/>
          <w:sz w:val="18"/>
          <w:szCs w:val="18"/>
          <w:color w:val="auto"/>
        </w:rPr>
        <w:t>Gold collar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7"/>
          <w:szCs w:val="17"/>
          <w:color w:val="auto"/>
        </w:rPr>
        <w:t>Marketable equity securities</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Contingent consideration</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3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6"/>
          </w:tcPr>
          <w:p>
            <w:pPr>
              <w:jc w:val="center"/>
              <w:ind w:left="778"/>
              <w:spacing w:after="0"/>
              <w:rPr>
                <w:sz w:val="20"/>
                <w:szCs w:val="20"/>
                <w:color w:val="auto"/>
              </w:rPr>
            </w:pPr>
            <w:r>
              <w:rPr>
                <w:rFonts w:ascii="Arial" w:cs="Arial" w:eastAsia="Arial" w:hAnsi="Arial"/>
                <w:sz w:val="14"/>
                <w:szCs w:val="14"/>
                <w:b w:val="1"/>
                <w:bCs w:val="1"/>
                <w:color w:val="auto"/>
                <w:w w:val="92"/>
              </w:rPr>
              <w:t>Fair Value Measurements Using</w:t>
            </w:r>
          </w:p>
        </w:tc>
        <w:tc>
          <w:tcPr>
            <w:tcW w:w="1140" w:type="dxa"/>
            <w:vAlign w:val="bottom"/>
            <w:tcBorders>
              <w:bottom w:val="single" w:sz="8" w:color="auto"/>
            </w:tcBorders>
          </w:tcPr>
          <w:p>
            <w:pPr>
              <w:spacing w:after="0"/>
              <w:rPr>
                <w:sz w:val="16"/>
                <w:szCs w:val="16"/>
                <w:color w:val="auto"/>
              </w:rPr>
            </w:pPr>
          </w:p>
        </w:tc>
      </w:tr>
      <w:tr>
        <w:trPr>
          <w:trHeight w:val="264"/>
        </w:trPr>
        <w:tc>
          <w:tcPr>
            <w:tcW w:w="1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December 31, 2012</w:t>
            </w: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4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2"/>
          </w:tcPr>
          <w:p>
            <w:pPr>
              <w:jc w:val="center"/>
              <w:ind w:right="540"/>
              <w:spacing w:after="0"/>
              <w:rPr>
                <w:sz w:val="20"/>
                <w:szCs w:val="20"/>
                <w:color w:val="auto"/>
              </w:rPr>
            </w:pPr>
            <w:r>
              <w:rPr>
                <w:rFonts w:ascii="Arial" w:cs="Arial" w:eastAsia="Arial" w:hAnsi="Arial"/>
                <w:sz w:val="14"/>
                <w:szCs w:val="14"/>
                <w:b w:val="1"/>
                <w:bCs w:val="1"/>
                <w:color w:val="auto"/>
                <w:w w:val="92"/>
              </w:rPr>
              <w:t>Level 2</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Level 3</w:t>
            </w:r>
          </w:p>
        </w:tc>
      </w:tr>
      <w:tr>
        <w:trPr>
          <w:trHeight w:val="244"/>
        </w:trPr>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0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55"/>
        </w:trPr>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0"/>
        </w:trPr>
        <w:tc>
          <w:tcPr>
            <w:tcW w:w="14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4,588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4,588</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0"/>
        </w:trPr>
        <w:tc>
          <w:tcPr>
            <w:tcW w:w="14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(23,594)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(23,594)</w:t>
            </w:r>
          </w:p>
        </w:tc>
      </w:tr>
      <w:tr>
        <w:trPr>
          <w:trHeight w:val="27"/>
        </w:trPr>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(19,006)</w:t>
            </w:r>
          </w:p>
        </w:tc>
        <w:tc>
          <w:tcPr>
            <w:tcW w:w="1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8"/>
              <w:spacing w:after="0"/>
              <w:rPr>
                <w:sz w:val="20"/>
                <w:szCs w:val="20"/>
                <w:color w:val="auto"/>
              </w:rPr>
            </w:pPr>
            <w:r>
              <w:rPr>
                <w:rFonts w:ascii="Arial" w:cs="Arial" w:eastAsia="Arial" w:hAnsi="Arial"/>
                <w:sz w:val="18"/>
                <w:szCs w:val="18"/>
                <w:color w:val="auto"/>
              </w:rPr>
              <w:t>4,588</w:t>
            </w:r>
          </w:p>
        </w:tc>
        <w:tc>
          <w:tcPr>
            <w:tcW w:w="10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(23,594)</w:t>
            </w:r>
          </w:p>
        </w:tc>
      </w:tr>
      <w:tr>
        <w:trPr>
          <w:trHeight w:val="27"/>
        </w:trPr>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461"/>
        </w:trPr>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6"/>
          </w:tcPr>
          <w:p>
            <w:pPr>
              <w:jc w:val="center"/>
              <w:ind w:left="778"/>
              <w:spacing w:after="0"/>
              <w:rPr>
                <w:sz w:val="20"/>
                <w:szCs w:val="20"/>
                <w:color w:val="auto"/>
              </w:rPr>
            </w:pPr>
            <w:r>
              <w:rPr>
                <w:rFonts w:ascii="Arial" w:cs="Arial" w:eastAsia="Arial" w:hAnsi="Arial"/>
                <w:sz w:val="14"/>
                <w:szCs w:val="14"/>
                <w:b w:val="1"/>
                <w:bCs w:val="1"/>
                <w:color w:val="auto"/>
                <w:w w:val="92"/>
              </w:rPr>
              <w:t>Fair Value Measurements Using</w:t>
            </w:r>
          </w:p>
        </w:tc>
        <w:tc>
          <w:tcPr>
            <w:tcW w:w="1140" w:type="dxa"/>
            <w:vAlign w:val="bottom"/>
            <w:tcBorders>
              <w:bottom w:val="single" w:sz="8" w:color="auto"/>
            </w:tcBorders>
          </w:tcPr>
          <w:p>
            <w:pPr>
              <w:spacing w:after="0"/>
              <w:rPr>
                <w:sz w:val="24"/>
                <w:szCs w:val="24"/>
                <w:color w:val="auto"/>
              </w:rPr>
            </w:pPr>
          </w:p>
        </w:tc>
      </w:tr>
      <w:tr>
        <w:trPr>
          <w:trHeight w:val="264"/>
        </w:trPr>
        <w:tc>
          <w:tcPr>
            <w:tcW w:w="1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December 31, 2011</w:t>
            </w: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4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2"/>
          </w:tcPr>
          <w:p>
            <w:pPr>
              <w:jc w:val="center"/>
              <w:ind w:right="540"/>
              <w:spacing w:after="0"/>
              <w:rPr>
                <w:sz w:val="20"/>
                <w:szCs w:val="20"/>
                <w:color w:val="auto"/>
              </w:rPr>
            </w:pPr>
            <w:r>
              <w:rPr>
                <w:rFonts w:ascii="Arial" w:cs="Arial" w:eastAsia="Arial" w:hAnsi="Arial"/>
                <w:sz w:val="14"/>
                <w:szCs w:val="14"/>
                <w:b w:val="1"/>
                <w:bCs w:val="1"/>
                <w:color w:val="auto"/>
                <w:w w:val="92"/>
              </w:rPr>
              <w:t>Level 2</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Level 3</w:t>
            </w:r>
          </w:p>
        </w:tc>
      </w:tr>
      <w:tr>
        <w:trPr>
          <w:trHeight w:val="244"/>
        </w:trPr>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0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55"/>
        </w:trPr>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1,073</w:t>
            </w:r>
          </w:p>
        </w:tc>
        <w:tc>
          <w:tcPr>
            <w:tcW w:w="12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1,073</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0"/>
        </w:trPr>
        <w:tc>
          <w:tcPr>
            <w:tcW w:w="14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4,807</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4,807</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5,880</w:t>
            </w:r>
          </w:p>
        </w:tc>
        <w:tc>
          <w:tcPr>
            <w:tcW w:w="1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8"/>
              <w:spacing w:after="0"/>
              <w:rPr>
                <w:sz w:val="20"/>
                <w:szCs w:val="20"/>
                <w:color w:val="auto"/>
              </w:rPr>
            </w:pPr>
            <w:r>
              <w:rPr>
                <w:rFonts w:ascii="Arial" w:cs="Arial" w:eastAsia="Arial" w:hAnsi="Arial"/>
                <w:sz w:val="18"/>
                <w:szCs w:val="18"/>
                <w:color w:val="auto"/>
              </w:rPr>
              <w:t>4,807</w:t>
            </w:r>
          </w:p>
        </w:tc>
        <w:tc>
          <w:tcPr>
            <w:tcW w:w="10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1,073</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461"/>
        </w:trPr>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6"/>
          </w:tcPr>
          <w:p>
            <w:pPr>
              <w:jc w:val="center"/>
              <w:ind w:left="778"/>
              <w:spacing w:after="0"/>
              <w:rPr>
                <w:sz w:val="20"/>
                <w:szCs w:val="20"/>
                <w:color w:val="auto"/>
              </w:rPr>
            </w:pPr>
            <w:r>
              <w:rPr>
                <w:rFonts w:ascii="Arial" w:cs="Arial" w:eastAsia="Arial" w:hAnsi="Arial"/>
                <w:sz w:val="14"/>
                <w:szCs w:val="14"/>
                <w:b w:val="1"/>
                <w:bCs w:val="1"/>
                <w:color w:val="auto"/>
                <w:w w:val="92"/>
              </w:rPr>
              <w:t>Fair Value Measurements Using</w:t>
            </w:r>
          </w:p>
        </w:tc>
        <w:tc>
          <w:tcPr>
            <w:tcW w:w="1140" w:type="dxa"/>
            <w:vAlign w:val="bottom"/>
            <w:tcBorders>
              <w:bottom w:val="single" w:sz="8" w:color="auto"/>
            </w:tcBorders>
          </w:tcPr>
          <w:p>
            <w:pPr>
              <w:spacing w:after="0"/>
              <w:rPr>
                <w:sz w:val="24"/>
                <w:szCs w:val="24"/>
                <w:color w:val="auto"/>
              </w:rPr>
            </w:pPr>
          </w:p>
        </w:tc>
      </w:tr>
      <w:tr>
        <w:trPr>
          <w:trHeight w:val="264"/>
        </w:trPr>
        <w:tc>
          <w:tcPr>
            <w:tcW w:w="1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September 30, 2012</w:t>
            </w: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4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2"/>
          </w:tcPr>
          <w:p>
            <w:pPr>
              <w:jc w:val="center"/>
              <w:ind w:right="540"/>
              <w:spacing w:after="0"/>
              <w:rPr>
                <w:sz w:val="20"/>
                <w:szCs w:val="20"/>
                <w:color w:val="auto"/>
              </w:rPr>
            </w:pPr>
            <w:r>
              <w:rPr>
                <w:rFonts w:ascii="Arial" w:cs="Arial" w:eastAsia="Arial" w:hAnsi="Arial"/>
                <w:sz w:val="14"/>
                <w:szCs w:val="14"/>
                <w:b w:val="1"/>
                <w:bCs w:val="1"/>
                <w:color w:val="auto"/>
                <w:w w:val="92"/>
              </w:rPr>
              <w:t>Level 2</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Level 3</w:t>
            </w:r>
          </w:p>
        </w:tc>
      </w:tr>
      <w:tr>
        <w:trPr>
          <w:trHeight w:val="244"/>
        </w:trPr>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0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55"/>
        </w:trPr>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0"/>
        </w:trPr>
        <w:tc>
          <w:tcPr>
            <w:tcW w:w="14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4,631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4,631</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0"/>
        </w:trPr>
        <w:tc>
          <w:tcPr>
            <w:tcW w:w="14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(23,432)</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(23,432)</w:t>
            </w:r>
          </w:p>
        </w:tc>
      </w:tr>
      <w:tr>
        <w:trPr>
          <w:trHeight w:val="27"/>
        </w:trPr>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(18,801)</w:t>
            </w:r>
          </w:p>
        </w:tc>
        <w:tc>
          <w:tcPr>
            <w:tcW w:w="1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8"/>
              <w:spacing w:after="0"/>
              <w:rPr>
                <w:sz w:val="20"/>
                <w:szCs w:val="20"/>
                <w:color w:val="auto"/>
              </w:rPr>
            </w:pPr>
            <w:r>
              <w:rPr>
                <w:rFonts w:ascii="Arial" w:cs="Arial" w:eastAsia="Arial" w:hAnsi="Arial"/>
                <w:sz w:val="18"/>
                <w:szCs w:val="18"/>
                <w:color w:val="auto"/>
              </w:rPr>
              <w:t>4,631</w:t>
            </w:r>
          </w:p>
        </w:tc>
        <w:tc>
          <w:tcPr>
            <w:tcW w:w="10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(23,432)</w:t>
            </w:r>
          </w:p>
        </w:tc>
      </w:tr>
      <w:tr>
        <w:trPr>
          <w:trHeight w:val="27"/>
        </w:trPr>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-3138170</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-2795270</wp:posOffset>
            </wp:positionV>
            <wp:extent cx="7246620" cy="1885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-1929130</wp:posOffset>
            </wp:positionV>
            <wp:extent cx="72466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-1585595</wp:posOffset>
            </wp:positionV>
            <wp:extent cx="7246620" cy="1885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-548005</wp:posOffset>
            </wp:positionV>
            <wp:extent cx="72466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-205105</wp:posOffset>
            </wp:positionV>
            <wp:extent cx="7246620" cy="1885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-891540</wp:posOffset>
            </wp:positionV>
            <wp:extent cx="72466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-3481070</wp:posOffset>
            </wp:positionV>
            <wp:extent cx="72466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440" w:space="720"/>
            <w:col w:w="6260"/>
          </w:cols>
          <w:pgMar w:left="240" w:top="121" w:right="239" w:bottom="1440" w:gutter="0" w:footer="0" w:header="0"/>
          <w:type w:val="continuous"/>
        </w:sectPr>
      </w:pPr>
    </w:p>
    <w:p>
      <w:pPr>
        <w:spacing w:after="0" w:line="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measure the value of our gold collar under Level 2 inputs as defined by FASB ASC 820-10. The valuation is determined using widely accepted valuation techniques which reflect the contractual terms of the transaction, including the period to maturity and uses observable market-based inputs including gold forward curves and implied volatilities. We measure the value of our marketable equity securities under a Level 1 input. These assets are publicly traded equity securities for which market prices are readily available. There were no transfers of assets in or out of Level 1 or Level 2 fair value measurements in the periods presented. We used an income approach to measure the fair value of the contingent consideration using a probability-weighted discounted cash flow approach, in which all outcomes were successful. The significant inputs used for the valuation are not observable in the market, as they are specifically related to Crediamigo, and thus this fair value measurement represents a Level 3 measurement within the fair value hierarchy.</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DERIVATIVE INSTRUMENTS AND HEDGING ACTIVITIES</w:t>
      </w:r>
    </w:p>
    <w:p>
      <w:pPr>
        <w:spacing w:after="0" w:line="94"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Our earnings and financial position are affected by changes in gold values. In fiscal year 2012, we began using derivative financial instruments in order to manage our commodity price risk associated with the forecasted sales of gold scrap. These derivatives are not designated as hedges, and according to FASB ASC 815-20-25, “Derivatives and Hedging – Recognition,” changes in their fair value are recorded directly in earnings. As of December 31, 2012 and as of September 30, 2012 , we had no balance outstanding recorded on our balance sheet. As of December 31, 2011, the notional amount of the gold collar recorded on our balance sheet was 19,000 ounces of gold.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type w:val="continuous"/>
        </w:sectPr>
      </w:pPr>
    </w:p>
    <w:bookmarkStart w:id="26" w:name="page27"/>
    <w:bookmarkEnd w:id="2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table below presents the fair value of the derivative financial instruments on the Condensed Consolidated Balance Sheet on December 31, 2012 and 2011 and September 30, 2012:</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20" w:type="dxa"/>
            <w:vAlign w:val="bottom"/>
            <w:tcBorders>
              <w:bottom w:val="single" w:sz="8" w:color="auto"/>
            </w:tcBorders>
            <w:gridSpan w:val="6"/>
          </w:tcPr>
          <w:p>
            <w:pPr>
              <w:ind w:left="640"/>
              <w:spacing w:after="0"/>
              <w:rPr>
                <w:sz w:val="20"/>
                <w:szCs w:val="20"/>
                <w:color w:val="auto"/>
              </w:rPr>
            </w:pPr>
            <w:r>
              <w:rPr>
                <w:rFonts w:ascii="Arial" w:cs="Arial" w:eastAsia="Arial" w:hAnsi="Arial"/>
                <w:sz w:val="14"/>
                <w:szCs w:val="14"/>
                <w:b w:val="1"/>
                <w:bCs w:val="1"/>
                <w:color w:val="auto"/>
              </w:rPr>
              <w:t>Fair Value of Derivative Instruments</w:t>
            </w:r>
          </w:p>
        </w:tc>
      </w:tr>
      <w:tr>
        <w:trPr>
          <w:trHeight w:val="264"/>
        </w:trPr>
        <w:tc>
          <w:tcPr>
            <w:tcW w:w="3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22"/>
                <w:szCs w:val="22"/>
                <w:color w:val="auto"/>
              </w:rPr>
            </w:pPr>
          </w:p>
        </w:tc>
        <w:tc>
          <w:tcPr>
            <w:tcW w:w="1100" w:type="dxa"/>
            <w:vAlign w:val="bottom"/>
          </w:tcPr>
          <w:p>
            <w:pPr>
              <w:jc w:val="center"/>
              <w:ind w:right="62"/>
              <w:spacing w:after="0"/>
              <w:rPr>
                <w:sz w:val="20"/>
                <w:szCs w:val="20"/>
                <w:color w:val="auto"/>
              </w:rPr>
            </w:pPr>
            <w:r>
              <w:rPr>
                <w:rFonts w:ascii="Arial" w:cs="Arial" w:eastAsia="Arial" w:hAnsi="Arial"/>
                <w:sz w:val="14"/>
                <w:szCs w:val="14"/>
                <w:b w:val="1"/>
                <w:bCs w:val="1"/>
                <w:color w:val="auto"/>
                <w:w w:val="91"/>
              </w:rPr>
              <w:t>September 30,</w:t>
            </w:r>
          </w:p>
        </w:tc>
      </w:tr>
      <w:tr>
        <w:trPr>
          <w:trHeight w:val="264"/>
        </w:trPr>
        <w:tc>
          <w:tcPr>
            <w:tcW w:w="3460" w:type="dxa"/>
            <w:vAlign w:val="bottom"/>
            <w:gridSpan w:val="2"/>
          </w:tcPr>
          <w:p>
            <w:pPr>
              <w:ind w:left="40"/>
              <w:spacing w:after="0"/>
              <w:rPr>
                <w:sz w:val="20"/>
                <w:szCs w:val="20"/>
                <w:color w:val="auto"/>
              </w:rPr>
            </w:pPr>
            <w:r>
              <w:rPr>
                <w:rFonts w:ascii="Arial" w:cs="Arial" w:eastAsia="Arial" w:hAnsi="Arial"/>
                <w:sz w:val="14"/>
                <w:szCs w:val="14"/>
                <w:b w:val="1"/>
                <w:bCs w:val="1"/>
                <w:color w:val="auto"/>
              </w:rPr>
              <w:t>Derivative Instrument</w:t>
            </w:r>
          </w:p>
        </w:tc>
        <w:tc>
          <w:tcPr>
            <w:tcW w:w="4440" w:type="dxa"/>
            <w:vAlign w:val="bottom"/>
            <w:gridSpan w:val="2"/>
          </w:tcPr>
          <w:p>
            <w:pPr>
              <w:ind w:left="1440"/>
              <w:spacing w:after="0"/>
              <w:rPr>
                <w:sz w:val="20"/>
                <w:szCs w:val="20"/>
                <w:color w:val="auto"/>
              </w:rPr>
            </w:pPr>
            <w:r>
              <w:rPr>
                <w:rFonts w:ascii="Arial" w:cs="Arial" w:eastAsia="Arial" w:hAnsi="Arial"/>
                <w:sz w:val="14"/>
                <w:szCs w:val="14"/>
                <w:b w:val="1"/>
                <w:bCs w:val="1"/>
                <w:color w:val="auto"/>
              </w:rPr>
              <w:t>Balance Sheet Location</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84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jc w:val="right"/>
              <w:ind w:right="299"/>
              <w:spacing w:after="0"/>
              <w:rPr>
                <w:sz w:val="20"/>
                <w:szCs w:val="20"/>
                <w:color w:val="auto"/>
              </w:rPr>
            </w:pPr>
            <w:r>
              <w:rPr>
                <w:rFonts w:ascii="Arial" w:cs="Arial" w:eastAsia="Arial" w:hAnsi="Arial"/>
                <w:sz w:val="14"/>
                <w:szCs w:val="14"/>
                <w:b w:val="1"/>
                <w:bCs w:val="1"/>
                <w:color w:val="auto"/>
                <w:w w:val="83"/>
              </w:rPr>
              <w:t>2011</w:t>
            </w: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2012</w:t>
            </w:r>
          </w:p>
        </w:tc>
      </w:tr>
      <w:tr>
        <w:trPr>
          <w:trHeight w:val="264"/>
        </w:trPr>
        <w:tc>
          <w:tcPr>
            <w:tcW w:w="33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3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ind w:left="20"/>
              <w:spacing w:after="0"/>
              <w:rPr>
                <w:sz w:val="20"/>
                <w:szCs w:val="20"/>
                <w:color w:val="auto"/>
              </w:rPr>
            </w:pPr>
            <w:r>
              <w:rPr>
                <w:rFonts w:ascii="Arial" w:cs="Arial" w:eastAsia="Arial" w:hAnsi="Arial"/>
                <w:sz w:val="14"/>
                <w:szCs w:val="14"/>
                <w:i w:val="1"/>
                <w:iCs w:val="1"/>
                <w:color w:val="auto"/>
                <w:w w:val="90"/>
              </w:rPr>
              <w:t>(in thousands)</w:t>
            </w:r>
          </w:p>
        </w:tc>
        <w:tc>
          <w:tcPr>
            <w:tcW w:w="6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r>
      <w:tr>
        <w:trPr>
          <w:trHeight w:val="256"/>
        </w:trPr>
        <w:tc>
          <w:tcPr>
            <w:tcW w:w="3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Non-designated derivatives:</w:t>
            </w:r>
          </w:p>
        </w:tc>
        <w:tc>
          <w:tcPr>
            <w:tcW w:w="43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r>
      <w:tr>
        <w:trPr>
          <w:trHeight w:val="243"/>
        </w:trPr>
        <w:tc>
          <w:tcPr>
            <w:tcW w:w="3460" w:type="dxa"/>
            <w:vAlign w:val="bottom"/>
            <w:gridSpan w:val="2"/>
          </w:tcPr>
          <w:p>
            <w:pPr>
              <w:ind w:left="40"/>
              <w:spacing w:after="0"/>
              <w:rPr>
                <w:sz w:val="20"/>
                <w:szCs w:val="20"/>
                <w:color w:val="auto"/>
              </w:rPr>
            </w:pPr>
            <w:r>
              <w:rPr>
                <w:rFonts w:ascii="Arial" w:cs="Arial" w:eastAsia="Arial" w:hAnsi="Arial"/>
                <w:sz w:val="18"/>
                <w:szCs w:val="18"/>
                <w:color w:val="auto"/>
              </w:rPr>
              <w:t>Gold Collar</w:t>
            </w:r>
          </w:p>
        </w:tc>
        <w:tc>
          <w:tcPr>
            <w:tcW w:w="4440" w:type="dxa"/>
            <w:vAlign w:val="bottom"/>
            <w:gridSpan w:val="2"/>
          </w:tcPr>
          <w:p>
            <w:pPr>
              <w:ind w:left="20"/>
              <w:spacing w:after="0"/>
              <w:rPr>
                <w:sz w:val="20"/>
                <w:szCs w:val="20"/>
                <w:color w:val="auto"/>
              </w:rPr>
            </w:pPr>
            <w:r>
              <w:rPr>
                <w:rFonts w:ascii="Arial" w:cs="Arial" w:eastAsia="Arial" w:hAnsi="Arial"/>
                <w:sz w:val="18"/>
                <w:szCs w:val="18"/>
                <w:color w:val="auto"/>
              </w:rPr>
              <w:t>Prepaid expenses and other assets</w:t>
            </w:r>
          </w:p>
        </w:tc>
        <w:tc>
          <w:tcPr>
            <w:tcW w:w="660" w:type="dxa"/>
            <w:vAlign w:val="bottom"/>
          </w:tcPr>
          <w:p>
            <w:pPr>
              <w:jc w:val="right"/>
              <w:ind w:right="462"/>
              <w:spacing w:after="0"/>
              <w:rPr>
                <w:sz w:val="20"/>
                <w:szCs w:val="20"/>
                <w:color w:val="auto"/>
              </w:rPr>
            </w:pPr>
            <w:r>
              <w:rPr>
                <w:rFonts w:ascii="Arial" w:cs="Arial" w:eastAsia="Arial" w:hAnsi="Arial"/>
                <w:sz w:val="18"/>
                <w:szCs w:val="18"/>
                <w:color w:val="auto"/>
                <w:w w:val="99"/>
              </w:rPr>
              <w:t>$</w:t>
            </w:r>
          </w:p>
        </w:tc>
        <w:tc>
          <w:tcPr>
            <w:tcW w:w="840" w:type="dxa"/>
            <w:vAlign w:val="bottom"/>
          </w:tcPr>
          <w:p>
            <w:pPr>
              <w:ind w:left="80"/>
              <w:spacing w:after="0"/>
              <w:rPr>
                <w:sz w:val="20"/>
                <w:szCs w:val="20"/>
                <w:color w:val="auto"/>
              </w:rPr>
            </w:pPr>
            <w:r>
              <w:rPr>
                <w:rFonts w:ascii="Arial" w:cs="Arial" w:eastAsia="Arial" w:hAnsi="Arial"/>
                <w:sz w:val="18"/>
                <w:szCs w:val="18"/>
                <w:color w:val="auto"/>
              </w:rPr>
              <w:t>—   $</w:t>
            </w:r>
          </w:p>
        </w:tc>
        <w:tc>
          <w:tcPr>
            <w:tcW w:w="660" w:type="dxa"/>
            <w:vAlign w:val="bottom"/>
          </w:tcPr>
          <w:p>
            <w:pPr>
              <w:jc w:val="right"/>
              <w:ind w:right="39"/>
              <w:spacing w:after="0"/>
              <w:rPr>
                <w:sz w:val="20"/>
                <w:szCs w:val="20"/>
                <w:color w:val="auto"/>
              </w:rPr>
            </w:pPr>
            <w:r>
              <w:rPr>
                <w:rFonts w:ascii="Arial" w:cs="Arial" w:eastAsia="Arial" w:hAnsi="Arial"/>
                <w:sz w:val="18"/>
                <w:szCs w:val="18"/>
                <w:color w:val="auto"/>
              </w:rPr>
              <w:t>1,073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ind w:left="82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presents the effect of our derivative financial instruments on the Condensed Consolidated Statements of Operations for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2012 and 2011:</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80" w:type="dxa"/>
            <w:vAlign w:val="bottom"/>
            <w:tcBorders>
              <w:bottom w:val="single" w:sz="8" w:color="auto"/>
            </w:tcBorders>
            <w:gridSpan w:val="2"/>
          </w:tcPr>
          <w:p>
            <w:pPr>
              <w:jc w:val="center"/>
              <w:ind w:left="564"/>
              <w:spacing w:after="0"/>
              <w:rPr>
                <w:sz w:val="20"/>
                <w:szCs w:val="20"/>
                <w:color w:val="auto"/>
              </w:rPr>
            </w:pPr>
            <w:r>
              <w:rPr>
                <w:rFonts w:ascii="Arial" w:cs="Arial" w:eastAsia="Arial" w:hAnsi="Arial"/>
                <w:sz w:val="14"/>
                <w:szCs w:val="14"/>
                <w:b w:val="1"/>
                <w:bCs w:val="1"/>
                <w:color w:val="auto"/>
                <w:w w:val="92"/>
              </w:rPr>
              <w:t>(Gains) Recognized in Income</w:t>
            </w:r>
          </w:p>
        </w:tc>
        <w:tc>
          <w:tcPr>
            <w:tcW w:w="620" w:type="dxa"/>
            <w:vAlign w:val="bottom"/>
            <w:tcBorders>
              <w:bottom w:val="single" w:sz="8" w:color="auto"/>
            </w:tcBorders>
          </w:tcPr>
          <w:p>
            <w:pPr>
              <w:spacing w:after="0"/>
              <w:rPr>
                <w:sz w:val="16"/>
                <w:szCs w:val="16"/>
                <w:color w:val="auto"/>
              </w:rPr>
            </w:pPr>
          </w:p>
        </w:tc>
      </w:tr>
      <w:tr>
        <w:trPr>
          <w:trHeight w:val="250"/>
        </w:trPr>
        <w:tc>
          <w:tcPr>
            <w:tcW w:w="4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3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Three Months Ended December 31,</w:t>
            </w:r>
          </w:p>
        </w:tc>
      </w:tr>
      <w:tr>
        <w:trPr>
          <w:trHeight w:val="264"/>
        </w:trPr>
        <w:tc>
          <w:tcPr>
            <w:tcW w:w="4480" w:type="dxa"/>
            <w:vAlign w:val="bottom"/>
            <w:gridSpan w:val="2"/>
          </w:tcPr>
          <w:p>
            <w:pPr>
              <w:ind w:left="40"/>
              <w:spacing w:after="0"/>
              <w:rPr>
                <w:sz w:val="20"/>
                <w:szCs w:val="20"/>
                <w:color w:val="auto"/>
              </w:rPr>
            </w:pPr>
            <w:r>
              <w:rPr>
                <w:rFonts w:ascii="Arial" w:cs="Arial" w:eastAsia="Arial" w:hAnsi="Arial"/>
                <w:sz w:val="14"/>
                <w:szCs w:val="14"/>
                <w:b w:val="1"/>
                <w:bCs w:val="1"/>
                <w:color w:val="auto"/>
              </w:rPr>
              <w:t>Derivative Instrument</w:t>
            </w:r>
          </w:p>
        </w:tc>
        <w:tc>
          <w:tcPr>
            <w:tcW w:w="3640" w:type="dxa"/>
            <w:vAlign w:val="bottom"/>
            <w:gridSpan w:val="2"/>
          </w:tcPr>
          <w:p>
            <w:pPr>
              <w:ind w:left="1200"/>
              <w:spacing w:after="0"/>
              <w:rPr>
                <w:sz w:val="20"/>
                <w:szCs w:val="20"/>
                <w:color w:val="auto"/>
              </w:rPr>
            </w:pPr>
            <w:r>
              <w:rPr>
                <w:rFonts w:ascii="Arial" w:cs="Arial" w:eastAsia="Arial" w:hAnsi="Arial"/>
                <w:sz w:val="14"/>
                <w:szCs w:val="14"/>
                <w:b w:val="1"/>
                <w:bCs w:val="1"/>
                <w:color w:val="auto"/>
              </w:rPr>
              <w:t>Location of (Gain)</w:t>
            </w:r>
          </w:p>
        </w:tc>
        <w:tc>
          <w:tcPr>
            <w:tcW w:w="1100" w:type="dxa"/>
            <w:vAlign w:val="bottom"/>
          </w:tcPr>
          <w:p>
            <w:pPr>
              <w:jc w:val="right"/>
              <w:ind w:right="84"/>
              <w:spacing w:after="0"/>
              <w:rPr>
                <w:sz w:val="20"/>
                <w:szCs w:val="20"/>
                <w:color w:val="auto"/>
              </w:rPr>
            </w:pPr>
            <w:r>
              <w:rPr>
                <w:rFonts w:ascii="Arial" w:cs="Arial" w:eastAsia="Arial" w:hAnsi="Arial"/>
                <w:sz w:val="14"/>
                <w:szCs w:val="14"/>
                <w:b w:val="1"/>
                <w:bCs w:val="1"/>
                <w:color w:val="auto"/>
              </w:rPr>
              <w:t>2012</w:t>
            </w:r>
          </w:p>
        </w:tc>
        <w:tc>
          <w:tcPr>
            <w:tcW w:w="1580" w:type="dxa"/>
            <w:vAlign w:val="bottom"/>
          </w:tcPr>
          <w:p>
            <w:pPr>
              <w:jc w:val="right"/>
              <w:spacing w:after="0"/>
              <w:rPr>
                <w:sz w:val="20"/>
                <w:szCs w:val="20"/>
                <w:color w:val="auto"/>
              </w:rPr>
            </w:pPr>
            <w:r>
              <w:rPr>
                <w:rFonts w:ascii="Arial" w:cs="Arial" w:eastAsia="Arial" w:hAnsi="Arial"/>
                <w:sz w:val="14"/>
                <w:szCs w:val="14"/>
                <w:b w:val="1"/>
                <w:bCs w:val="1"/>
                <w:color w:val="auto"/>
              </w:rPr>
              <w:t>2011</w:t>
            </w:r>
          </w:p>
        </w:tc>
        <w:tc>
          <w:tcPr>
            <w:tcW w:w="620" w:type="dxa"/>
            <w:vAlign w:val="bottom"/>
          </w:tcPr>
          <w:p>
            <w:pPr>
              <w:spacing w:after="0"/>
              <w:rPr>
                <w:sz w:val="22"/>
                <w:szCs w:val="22"/>
                <w:color w:val="auto"/>
              </w:rPr>
            </w:pPr>
          </w:p>
        </w:tc>
      </w:tr>
      <w:tr>
        <w:trPr>
          <w:trHeight w:val="250"/>
        </w:trPr>
        <w:tc>
          <w:tcPr>
            <w:tcW w:w="43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5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580" w:type="dxa"/>
            <w:vAlign w:val="bottom"/>
            <w:tcBorders>
              <w:top w:val="single" w:sz="8" w:color="auto"/>
            </w:tcBorders>
          </w:tcPr>
          <w:p>
            <w:pPr>
              <w:jc w:val="center"/>
              <w:ind w:right="362"/>
              <w:spacing w:after="0"/>
              <w:rPr>
                <w:sz w:val="20"/>
                <w:szCs w:val="20"/>
                <w:color w:val="auto"/>
              </w:rPr>
            </w:pPr>
            <w:r>
              <w:rPr>
                <w:rFonts w:ascii="Arial" w:cs="Arial" w:eastAsia="Arial" w:hAnsi="Arial"/>
                <w:sz w:val="14"/>
                <w:szCs w:val="14"/>
                <w:i w:val="1"/>
                <w:iCs w:val="1"/>
                <w:color w:val="auto"/>
                <w:w w:val="92"/>
              </w:rPr>
              <w:t>(in thousands)</w:t>
            </w:r>
          </w:p>
        </w:tc>
        <w:tc>
          <w:tcPr>
            <w:tcW w:w="620" w:type="dxa"/>
            <w:vAlign w:val="bottom"/>
            <w:tcBorders>
              <w:top w:val="single" w:sz="8" w:color="auto"/>
            </w:tcBorders>
          </w:tcPr>
          <w:p>
            <w:pPr>
              <w:spacing w:after="0"/>
              <w:rPr>
                <w:sz w:val="21"/>
                <w:szCs w:val="21"/>
                <w:color w:val="auto"/>
              </w:rPr>
            </w:pPr>
          </w:p>
        </w:tc>
      </w:tr>
      <w:tr>
        <w:trPr>
          <w:trHeight w:val="256"/>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Non-designated derivatives:</w:t>
            </w:r>
          </w:p>
        </w:tc>
        <w:tc>
          <w:tcPr>
            <w:tcW w:w="35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r>
      <w:tr>
        <w:trPr>
          <w:trHeight w:val="243"/>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Gold Collar</w:t>
            </w:r>
          </w:p>
        </w:tc>
        <w:tc>
          <w:tcPr>
            <w:tcW w:w="3640" w:type="dxa"/>
            <w:vAlign w:val="bottom"/>
            <w:gridSpan w:val="2"/>
          </w:tcPr>
          <w:p>
            <w:pPr>
              <w:ind w:left="20"/>
              <w:spacing w:after="0"/>
              <w:rPr>
                <w:sz w:val="20"/>
                <w:szCs w:val="20"/>
                <w:color w:val="auto"/>
              </w:rPr>
            </w:pPr>
            <w:r>
              <w:rPr>
                <w:rFonts w:ascii="Arial" w:cs="Arial" w:eastAsia="Arial" w:hAnsi="Arial"/>
                <w:sz w:val="18"/>
                <w:szCs w:val="18"/>
                <w:color w:val="auto"/>
              </w:rPr>
              <w:t>Other income</w:t>
            </w:r>
          </w:p>
        </w:tc>
        <w:tc>
          <w:tcPr>
            <w:tcW w:w="1100" w:type="dxa"/>
            <w:vAlign w:val="bottom"/>
          </w:tcPr>
          <w:p>
            <w:pPr>
              <w:jc w:val="right"/>
              <w:ind w:right="904"/>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782"/>
              <w:spacing w:after="0"/>
              <w:rPr>
                <w:sz w:val="20"/>
                <w:szCs w:val="20"/>
                <w:color w:val="auto"/>
              </w:rPr>
            </w:pPr>
            <w:r>
              <w:rPr>
                <w:rFonts w:ascii="Arial" w:cs="Arial" w:eastAsia="Arial" w:hAnsi="Arial"/>
                <w:sz w:val="18"/>
                <w:szCs w:val="18"/>
                <w:color w:val="auto"/>
              </w:rPr>
              <w:t>—   $</w:t>
            </w: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(1,073)</w:t>
            </w: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CONDENSED CONSOLIDATING FINANCIAL INFORMATION</w:t>
      </w:r>
    </w:p>
    <w:p>
      <w:pPr>
        <w:spacing w:after="0" w:line="9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 February 3, 2012, we filed with the United States Securities and Exchange Commission a “shelf” registration statement on Form S-3 registering the offer and sale of an indeterminate amount of a variety of securities, including debt securities. Unless otherwise indicated in connection with a particular offering of debt securities, each of our domestic subsidiaries will fully and unconditionally guarantee on a joint and several basis our payment obligations under such debt securities issued by the parent.</w:t>
      </w:r>
    </w:p>
    <w:p>
      <w:pPr>
        <w:spacing w:after="0" w:line="133"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In accordance with Rule 3-10(f) of Regulation S-X, the following presents condensed consolidating financial information as of and for the three months ended December 31, 2012 and 2011 and as of September 30, 2012 for EZCORP, Inc. (the “Parent”), each of the Parent’s domestic subsidiaries (the “Subsidiary Guarantors”) on a combined basis and each of the Parent’s other subsidiaries (the “Other Subsidiaries”) on a combined basis. Eliminating entries presented are necessary to consolidate the groups of entities. Subsequent to the issuance of our consolidated financial statements for the year ended September 30, 2012, we identified certain errors in the presentation of the consolidating financial statements contained in this footnote as of September 30, 2012, December 31, 2011 and for the three months ended December 31, 2011. The Condensed Consolidating Financial information presented on the following pages has been corrected for these errors. These adjustments did not have an impact on the consolidated financial statements as of September 30, 2012, or December 31, 2011, or for the three months ended December 31, 2011.</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w:t>
      </w:r>
      <w:r>
        <w:rPr>
          <w:rFonts w:ascii="Arial" w:cs="Arial" w:eastAsia="Arial" w:hAnsi="Arial"/>
          <w:sz w:val="16"/>
          <w:szCs w:val="16"/>
          <w:b w:val="1"/>
          <w:bCs w:val="1"/>
          <w:color w:val="auto"/>
        </w:rPr>
        <w:t>ed Consolidating Balance Sheets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60" w:type="dxa"/>
            <w:vAlign w:val="bottom"/>
            <w:gridSpan w:val="4"/>
          </w:tcPr>
          <w:p>
            <w:pPr>
              <w:jc w:val="center"/>
              <w:ind w:right="40"/>
              <w:spacing w:after="0"/>
              <w:rPr>
                <w:sz w:val="20"/>
                <w:szCs w:val="20"/>
                <w:color w:val="auto"/>
              </w:rPr>
            </w:pPr>
            <w:r>
              <w:rPr>
                <w:rFonts w:ascii="Arial" w:cs="Arial" w:eastAsia="Arial" w:hAnsi="Arial"/>
                <w:sz w:val="16"/>
                <w:szCs w:val="16"/>
                <w:b w:val="1"/>
                <w:bCs w:val="1"/>
                <w:color w:val="auto"/>
                <w:w w:val="90"/>
              </w:rPr>
              <w:t>December 31, 2012</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4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Parent</w:t>
            </w:r>
          </w:p>
        </w:tc>
        <w:tc>
          <w:tcPr>
            <w:tcW w:w="200" w:type="dxa"/>
            <w:vAlign w:val="bottom"/>
          </w:tcPr>
          <w:p>
            <w:pPr>
              <w:spacing w:after="0"/>
              <w:rPr>
                <w:sz w:val="16"/>
                <w:szCs w:val="16"/>
                <w:color w:val="auto"/>
              </w:rPr>
            </w:pPr>
          </w:p>
        </w:tc>
        <w:tc>
          <w:tcPr>
            <w:tcW w:w="1060" w:type="dxa"/>
            <w:vAlign w:val="bottom"/>
          </w:tcPr>
          <w:p>
            <w:pPr>
              <w:jc w:val="right"/>
              <w:ind w:right="219"/>
              <w:spacing w:after="0"/>
              <w:rPr>
                <w:sz w:val="20"/>
                <w:szCs w:val="20"/>
                <w:color w:val="auto"/>
              </w:rPr>
            </w:pPr>
            <w:r>
              <w:rPr>
                <w:rFonts w:ascii="Arial" w:cs="Arial" w:eastAsia="Arial" w:hAnsi="Arial"/>
                <w:sz w:val="14"/>
                <w:szCs w:val="14"/>
                <w:b w:val="1"/>
                <w:bCs w:val="1"/>
                <w:color w:val="auto"/>
              </w:rPr>
              <w:t>Subsidiary</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6"/>
                <w:szCs w:val="16"/>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60" w:type="dxa"/>
            <w:vAlign w:val="bottom"/>
          </w:tcPr>
          <w:p>
            <w:pPr>
              <w:spacing w:after="0"/>
              <w:rPr>
                <w:sz w:val="16"/>
                <w:szCs w:val="16"/>
                <w:color w:val="auto"/>
              </w:rPr>
            </w:pPr>
          </w:p>
        </w:tc>
        <w:tc>
          <w:tcPr>
            <w:tcW w:w="108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Guarantors</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Subsidiaries</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4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i w:val="1"/>
                <w:iCs w:val="1"/>
                <w:color w:val="auto"/>
                <w:w w:val="92"/>
              </w:rPr>
              <w:t>(in thousands)</w:t>
            </w: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700" w:type="dxa"/>
            <w:vAlign w:val="bottom"/>
          </w:tcPr>
          <w:p>
            <w:pPr>
              <w:ind w:left="40"/>
              <w:spacing w:after="0"/>
              <w:rPr>
                <w:sz w:val="20"/>
                <w:szCs w:val="20"/>
                <w:color w:val="auto"/>
              </w:rPr>
            </w:pPr>
            <w:r>
              <w:rPr>
                <w:rFonts w:ascii="Arial" w:cs="Arial" w:eastAsia="Arial" w:hAnsi="Arial"/>
                <w:sz w:val="16"/>
                <w:szCs w:val="16"/>
                <w:color w:val="auto"/>
              </w:rPr>
              <w:t>Assets:</w:t>
            </w: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720"/>
              <w:spacing w:after="0"/>
              <w:rPr>
                <w:sz w:val="20"/>
                <w:szCs w:val="20"/>
                <w:color w:val="auto"/>
              </w:rPr>
            </w:pPr>
            <w:r>
              <w:rPr>
                <w:rFonts w:ascii="Arial" w:cs="Arial" w:eastAsia="Arial" w:hAnsi="Arial"/>
                <w:sz w:val="16"/>
                <w:szCs w:val="16"/>
                <w:color w:val="auto"/>
              </w:rPr>
              <w:t>Cash and cash equivalents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703</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27,775</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18,190</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46,668</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Restricted cash</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1,133</w:t>
            </w:r>
          </w:p>
        </w:tc>
        <w:tc>
          <w:tcPr>
            <w:tcW w:w="0" w:type="dxa"/>
            <w:vAlign w:val="bottom"/>
          </w:tcPr>
          <w:p>
            <w:pPr>
              <w:spacing w:after="0"/>
              <w:rPr>
                <w:sz w:val="1"/>
                <w:szCs w:val="1"/>
                <w:color w:val="auto"/>
              </w:rPr>
            </w:pPr>
          </w:p>
        </w:tc>
      </w:tr>
      <w:tr>
        <w:trPr>
          <w:trHeight w:val="237"/>
        </w:trPr>
        <w:tc>
          <w:tcPr>
            <w:tcW w:w="4700" w:type="dxa"/>
            <w:vAlign w:val="bottom"/>
          </w:tcPr>
          <w:p>
            <w:pPr>
              <w:ind w:left="720"/>
              <w:spacing w:after="0"/>
              <w:rPr>
                <w:sz w:val="20"/>
                <w:szCs w:val="20"/>
                <w:color w:val="auto"/>
              </w:rPr>
            </w:pPr>
            <w:r>
              <w:rPr>
                <w:rFonts w:ascii="Arial" w:cs="Arial" w:eastAsia="Arial" w:hAnsi="Arial"/>
                <w:sz w:val="16"/>
                <w:szCs w:val="16"/>
                <w:color w:val="auto"/>
              </w:rPr>
              <w:t>Pawn loans</w:t>
            </w:r>
          </w:p>
        </w:tc>
        <w:tc>
          <w:tcPr>
            <w:tcW w:w="26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147,145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14,950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162,095</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Consumer loans, net</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18,857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21,742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40,599</w:t>
            </w:r>
          </w:p>
        </w:tc>
        <w:tc>
          <w:tcPr>
            <w:tcW w:w="0" w:type="dxa"/>
            <w:vAlign w:val="bottom"/>
          </w:tcPr>
          <w:p>
            <w:pPr>
              <w:spacing w:after="0"/>
              <w:rPr>
                <w:sz w:val="1"/>
                <w:szCs w:val="1"/>
                <w:color w:val="auto"/>
              </w:rPr>
            </w:pPr>
          </w:p>
        </w:tc>
      </w:tr>
      <w:tr>
        <w:trPr>
          <w:trHeight w:val="237"/>
        </w:trPr>
        <w:tc>
          <w:tcPr>
            <w:tcW w:w="4700" w:type="dxa"/>
            <w:vAlign w:val="bottom"/>
          </w:tcPr>
          <w:p>
            <w:pPr>
              <w:ind w:left="720"/>
              <w:spacing w:after="0"/>
              <w:rPr>
                <w:sz w:val="20"/>
                <w:szCs w:val="20"/>
                <w:color w:val="auto"/>
              </w:rPr>
            </w:pPr>
            <w:r>
              <w:rPr>
                <w:rFonts w:ascii="Arial" w:cs="Arial" w:eastAsia="Arial" w:hAnsi="Arial"/>
                <w:sz w:val="16"/>
                <w:szCs w:val="16"/>
                <w:color w:val="auto"/>
              </w:rPr>
              <w:t>Pawn service charges receivable, net</w:t>
            </w:r>
          </w:p>
        </w:tc>
        <w:tc>
          <w:tcPr>
            <w:tcW w:w="26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28,760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2,317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31,077</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Consumer loan fees receivable, net</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7,647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26,427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34,074</w:t>
            </w:r>
          </w:p>
        </w:tc>
        <w:tc>
          <w:tcPr>
            <w:tcW w:w="0" w:type="dxa"/>
            <w:vAlign w:val="bottom"/>
          </w:tcPr>
          <w:p>
            <w:pPr>
              <w:spacing w:after="0"/>
              <w:rPr>
                <w:sz w:val="1"/>
                <w:szCs w:val="1"/>
                <w:color w:val="auto"/>
              </w:rPr>
            </w:pPr>
          </w:p>
        </w:tc>
      </w:tr>
      <w:tr>
        <w:trPr>
          <w:trHeight w:val="237"/>
        </w:trPr>
        <w:tc>
          <w:tcPr>
            <w:tcW w:w="4700" w:type="dxa"/>
            <w:vAlign w:val="bottom"/>
          </w:tcPr>
          <w:p>
            <w:pPr>
              <w:ind w:left="720"/>
              <w:spacing w:after="0"/>
              <w:rPr>
                <w:sz w:val="20"/>
                <w:szCs w:val="20"/>
                <w:color w:val="auto"/>
              </w:rPr>
            </w:pPr>
            <w:r>
              <w:rPr>
                <w:rFonts w:ascii="Arial" w:cs="Arial" w:eastAsia="Arial" w:hAnsi="Arial"/>
                <w:sz w:val="16"/>
                <w:szCs w:val="16"/>
                <w:color w:val="auto"/>
              </w:rPr>
              <w:t>Inventory, net</w:t>
            </w:r>
          </w:p>
        </w:tc>
        <w:tc>
          <w:tcPr>
            <w:tcW w:w="26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101,636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18,690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120,326</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Deferred tax asset</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9,484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6,232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15,716</w:t>
            </w:r>
          </w:p>
        </w:tc>
        <w:tc>
          <w:tcPr>
            <w:tcW w:w="0" w:type="dxa"/>
            <w:vAlign w:val="bottom"/>
          </w:tcPr>
          <w:p>
            <w:pPr>
              <w:spacing w:after="0"/>
              <w:rPr>
                <w:sz w:val="1"/>
                <w:szCs w:val="1"/>
                <w:color w:val="auto"/>
              </w:rPr>
            </w:pPr>
          </w:p>
        </w:tc>
      </w:tr>
      <w:tr>
        <w:trPr>
          <w:trHeight w:val="237"/>
        </w:trPr>
        <w:tc>
          <w:tcPr>
            <w:tcW w:w="4700" w:type="dxa"/>
            <w:vAlign w:val="bottom"/>
          </w:tcPr>
          <w:p>
            <w:pPr>
              <w:ind w:left="720"/>
              <w:spacing w:after="0"/>
              <w:rPr>
                <w:sz w:val="20"/>
                <w:szCs w:val="20"/>
                <w:color w:val="auto"/>
              </w:rPr>
            </w:pPr>
            <w:r>
              <w:rPr>
                <w:rFonts w:ascii="Arial" w:cs="Arial" w:eastAsia="Arial" w:hAnsi="Arial"/>
                <w:sz w:val="16"/>
                <w:szCs w:val="16"/>
                <w:color w:val="auto"/>
              </w:rPr>
              <w:t>Intercompany receivables</w:t>
            </w:r>
          </w:p>
        </w:tc>
        <w:tc>
          <w:tcPr>
            <w:tcW w:w="26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364,851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87,313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(452,164)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Prepaid expenses and other assets</w:t>
            </w: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42,824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7,553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50,394</w:t>
            </w:r>
          </w:p>
        </w:tc>
        <w:tc>
          <w:tcPr>
            <w:tcW w:w="0" w:type="dxa"/>
            <w:vAlign w:val="bottom"/>
          </w:tcPr>
          <w:p>
            <w:pPr>
              <w:spacing w:after="0"/>
              <w:rPr>
                <w:sz w:val="1"/>
                <w:szCs w:val="1"/>
                <w:color w:val="auto"/>
              </w:rPr>
            </w:pPr>
          </w:p>
        </w:tc>
      </w:tr>
      <w:tr>
        <w:trPr>
          <w:trHeight w:val="217"/>
        </w:trPr>
        <w:tc>
          <w:tcPr>
            <w:tcW w:w="4700" w:type="dxa"/>
            <w:vAlign w:val="bottom"/>
          </w:tcPr>
          <w:p>
            <w:pPr>
              <w:ind w:left="1140"/>
              <w:spacing w:after="0"/>
              <w:rPr>
                <w:sz w:val="20"/>
                <w:szCs w:val="20"/>
                <w:color w:val="auto"/>
              </w:rPr>
            </w:pPr>
            <w:r>
              <w:rPr>
                <w:rFonts w:ascii="Arial" w:cs="Arial" w:eastAsia="Arial" w:hAnsi="Arial"/>
                <w:sz w:val="16"/>
                <w:szCs w:val="16"/>
                <w:color w:val="auto"/>
              </w:rPr>
              <w:t>Total current assets</w:t>
            </w:r>
          </w:p>
        </w:tc>
        <w:tc>
          <w:tcPr>
            <w:tcW w:w="2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375,055</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468,189</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111,002</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(452,164)</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502,082</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Investments in unconsolidated affiliates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89,673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54,559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144,232</w:t>
            </w:r>
          </w:p>
        </w:tc>
        <w:tc>
          <w:tcPr>
            <w:tcW w:w="0" w:type="dxa"/>
            <w:vAlign w:val="bottom"/>
          </w:tcPr>
          <w:p>
            <w:pPr>
              <w:spacing w:after="0"/>
              <w:rPr>
                <w:sz w:val="1"/>
                <w:szCs w:val="1"/>
                <w:color w:val="auto"/>
              </w:rPr>
            </w:pPr>
          </w:p>
        </w:tc>
      </w:tr>
      <w:tr>
        <w:trPr>
          <w:trHeight w:val="237"/>
        </w:trPr>
        <w:tc>
          <w:tcPr>
            <w:tcW w:w="4700" w:type="dxa"/>
            <w:vAlign w:val="bottom"/>
          </w:tcPr>
          <w:p>
            <w:pPr>
              <w:ind w:left="380"/>
              <w:spacing w:after="0"/>
              <w:rPr>
                <w:sz w:val="20"/>
                <w:szCs w:val="20"/>
                <w:color w:val="auto"/>
              </w:rPr>
            </w:pPr>
            <w:r>
              <w:rPr>
                <w:rFonts w:ascii="Arial" w:cs="Arial" w:eastAsia="Arial" w:hAnsi="Arial"/>
                <w:sz w:val="16"/>
                <w:szCs w:val="16"/>
                <w:color w:val="auto"/>
              </w:rPr>
              <w:t>Investments in subsidiaries</w:t>
            </w:r>
          </w:p>
        </w:tc>
        <w:tc>
          <w:tcPr>
            <w:tcW w:w="26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622,847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99,942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(722,789)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Property and equipment, net</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79,259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35,417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114,676</w:t>
            </w:r>
          </w:p>
        </w:tc>
        <w:tc>
          <w:tcPr>
            <w:tcW w:w="0" w:type="dxa"/>
            <w:vAlign w:val="bottom"/>
          </w:tcPr>
          <w:p>
            <w:pPr>
              <w:spacing w:after="0"/>
              <w:rPr>
                <w:sz w:val="1"/>
                <w:szCs w:val="1"/>
                <w:color w:val="auto"/>
              </w:rPr>
            </w:pPr>
          </w:p>
        </w:tc>
      </w:tr>
      <w:tr>
        <w:trPr>
          <w:trHeight w:val="237"/>
        </w:trPr>
        <w:tc>
          <w:tcPr>
            <w:tcW w:w="4700" w:type="dxa"/>
            <w:vAlign w:val="bottom"/>
          </w:tcPr>
          <w:p>
            <w:pPr>
              <w:ind w:left="380"/>
              <w:spacing w:after="0"/>
              <w:rPr>
                <w:sz w:val="20"/>
                <w:szCs w:val="20"/>
                <w:color w:val="auto"/>
              </w:rPr>
            </w:pPr>
            <w:r>
              <w:rPr>
                <w:rFonts w:ascii="Arial" w:cs="Arial" w:eastAsia="Arial" w:hAnsi="Arial"/>
                <w:sz w:val="16"/>
                <w:szCs w:val="16"/>
                <w:color w:val="auto"/>
              </w:rPr>
              <w:t>Restricted cash, non-current</w:t>
            </w:r>
          </w:p>
        </w:tc>
        <w:tc>
          <w:tcPr>
            <w:tcW w:w="26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1,994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1,994</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Goodwill</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276,539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151,472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428,011</w:t>
            </w:r>
          </w:p>
        </w:tc>
        <w:tc>
          <w:tcPr>
            <w:tcW w:w="0" w:type="dxa"/>
            <w:vAlign w:val="bottom"/>
          </w:tcPr>
          <w:p>
            <w:pPr>
              <w:spacing w:after="0"/>
              <w:rPr>
                <w:sz w:val="1"/>
                <w:szCs w:val="1"/>
                <w:color w:val="auto"/>
              </w:rPr>
            </w:pPr>
          </w:p>
        </w:tc>
      </w:tr>
      <w:tr>
        <w:trPr>
          <w:trHeight w:val="237"/>
        </w:trPr>
        <w:tc>
          <w:tcPr>
            <w:tcW w:w="4700" w:type="dxa"/>
            <w:vAlign w:val="bottom"/>
          </w:tcPr>
          <w:p>
            <w:pPr>
              <w:ind w:left="380"/>
              <w:spacing w:after="0"/>
              <w:rPr>
                <w:sz w:val="20"/>
                <w:szCs w:val="20"/>
                <w:color w:val="auto"/>
              </w:rPr>
            </w:pPr>
            <w:r>
              <w:rPr>
                <w:rFonts w:ascii="Arial" w:cs="Arial" w:eastAsia="Arial" w:hAnsi="Arial"/>
                <w:sz w:val="16"/>
                <w:szCs w:val="16"/>
                <w:color w:val="auto"/>
              </w:rPr>
              <w:t>Intangible assets, net</w:t>
            </w:r>
          </w:p>
        </w:tc>
        <w:tc>
          <w:tcPr>
            <w:tcW w:w="26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1,398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33,974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25,290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60,662</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Non-current consumer loans, net</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66,615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66,615</w:t>
            </w:r>
          </w:p>
        </w:tc>
        <w:tc>
          <w:tcPr>
            <w:tcW w:w="0" w:type="dxa"/>
            <w:vAlign w:val="bottom"/>
          </w:tcPr>
          <w:p>
            <w:pPr>
              <w:spacing w:after="0"/>
              <w:rPr>
                <w:sz w:val="1"/>
                <w:szCs w:val="1"/>
                <w:color w:val="auto"/>
              </w:rPr>
            </w:pPr>
          </w:p>
        </w:tc>
      </w:tr>
      <w:tr>
        <w:trPr>
          <w:trHeight w:val="237"/>
        </w:trPr>
        <w:tc>
          <w:tcPr>
            <w:tcW w:w="4700" w:type="dxa"/>
            <w:vAlign w:val="bottom"/>
          </w:tcPr>
          <w:p>
            <w:pPr>
              <w:ind w:left="380"/>
              <w:spacing w:after="0"/>
              <w:rPr>
                <w:sz w:val="20"/>
                <w:szCs w:val="20"/>
                <w:color w:val="auto"/>
              </w:rPr>
            </w:pPr>
            <w:r>
              <w:rPr>
                <w:rFonts w:ascii="Arial" w:cs="Arial" w:eastAsia="Arial" w:hAnsi="Arial"/>
                <w:sz w:val="16"/>
                <w:szCs w:val="16"/>
                <w:color w:val="auto"/>
              </w:rPr>
              <w:t>Other assets, net</w:t>
            </w:r>
          </w:p>
        </w:tc>
        <w:tc>
          <w:tcPr>
            <w:tcW w:w="26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9,380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9,694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19,074</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shd w:val="clear" w:color="auto" w:fill="CCEEFF"/>
          </w:tcPr>
          <w:p>
            <w:pPr>
              <w:ind w:left="1140"/>
              <w:spacing w:after="0"/>
              <w:rPr>
                <w:sz w:val="20"/>
                <w:szCs w:val="20"/>
                <w:color w:val="auto"/>
              </w:rPr>
            </w:pPr>
            <w:r>
              <w:rPr>
                <w:rFonts w:ascii="Arial" w:cs="Arial" w:eastAsia="Arial" w:hAnsi="Arial"/>
                <w:sz w:val="16"/>
                <w:szCs w:val="16"/>
                <w:color w:val="auto"/>
              </w:rPr>
              <w:t>Total assets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1,088,973</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1,021,842</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401,484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(1,174,953)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1,337,346</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Liabilities and stockholders’ equity:</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0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720"/>
              <w:spacing w:after="0"/>
              <w:rPr>
                <w:sz w:val="20"/>
                <w:szCs w:val="20"/>
                <w:color w:val="auto"/>
              </w:rPr>
            </w:pPr>
            <w:r>
              <w:rPr>
                <w:rFonts w:ascii="Arial" w:cs="Arial" w:eastAsia="Arial" w:hAnsi="Arial"/>
                <w:sz w:val="16"/>
                <w:szCs w:val="16"/>
                <w:color w:val="auto"/>
              </w:rPr>
              <w:t>Current maturities of long-term debt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27,562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27,562</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Current capital lease obligations</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533</w:t>
            </w:r>
          </w:p>
        </w:tc>
        <w:tc>
          <w:tcPr>
            <w:tcW w:w="0" w:type="dxa"/>
            <w:vAlign w:val="bottom"/>
          </w:tcPr>
          <w:p>
            <w:pPr>
              <w:spacing w:after="0"/>
              <w:rPr>
                <w:sz w:val="1"/>
                <w:szCs w:val="1"/>
                <w:color w:val="auto"/>
              </w:rPr>
            </w:pPr>
          </w:p>
        </w:tc>
      </w:tr>
      <w:tr>
        <w:trPr>
          <w:trHeight w:val="237"/>
        </w:trPr>
        <w:tc>
          <w:tcPr>
            <w:tcW w:w="4700" w:type="dxa"/>
            <w:vAlign w:val="bottom"/>
          </w:tcPr>
          <w:p>
            <w:pPr>
              <w:ind w:left="720"/>
              <w:spacing w:after="0"/>
              <w:rPr>
                <w:sz w:val="20"/>
                <w:szCs w:val="20"/>
                <w:color w:val="auto"/>
              </w:rPr>
            </w:pPr>
            <w:r>
              <w:rPr>
                <w:rFonts w:ascii="Arial" w:cs="Arial" w:eastAsia="Arial" w:hAnsi="Arial"/>
                <w:sz w:val="16"/>
                <w:szCs w:val="16"/>
                <w:color w:val="auto"/>
              </w:rPr>
              <w:t>Accounts payable and other accrued expenses</w:t>
            </w:r>
          </w:p>
        </w:tc>
        <w:tc>
          <w:tcPr>
            <w:tcW w:w="26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56,810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13,807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70,719</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Other 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11,971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24,396</w:t>
            </w:r>
          </w:p>
        </w:tc>
        <w:tc>
          <w:tcPr>
            <w:tcW w:w="0" w:type="dxa"/>
            <w:vAlign w:val="bottom"/>
          </w:tcPr>
          <w:p>
            <w:pPr>
              <w:spacing w:after="0"/>
              <w:rPr>
                <w:sz w:val="1"/>
                <w:szCs w:val="1"/>
                <w:color w:val="auto"/>
              </w:rPr>
            </w:pPr>
          </w:p>
        </w:tc>
      </w:tr>
      <w:tr>
        <w:trPr>
          <w:trHeight w:val="237"/>
        </w:trPr>
        <w:tc>
          <w:tcPr>
            <w:tcW w:w="4700" w:type="dxa"/>
            <w:vAlign w:val="bottom"/>
          </w:tcPr>
          <w:p>
            <w:pPr>
              <w:ind w:left="720"/>
              <w:spacing w:after="0"/>
              <w:rPr>
                <w:sz w:val="20"/>
                <w:szCs w:val="20"/>
                <w:color w:val="auto"/>
              </w:rPr>
            </w:pPr>
            <w:r>
              <w:rPr>
                <w:rFonts w:ascii="Arial" w:cs="Arial" w:eastAsia="Arial" w:hAnsi="Arial"/>
                <w:sz w:val="16"/>
                <w:szCs w:val="16"/>
                <w:color w:val="auto"/>
              </w:rPr>
              <w:t>Customer layaway deposits</w:t>
            </w:r>
          </w:p>
        </w:tc>
        <w:tc>
          <w:tcPr>
            <w:tcW w:w="26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5,696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558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6,254</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Intercompany payables</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336,574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101,715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(438,289)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700" w:type="dxa"/>
            <w:vAlign w:val="bottom"/>
          </w:tcPr>
          <w:p>
            <w:pPr>
              <w:ind w:left="720"/>
              <w:spacing w:after="0"/>
              <w:rPr>
                <w:sz w:val="20"/>
                <w:szCs w:val="20"/>
                <w:color w:val="auto"/>
              </w:rPr>
            </w:pPr>
            <w:r>
              <w:rPr>
                <w:rFonts w:ascii="Arial" w:cs="Arial" w:eastAsia="Arial" w:hAnsi="Arial"/>
                <w:sz w:val="16"/>
                <w:szCs w:val="16"/>
                <w:color w:val="auto"/>
              </w:rPr>
              <w:t>Income taxes payable</w:t>
            </w:r>
          </w:p>
        </w:tc>
        <w:tc>
          <w:tcPr>
            <w:tcW w:w="26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659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659</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Total current liabilities</w:t>
            </w:r>
          </w:p>
        </w:tc>
        <w:tc>
          <w:tcPr>
            <w:tcW w:w="2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12,761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400,038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155,613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(438,289)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130,123</w:t>
            </w:r>
          </w:p>
        </w:tc>
        <w:tc>
          <w:tcPr>
            <w:tcW w:w="0" w:type="dxa"/>
            <w:vAlign w:val="bottom"/>
          </w:tcPr>
          <w:p>
            <w:pPr>
              <w:spacing w:after="0"/>
              <w:rPr>
                <w:sz w:val="1"/>
                <w:szCs w:val="1"/>
                <w:color w:val="auto"/>
              </w:rPr>
            </w:pPr>
          </w:p>
        </w:tc>
      </w:tr>
      <w:tr>
        <w:trPr>
          <w:trHeight w:val="237"/>
        </w:trPr>
        <w:tc>
          <w:tcPr>
            <w:tcW w:w="4700" w:type="dxa"/>
            <w:vAlign w:val="bottom"/>
          </w:tcPr>
          <w:p>
            <w:pPr>
              <w:ind w:left="380"/>
              <w:spacing w:after="0"/>
              <w:rPr>
                <w:sz w:val="20"/>
                <w:szCs w:val="20"/>
                <w:color w:val="auto"/>
              </w:rPr>
            </w:pPr>
            <w:r>
              <w:rPr>
                <w:rFonts w:ascii="Arial" w:cs="Arial" w:eastAsia="Arial" w:hAnsi="Arial"/>
                <w:sz w:val="16"/>
                <w:szCs w:val="16"/>
                <w:color w:val="auto"/>
              </w:rPr>
              <w:t>Long-term debt, less current maturities</w:t>
            </w:r>
          </w:p>
        </w:tc>
        <w:tc>
          <w:tcPr>
            <w:tcW w:w="26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142,600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79,253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(13,875)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207,978</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Long-term capital lease obligations</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771</w:t>
            </w:r>
          </w:p>
        </w:tc>
        <w:tc>
          <w:tcPr>
            <w:tcW w:w="0" w:type="dxa"/>
            <w:vAlign w:val="bottom"/>
          </w:tcPr>
          <w:p>
            <w:pPr>
              <w:spacing w:after="0"/>
              <w:rPr>
                <w:sz w:val="1"/>
                <w:szCs w:val="1"/>
                <w:color w:val="auto"/>
              </w:rPr>
            </w:pPr>
          </w:p>
        </w:tc>
      </w:tr>
      <w:tr>
        <w:trPr>
          <w:trHeight w:val="237"/>
        </w:trPr>
        <w:tc>
          <w:tcPr>
            <w:tcW w:w="4700" w:type="dxa"/>
            <w:vAlign w:val="bottom"/>
          </w:tcPr>
          <w:p>
            <w:pPr>
              <w:ind w:left="380"/>
              <w:spacing w:after="0"/>
              <w:rPr>
                <w:sz w:val="20"/>
                <w:szCs w:val="20"/>
                <w:color w:val="auto"/>
              </w:rPr>
            </w:pPr>
            <w:r>
              <w:rPr>
                <w:rFonts w:ascii="Arial" w:cs="Arial" w:eastAsia="Arial" w:hAnsi="Arial"/>
                <w:sz w:val="16"/>
                <w:szCs w:val="16"/>
                <w:color w:val="auto"/>
              </w:rPr>
              <w:t>Deferred tax liability</w:t>
            </w:r>
          </w:p>
        </w:tc>
        <w:tc>
          <w:tcPr>
            <w:tcW w:w="26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9,503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1,312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10,815</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Deferred gains and other long-term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12,000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2,247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11,980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26,227</w:t>
            </w:r>
          </w:p>
        </w:tc>
        <w:tc>
          <w:tcPr>
            <w:tcW w:w="0" w:type="dxa"/>
            <w:vAlign w:val="bottom"/>
          </w:tcPr>
          <w:p>
            <w:pPr>
              <w:spacing w:after="0"/>
              <w:rPr>
                <w:sz w:val="1"/>
                <w:szCs w:val="1"/>
                <w:color w:val="auto"/>
              </w:rPr>
            </w:pPr>
          </w:p>
        </w:tc>
      </w:tr>
      <w:tr>
        <w:trPr>
          <w:trHeight w:val="217"/>
        </w:trPr>
        <w:tc>
          <w:tcPr>
            <w:tcW w:w="4700" w:type="dxa"/>
            <w:vAlign w:val="bottom"/>
          </w:tcPr>
          <w:p>
            <w:pPr>
              <w:ind w:left="1140"/>
              <w:spacing w:after="0"/>
              <w:rPr>
                <w:sz w:val="20"/>
                <w:szCs w:val="20"/>
                <w:color w:val="auto"/>
              </w:rPr>
            </w:pPr>
            <w:r>
              <w:rPr>
                <w:rFonts w:ascii="Arial" w:cs="Arial" w:eastAsia="Arial" w:hAnsi="Arial"/>
                <w:sz w:val="16"/>
                <w:szCs w:val="16"/>
                <w:color w:val="auto"/>
              </w:rPr>
              <w:t>Total liabilities</w:t>
            </w:r>
          </w:p>
        </w:tc>
        <w:tc>
          <w:tcPr>
            <w:tcW w:w="2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176,864</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404,368</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246,846</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(452,164)</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375,914</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Commitments and contingencies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380"/>
              <w:spacing w:after="0"/>
              <w:rPr>
                <w:sz w:val="20"/>
                <w:szCs w:val="20"/>
                <w:color w:val="auto"/>
              </w:rPr>
            </w:pPr>
            <w:r>
              <w:rPr>
                <w:rFonts w:ascii="Arial" w:cs="Arial" w:eastAsia="Arial" w:hAnsi="Arial"/>
                <w:sz w:val="16"/>
                <w:szCs w:val="16"/>
                <w:color w:val="auto"/>
              </w:rPr>
              <w:t>Temporary equity:</w:t>
            </w: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Redeemable noncontrolling interest</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49,323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49,323</w:t>
            </w:r>
          </w:p>
        </w:tc>
        <w:tc>
          <w:tcPr>
            <w:tcW w:w="0" w:type="dxa"/>
            <w:vAlign w:val="bottom"/>
          </w:tcPr>
          <w:p>
            <w:pPr>
              <w:spacing w:after="0"/>
              <w:rPr>
                <w:sz w:val="1"/>
                <w:szCs w:val="1"/>
                <w:color w:val="auto"/>
              </w:rPr>
            </w:pPr>
          </w:p>
        </w:tc>
      </w:tr>
      <w:tr>
        <w:trPr>
          <w:trHeight w:val="237"/>
        </w:trPr>
        <w:tc>
          <w:tcPr>
            <w:tcW w:w="4700" w:type="dxa"/>
            <w:vAlign w:val="bottom"/>
          </w:tcPr>
          <w:p>
            <w:pPr>
              <w:ind w:left="380"/>
              <w:spacing w:after="0"/>
              <w:rPr>
                <w:sz w:val="20"/>
                <w:szCs w:val="20"/>
                <w:color w:val="auto"/>
              </w:rPr>
            </w:pPr>
            <w:r>
              <w:rPr>
                <w:rFonts w:ascii="Arial" w:cs="Arial" w:eastAsia="Arial" w:hAnsi="Arial"/>
                <w:sz w:val="16"/>
                <w:szCs w:val="16"/>
                <w:color w:val="auto"/>
              </w:rPr>
              <w:t>Stockholders’ equity:</w:t>
            </w: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700" w:type="dxa"/>
            <w:vAlign w:val="bottom"/>
            <w:shd w:val="clear" w:color="auto" w:fill="CCEEFF"/>
          </w:tcPr>
          <w:p>
            <w:pPr>
              <w:ind w:left="720"/>
              <w:spacing w:after="0"/>
              <w:rPr>
                <w:sz w:val="20"/>
                <w:szCs w:val="20"/>
                <w:color w:val="auto"/>
              </w:rPr>
            </w:pPr>
            <w:r>
              <w:rPr>
                <w:rFonts w:ascii="Arial" w:cs="Arial" w:eastAsia="Arial" w:hAnsi="Arial"/>
                <w:sz w:val="16"/>
                <w:szCs w:val="16"/>
                <w:color w:val="auto"/>
              </w:rPr>
              <w:t>Class A Non-voting Common Stock, par value $.01 per</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share;</w:t>
            </w:r>
          </w:p>
        </w:tc>
        <w:tc>
          <w:tcPr>
            <w:tcW w:w="2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508</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508</w:t>
            </w:r>
          </w:p>
        </w:tc>
        <w:tc>
          <w:tcPr>
            <w:tcW w:w="0" w:type="dxa"/>
            <w:vAlign w:val="bottom"/>
          </w:tcPr>
          <w:p>
            <w:pPr>
              <w:spacing w:after="0"/>
              <w:rPr>
                <w:sz w:val="1"/>
                <w:szCs w:val="1"/>
                <w:color w:val="auto"/>
              </w:rPr>
            </w:pPr>
          </w:p>
        </w:tc>
      </w:tr>
      <w:tr>
        <w:trPr>
          <w:trHeight w:val="220"/>
        </w:trPr>
        <w:tc>
          <w:tcPr>
            <w:tcW w:w="4700" w:type="dxa"/>
            <w:vAlign w:val="bottom"/>
          </w:tcPr>
          <w:p>
            <w:pPr>
              <w:ind w:left="720"/>
              <w:spacing w:after="0"/>
              <w:rPr>
                <w:sz w:val="20"/>
                <w:szCs w:val="20"/>
                <w:color w:val="auto"/>
              </w:rPr>
            </w:pPr>
            <w:r>
              <w:rPr>
                <w:rFonts w:ascii="Arial" w:cs="Arial" w:eastAsia="Arial" w:hAnsi="Arial"/>
                <w:sz w:val="16"/>
                <w:szCs w:val="16"/>
                <w:color w:val="auto"/>
                <w:w w:val="95"/>
              </w:rPr>
              <w:t>Class B Voting Common Stock, convertible, par value $.01</w:t>
            </w: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700" w:type="dxa"/>
            <w:vAlign w:val="bottom"/>
          </w:tcPr>
          <w:p>
            <w:pPr>
              <w:ind w:left="720"/>
              <w:spacing w:after="0"/>
              <w:rPr>
                <w:sz w:val="20"/>
                <w:szCs w:val="20"/>
                <w:color w:val="auto"/>
              </w:rPr>
            </w:pPr>
            <w:r>
              <w:rPr>
                <w:rFonts w:ascii="Arial" w:cs="Arial" w:eastAsia="Arial" w:hAnsi="Arial"/>
                <w:sz w:val="16"/>
                <w:szCs w:val="16"/>
                <w:color w:val="auto"/>
              </w:rPr>
              <w:t>per share;</w:t>
            </w:r>
          </w:p>
        </w:tc>
        <w:tc>
          <w:tcPr>
            <w:tcW w:w="260" w:type="dxa"/>
            <w:vAlign w:val="bottom"/>
          </w:tcPr>
          <w:p>
            <w:pPr>
              <w:spacing w:after="0"/>
              <w:rPr>
                <w:sz w:val="17"/>
                <w:szCs w:val="17"/>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Additional paid-in capital</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313,068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154,017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103,765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(257,782)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313,068</w:t>
            </w:r>
          </w:p>
        </w:tc>
        <w:tc>
          <w:tcPr>
            <w:tcW w:w="0" w:type="dxa"/>
            <w:vAlign w:val="bottom"/>
          </w:tcPr>
          <w:p>
            <w:pPr>
              <w:spacing w:after="0"/>
              <w:rPr>
                <w:sz w:val="1"/>
                <w:szCs w:val="1"/>
                <w:color w:val="auto"/>
              </w:rPr>
            </w:pPr>
          </w:p>
        </w:tc>
      </w:tr>
      <w:tr>
        <w:trPr>
          <w:trHeight w:val="237"/>
        </w:trPr>
        <w:tc>
          <w:tcPr>
            <w:tcW w:w="4700" w:type="dxa"/>
            <w:vAlign w:val="bottom"/>
          </w:tcPr>
          <w:p>
            <w:pPr>
              <w:ind w:left="720"/>
              <w:spacing w:after="0"/>
              <w:rPr>
                <w:sz w:val="20"/>
                <w:szCs w:val="20"/>
                <w:color w:val="auto"/>
              </w:rPr>
            </w:pPr>
            <w:r>
              <w:rPr>
                <w:rFonts w:ascii="Arial" w:cs="Arial" w:eastAsia="Arial" w:hAnsi="Arial"/>
                <w:sz w:val="16"/>
                <w:szCs w:val="16"/>
                <w:color w:val="auto"/>
              </w:rPr>
              <w:t>Retained earnings</w:t>
            </w:r>
          </w:p>
        </w:tc>
        <w:tc>
          <w:tcPr>
            <w:tcW w:w="26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596,520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463,905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5,644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(469,549)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596,520</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Accumulated other comprehensive income (loss)</w:t>
            </w: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1,983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(4,094)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4,554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1,983</w:t>
            </w:r>
          </w:p>
        </w:tc>
        <w:tc>
          <w:tcPr>
            <w:tcW w:w="0" w:type="dxa"/>
            <w:vAlign w:val="bottom"/>
          </w:tcPr>
          <w:p>
            <w:pPr>
              <w:spacing w:after="0"/>
              <w:rPr>
                <w:sz w:val="1"/>
                <w:szCs w:val="1"/>
                <w:color w:val="auto"/>
              </w:rPr>
            </w:pPr>
          </w:p>
        </w:tc>
      </w:tr>
      <w:tr>
        <w:trPr>
          <w:trHeight w:val="217"/>
        </w:trPr>
        <w:tc>
          <w:tcPr>
            <w:tcW w:w="4700" w:type="dxa"/>
            <w:vAlign w:val="bottom"/>
          </w:tcPr>
          <w:p>
            <w:pPr>
              <w:ind w:left="380"/>
              <w:spacing w:after="0"/>
              <w:rPr>
                <w:sz w:val="20"/>
                <w:szCs w:val="20"/>
                <w:color w:val="auto"/>
              </w:rPr>
            </w:pPr>
            <w:r>
              <w:rPr>
                <w:rFonts w:ascii="Arial" w:cs="Arial" w:eastAsia="Arial" w:hAnsi="Arial"/>
                <w:sz w:val="16"/>
                <w:szCs w:val="16"/>
                <w:color w:val="auto"/>
              </w:rPr>
              <w:t>EZCORP stockholders’ equity</w:t>
            </w:r>
          </w:p>
        </w:tc>
        <w:tc>
          <w:tcPr>
            <w:tcW w:w="2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912,109</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617,474</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105,315</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(722,789)</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912,109</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Total liabilities and stockholders’ equity</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1,088,973</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1,021,842</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401,484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(1,174,953)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1,337,346</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676"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121" w:right="239" w:bottom="676" w:gutter="0" w:footer="0" w:header="0"/>
          <w:type w:val="continuous"/>
        </w:sectPr>
      </w:pPr>
    </w:p>
    <w:bookmarkStart w:id="28" w:name="page29"/>
    <w:bookmarkEnd w:id="28"/>
    <w:tbl>
      <w:tblPr>
        <w:tblLayout w:type="fixed"/>
        <w:tblInd w:w="0" w:type="dxa"/>
        <w:tblCellMar>
          <w:top w:w="0" w:type="dxa"/>
          <w:left w:w="0" w:type="dxa"/>
          <w:bottom w:w="0" w:type="dxa"/>
          <w:right w:w="0" w:type="dxa"/>
        </w:tblCellMar>
      </w:tblPr>
      <w:tr>
        <w:trPr>
          <w:trHeight w:val="161"/>
        </w:trPr>
        <w:tc>
          <w:tcPr>
            <w:tcW w:w="4700" w:type="dxa"/>
            <w:vAlign w:val="bottom"/>
            <w:gridSpan w:val="2"/>
          </w:tcPr>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2"/>
        </w:trPr>
        <w:tc>
          <w:tcPr>
            <w:tcW w:w="1020" w:type="dxa"/>
            <w:vAlign w:val="bottom"/>
            <w:tcBorders>
              <w:top w:val="single" w:sz="8" w:color="0000FF"/>
            </w:tcBorders>
          </w:tcPr>
          <w:p>
            <w:pPr>
              <w:spacing w:after="0"/>
              <w:rPr>
                <w:sz w:val="24"/>
                <w:szCs w:val="24"/>
                <w:color w:val="auto"/>
              </w:rPr>
            </w:pPr>
          </w:p>
        </w:tc>
        <w:tc>
          <w:tcPr>
            <w:tcW w:w="3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December 31, 2011</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10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Subsidiary</w:t>
            </w:r>
          </w:p>
        </w:tc>
        <w:tc>
          <w:tcPr>
            <w:tcW w:w="160" w:type="dxa"/>
            <w:vAlign w:val="bottom"/>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4"/>
                <w:szCs w:val="14"/>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0"/>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102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Subsidiaries</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1020" w:type="dxa"/>
            <w:vAlign w:val="bottom"/>
          </w:tcPr>
          <w:p>
            <w:pPr>
              <w:spacing w:after="0"/>
              <w:rPr>
                <w:sz w:val="21"/>
                <w:szCs w:val="21"/>
                <w:color w:val="auto"/>
              </w:rPr>
            </w:pPr>
          </w:p>
        </w:tc>
        <w:tc>
          <w:tcPr>
            <w:tcW w:w="3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i w:val="1"/>
                <w:iCs w:val="1"/>
                <w:color w:val="auto"/>
                <w:w w:val="92"/>
              </w:rPr>
              <w:t>(in thousands)</w:t>
            </w: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Assets:</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720"/>
              <w:spacing w:after="0"/>
              <w:rPr>
                <w:sz w:val="20"/>
                <w:szCs w:val="20"/>
                <w:color w:val="auto"/>
              </w:rPr>
            </w:pPr>
            <w:r>
              <w:rPr>
                <w:rFonts w:ascii="Arial" w:cs="Arial" w:eastAsia="Arial" w:hAnsi="Arial"/>
                <w:sz w:val="16"/>
                <w:szCs w:val="16"/>
                <w:color w:val="auto"/>
              </w:rPr>
              <w:t>Cash and cash equivalents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703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15,869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6,416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22,988</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Pawn loans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140,386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9,674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150,060</w:t>
            </w:r>
          </w:p>
        </w:tc>
        <w:tc>
          <w:tcPr>
            <w:tcW w:w="0" w:type="dxa"/>
            <w:vAlign w:val="bottom"/>
          </w:tcPr>
          <w:p>
            <w:pPr>
              <w:spacing w:after="0"/>
              <w:rPr>
                <w:sz w:val="1"/>
                <w:szCs w:val="1"/>
                <w:color w:val="auto"/>
              </w:rPr>
            </w:pPr>
          </w:p>
        </w:tc>
      </w:tr>
      <w:tr>
        <w:trPr>
          <w:trHeight w:val="243"/>
        </w:trPr>
        <w:tc>
          <w:tcPr>
            <w:tcW w:w="4700" w:type="dxa"/>
            <w:vAlign w:val="bottom"/>
            <w:gridSpan w:val="2"/>
          </w:tcPr>
          <w:p>
            <w:pPr>
              <w:ind w:left="720"/>
              <w:spacing w:after="0"/>
              <w:rPr>
                <w:sz w:val="20"/>
                <w:szCs w:val="20"/>
                <w:color w:val="auto"/>
              </w:rPr>
            </w:pPr>
            <w:r>
              <w:rPr>
                <w:rFonts w:ascii="Arial" w:cs="Arial" w:eastAsia="Arial" w:hAnsi="Arial"/>
                <w:sz w:val="16"/>
                <w:szCs w:val="16"/>
                <w:color w:val="auto"/>
              </w:rPr>
              <w:t>Consumer loans, net</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13,898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2,290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16,188</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Pawn service charges receivable, net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27,061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28,593</w:t>
            </w:r>
          </w:p>
        </w:tc>
        <w:tc>
          <w:tcPr>
            <w:tcW w:w="0" w:type="dxa"/>
            <w:vAlign w:val="bottom"/>
          </w:tcPr>
          <w:p>
            <w:pPr>
              <w:spacing w:after="0"/>
              <w:rPr>
                <w:sz w:val="1"/>
                <w:szCs w:val="1"/>
                <w:color w:val="auto"/>
              </w:rPr>
            </w:pPr>
          </w:p>
        </w:tc>
      </w:tr>
      <w:tr>
        <w:trPr>
          <w:trHeight w:val="243"/>
        </w:trPr>
        <w:tc>
          <w:tcPr>
            <w:tcW w:w="4700" w:type="dxa"/>
            <w:vAlign w:val="bottom"/>
            <w:gridSpan w:val="2"/>
          </w:tcPr>
          <w:p>
            <w:pPr>
              <w:ind w:left="720"/>
              <w:spacing w:after="0"/>
              <w:rPr>
                <w:sz w:val="20"/>
                <w:szCs w:val="20"/>
                <w:color w:val="auto"/>
              </w:rPr>
            </w:pPr>
            <w:r>
              <w:rPr>
                <w:rFonts w:ascii="Arial" w:cs="Arial" w:eastAsia="Arial" w:hAnsi="Arial"/>
                <w:sz w:val="16"/>
                <w:szCs w:val="16"/>
                <w:color w:val="auto"/>
              </w:rPr>
              <w:t>Consumer loan fees receivable, net</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7,407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7,611</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Inventory, net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90,241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10,144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100,385</w:t>
            </w:r>
          </w:p>
        </w:tc>
        <w:tc>
          <w:tcPr>
            <w:tcW w:w="0" w:type="dxa"/>
            <w:vAlign w:val="bottom"/>
          </w:tcPr>
          <w:p>
            <w:pPr>
              <w:spacing w:after="0"/>
              <w:rPr>
                <w:sz w:val="1"/>
                <w:szCs w:val="1"/>
                <w:color w:val="auto"/>
              </w:rPr>
            </w:pPr>
          </w:p>
        </w:tc>
      </w:tr>
      <w:tr>
        <w:trPr>
          <w:trHeight w:val="243"/>
        </w:trPr>
        <w:tc>
          <w:tcPr>
            <w:tcW w:w="4700" w:type="dxa"/>
            <w:vAlign w:val="bottom"/>
            <w:gridSpan w:val="2"/>
          </w:tcPr>
          <w:p>
            <w:pPr>
              <w:ind w:left="720"/>
              <w:spacing w:after="0"/>
              <w:rPr>
                <w:sz w:val="20"/>
                <w:szCs w:val="20"/>
                <w:color w:val="auto"/>
              </w:rPr>
            </w:pPr>
            <w:r>
              <w:rPr>
                <w:rFonts w:ascii="Arial" w:cs="Arial" w:eastAsia="Arial" w:hAnsi="Arial"/>
                <w:sz w:val="16"/>
                <w:szCs w:val="16"/>
                <w:color w:val="auto"/>
              </w:rPr>
              <w:t>Deferred tax asset</w:t>
            </w:r>
          </w:p>
        </w:tc>
        <w:tc>
          <w:tcPr>
            <w:tcW w:w="2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12,747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5,422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18,169</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Receivable from affiliates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297,078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(297,078)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gridSpan w:val="2"/>
          </w:tcPr>
          <w:p>
            <w:pPr>
              <w:ind w:left="720"/>
              <w:spacing w:after="0"/>
              <w:rPr>
                <w:sz w:val="20"/>
                <w:szCs w:val="20"/>
                <w:color w:val="auto"/>
              </w:rPr>
            </w:pPr>
            <w:r>
              <w:rPr>
                <w:rFonts w:ascii="Arial" w:cs="Arial" w:eastAsia="Arial" w:hAnsi="Arial"/>
                <w:sz w:val="16"/>
                <w:szCs w:val="16"/>
                <w:color w:val="auto"/>
              </w:rPr>
              <w:t>Prepaid expenses and other assets</w:t>
            </w:r>
          </w:p>
        </w:tc>
        <w:tc>
          <w:tcPr>
            <w:tcW w:w="2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35,764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3,120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38,901</w:t>
            </w:r>
          </w:p>
        </w:tc>
        <w:tc>
          <w:tcPr>
            <w:tcW w:w="0" w:type="dxa"/>
            <w:vAlign w:val="bottom"/>
          </w:tcPr>
          <w:p>
            <w:pPr>
              <w:spacing w:after="0"/>
              <w:rPr>
                <w:sz w:val="1"/>
                <w:szCs w:val="1"/>
                <w:color w:val="auto"/>
              </w:rPr>
            </w:pPr>
          </w:p>
        </w:tc>
      </w:tr>
      <w:tr>
        <w:trPr>
          <w:trHeight w:val="27"/>
        </w:trPr>
        <w:tc>
          <w:tcPr>
            <w:tcW w:w="1020" w:type="dxa"/>
            <w:vAlign w:val="bottom"/>
            <w:tcBorders>
              <w:bottom w:val="single" w:sz="8" w:color="CCEEFF"/>
            </w:tcBorders>
          </w:tcPr>
          <w:p>
            <w:pPr>
              <w:spacing w:after="0"/>
              <w:rPr>
                <w:sz w:val="2"/>
                <w:szCs w:val="2"/>
                <w:color w:val="auto"/>
              </w:rPr>
            </w:pPr>
          </w:p>
        </w:tc>
        <w:tc>
          <w:tcPr>
            <w:tcW w:w="36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020" w:type="dxa"/>
            <w:vAlign w:val="bottom"/>
            <w:tcBorders>
              <w:bottom w:val="single" w:sz="8" w:color="CCEEFF"/>
            </w:tcBorders>
            <w:shd w:val="clear" w:color="auto" w:fill="CCEEFF"/>
          </w:tcPr>
          <w:p>
            <w:pPr>
              <w:spacing w:after="0"/>
              <w:rPr>
                <w:sz w:val="21"/>
                <w:szCs w:val="21"/>
                <w:color w:val="auto"/>
              </w:rPr>
            </w:pPr>
          </w:p>
        </w:tc>
        <w:tc>
          <w:tcPr>
            <w:tcW w:w="36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 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310,545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336,048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33,380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(297,078)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382,895</w:t>
            </w:r>
          </w:p>
        </w:tc>
        <w:tc>
          <w:tcPr>
            <w:tcW w:w="0" w:type="dxa"/>
            <w:vAlign w:val="bottom"/>
          </w:tcPr>
          <w:p>
            <w:pPr>
              <w:spacing w:after="0"/>
              <w:rPr>
                <w:sz w:val="1"/>
                <w:szCs w:val="1"/>
                <w:color w:val="auto"/>
              </w:rPr>
            </w:pPr>
          </w:p>
        </w:tc>
      </w:tr>
      <w:tr>
        <w:trPr>
          <w:trHeight w:val="243"/>
        </w:trPr>
        <w:tc>
          <w:tcPr>
            <w:tcW w:w="4700" w:type="dxa"/>
            <w:vAlign w:val="bottom"/>
            <w:gridSpan w:val="2"/>
          </w:tcPr>
          <w:p>
            <w:pPr>
              <w:ind w:left="380"/>
              <w:spacing w:after="0"/>
              <w:rPr>
                <w:sz w:val="20"/>
                <w:szCs w:val="20"/>
                <w:color w:val="auto"/>
              </w:rPr>
            </w:pPr>
            <w:r>
              <w:rPr>
                <w:rFonts w:ascii="Arial" w:cs="Arial" w:eastAsia="Arial" w:hAnsi="Arial"/>
                <w:sz w:val="16"/>
                <w:szCs w:val="16"/>
                <w:color w:val="auto"/>
              </w:rPr>
              <w:t>Investments in unconsolidated affiliates</w:t>
            </w:r>
          </w:p>
        </w:tc>
        <w:tc>
          <w:tcPr>
            <w:tcW w:w="2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68,204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49,616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117,820</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Investments in subsidiaries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377,295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44,573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(421,868)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gridSpan w:val="2"/>
          </w:tcPr>
          <w:p>
            <w:pPr>
              <w:ind w:left="380"/>
              <w:spacing w:after="0"/>
              <w:rPr>
                <w:sz w:val="20"/>
                <w:szCs w:val="20"/>
                <w:color w:val="auto"/>
              </w:rPr>
            </w:pPr>
            <w:r>
              <w:rPr>
                <w:rFonts w:ascii="Arial" w:cs="Arial" w:eastAsia="Arial" w:hAnsi="Arial"/>
                <w:sz w:val="16"/>
                <w:szCs w:val="16"/>
                <w:color w:val="auto"/>
              </w:rPr>
              <w:t>Property and equipment, net</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62,009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22,504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84,513</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Goodwill</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203,295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8,968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212,263</w:t>
            </w:r>
          </w:p>
        </w:tc>
        <w:tc>
          <w:tcPr>
            <w:tcW w:w="0" w:type="dxa"/>
            <w:vAlign w:val="bottom"/>
          </w:tcPr>
          <w:p>
            <w:pPr>
              <w:spacing w:after="0"/>
              <w:rPr>
                <w:sz w:val="1"/>
                <w:szCs w:val="1"/>
                <w:color w:val="auto"/>
              </w:rPr>
            </w:pPr>
          </w:p>
        </w:tc>
      </w:tr>
      <w:tr>
        <w:trPr>
          <w:trHeight w:val="243"/>
        </w:trPr>
        <w:tc>
          <w:tcPr>
            <w:tcW w:w="4700" w:type="dxa"/>
            <w:vAlign w:val="bottom"/>
            <w:gridSpan w:val="2"/>
          </w:tcPr>
          <w:p>
            <w:pPr>
              <w:ind w:left="380"/>
              <w:spacing w:after="0"/>
              <w:rPr>
                <w:sz w:val="20"/>
                <w:szCs w:val="20"/>
                <w:color w:val="auto"/>
              </w:rPr>
            </w:pPr>
            <w:r>
              <w:rPr>
                <w:rFonts w:ascii="Arial" w:cs="Arial" w:eastAsia="Arial" w:hAnsi="Arial"/>
                <w:sz w:val="16"/>
                <w:szCs w:val="16"/>
                <w:color w:val="auto"/>
              </w:rPr>
              <w:t>Intangible assets, net</w:t>
            </w:r>
          </w:p>
        </w:tc>
        <w:tc>
          <w:tcPr>
            <w:tcW w:w="2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2,038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16,120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2,410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20,568</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Other assets, net</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6,364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1,417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7,781</w:t>
            </w:r>
          </w:p>
        </w:tc>
        <w:tc>
          <w:tcPr>
            <w:tcW w:w="0" w:type="dxa"/>
            <w:vAlign w:val="bottom"/>
          </w:tcPr>
          <w:p>
            <w:pPr>
              <w:spacing w:after="0"/>
              <w:rPr>
                <w:sz w:val="1"/>
                <w:szCs w:val="1"/>
                <w:color w:val="auto"/>
              </w:rPr>
            </w:pPr>
          </w:p>
        </w:tc>
      </w:tr>
      <w:tr>
        <w:trPr>
          <w:trHeight w:val="297"/>
        </w:trPr>
        <w:tc>
          <w:tcPr>
            <w:tcW w:w="1020" w:type="dxa"/>
            <w:vAlign w:val="bottom"/>
            <w:tcBorders>
              <w:bottom w:val="single" w:sz="8" w:color="CCEEFF"/>
            </w:tcBorders>
          </w:tcPr>
          <w:p>
            <w:pPr>
              <w:spacing w:after="0"/>
              <w:rPr>
                <w:sz w:val="24"/>
                <w:szCs w:val="24"/>
                <w:color w:val="auto"/>
              </w:rPr>
            </w:pPr>
          </w:p>
        </w:tc>
        <w:tc>
          <w:tcPr>
            <w:tcW w:w="368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Total assets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758,082</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718,025</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68,679</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(718,946)</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825,840</w:t>
            </w: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Liabilities and stockholders’ equity:</w:t>
            </w: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700" w:type="dxa"/>
            <w:vAlign w:val="bottom"/>
            <w:gridSpan w:val="2"/>
          </w:tcPr>
          <w:p>
            <w:pPr>
              <w:ind w:left="380"/>
              <w:spacing w:after="0"/>
              <w:rPr>
                <w:sz w:val="20"/>
                <w:szCs w:val="20"/>
                <w:color w:val="auto"/>
              </w:rPr>
            </w:pPr>
            <w:r>
              <w:rPr>
                <w:rFonts w:ascii="Arial" w:cs="Arial" w:eastAsia="Arial" w:hAnsi="Arial"/>
                <w:sz w:val="16"/>
                <w:szCs w:val="16"/>
                <w:color w:val="auto"/>
              </w:rPr>
              <w:t>Current liabilities:</w:t>
            </w: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Accounts payable and other accrued expenses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45,539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53,087</w:t>
            </w:r>
          </w:p>
        </w:tc>
        <w:tc>
          <w:tcPr>
            <w:tcW w:w="0" w:type="dxa"/>
            <w:vAlign w:val="bottom"/>
          </w:tcPr>
          <w:p>
            <w:pPr>
              <w:spacing w:after="0"/>
              <w:rPr>
                <w:sz w:val="1"/>
                <w:szCs w:val="1"/>
                <w:color w:val="auto"/>
              </w:rPr>
            </w:pPr>
          </w:p>
        </w:tc>
      </w:tr>
      <w:tr>
        <w:trPr>
          <w:trHeight w:val="243"/>
        </w:trPr>
        <w:tc>
          <w:tcPr>
            <w:tcW w:w="4700" w:type="dxa"/>
            <w:vAlign w:val="bottom"/>
            <w:gridSpan w:val="2"/>
          </w:tcPr>
          <w:p>
            <w:pPr>
              <w:ind w:left="720"/>
              <w:spacing w:after="0"/>
              <w:rPr>
                <w:sz w:val="20"/>
                <w:szCs w:val="20"/>
                <w:color w:val="auto"/>
              </w:rPr>
            </w:pPr>
            <w:r>
              <w:rPr>
                <w:rFonts w:ascii="Arial" w:cs="Arial" w:eastAsia="Arial" w:hAnsi="Arial"/>
                <w:sz w:val="16"/>
                <w:szCs w:val="16"/>
                <w:color w:val="auto"/>
              </w:rPr>
              <w:t>Other current liabilities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4,122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4,325</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Customer layaway deposits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5,845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6,152</w:t>
            </w:r>
          </w:p>
        </w:tc>
        <w:tc>
          <w:tcPr>
            <w:tcW w:w="0" w:type="dxa"/>
            <w:vAlign w:val="bottom"/>
          </w:tcPr>
          <w:p>
            <w:pPr>
              <w:spacing w:after="0"/>
              <w:rPr>
                <w:sz w:val="1"/>
                <w:szCs w:val="1"/>
                <w:color w:val="auto"/>
              </w:rPr>
            </w:pPr>
          </w:p>
        </w:tc>
      </w:tr>
      <w:tr>
        <w:trPr>
          <w:trHeight w:val="243"/>
        </w:trPr>
        <w:tc>
          <w:tcPr>
            <w:tcW w:w="4700" w:type="dxa"/>
            <w:vAlign w:val="bottom"/>
            <w:gridSpan w:val="2"/>
          </w:tcPr>
          <w:p>
            <w:pPr>
              <w:ind w:left="720"/>
              <w:spacing w:after="0"/>
              <w:rPr>
                <w:sz w:val="20"/>
                <w:szCs w:val="20"/>
                <w:color w:val="auto"/>
              </w:rPr>
            </w:pPr>
            <w:r>
              <w:rPr>
                <w:rFonts w:ascii="Arial" w:cs="Arial" w:eastAsia="Arial" w:hAnsi="Arial"/>
                <w:sz w:val="16"/>
                <w:szCs w:val="16"/>
                <w:color w:val="auto"/>
              </w:rPr>
              <w:t>Intercompany payables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274,490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22,588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(297,078)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Income taxes payable</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12,672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12,672</w:t>
            </w:r>
          </w:p>
        </w:tc>
        <w:tc>
          <w:tcPr>
            <w:tcW w:w="0" w:type="dxa"/>
            <w:vAlign w:val="bottom"/>
          </w:tcPr>
          <w:p>
            <w:pPr>
              <w:spacing w:after="0"/>
              <w:rPr>
                <w:sz w:val="1"/>
                <w:szCs w:val="1"/>
                <w:color w:val="auto"/>
              </w:rPr>
            </w:pPr>
          </w:p>
        </w:tc>
      </w:tr>
      <w:tr>
        <w:trPr>
          <w:trHeight w:val="237"/>
        </w:trPr>
        <w:tc>
          <w:tcPr>
            <w:tcW w:w="1020" w:type="dxa"/>
            <w:vAlign w:val="bottom"/>
          </w:tcPr>
          <w:p>
            <w:pPr>
              <w:spacing w:after="0"/>
              <w:rPr>
                <w:sz w:val="20"/>
                <w:szCs w:val="20"/>
                <w:color w:val="auto"/>
              </w:rPr>
            </w:pPr>
          </w:p>
        </w:tc>
        <w:tc>
          <w:tcPr>
            <w:tcW w:w="3680" w:type="dxa"/>
            <w:vAlign w:val="bottom"/>
          </w:tcPr>
          <w:p>
            <w:pPr>
              <w:ind w:left="120"/>
              <w:spacing w:after="0"/>
              <w:rPr>
                <w:sz w:val="20"/>
                <w:szCs w:val="20"/>
                <w:color w:val="auto"/>
              </w:rPr>
            </w:pPr>
            <w:r>
              <w:rPr>
                <w:rFonts w:ascii="Arial" w:cs="Arial" w:eastAsia="Arial" w:hAnsi="Arial"/>
                <w:sz w:val="16"/>
                <w:szCs w:val="16"/>
                <w:color w:val="auto"/>
              </w:rPr>
              <w:t>Total current liabilities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12,718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329,996</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30,600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(297,078)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76,236</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Long-term debt, less current maturities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40,500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40,500</w:t>
            </w:r>
          </w:p>
        </w:tc>
        <w:tc>
          <w:tcPr>
            <w:tcW w:w="0" w:type="dxa"/>
            <w:vAlign w:val="bottom"/>
          </w:tcPr>
          <w:p>
            <w:pPr>
              <w:spacing w:after="0"/>
              <w:rPr>
                <w:sz w:val="1"/>
                <w:szCs w:val="1"/>
                <w:color w:val="auto"/>
              </w:rPr>
            </w:pPr>
          </w:p>
        </w:tc>
      </w:tr>
      <w:tr>
        <w:trPr>
          <w:trHeight w:val="243"/>
        </w:trPr>
        <w:tc>
          <w:tcPr>
            <w:tcW w:w="4700" w:type="dxa"/>
            <w:vAlign w:val="bottom"/>
            <w:gridSpan w:val="2"/>
          </w:tcPr>
          <w:p>
            <w:pPr>
              <w:ind w:left="380"/>
              <w:spacing w:after="0"/>
              <w:rPr>
                <w:sz w:val="20"/>
                <w:szCs w:val="20"/>
                <w:color w:val="auto"/>
              </w:rPr>
            </w:pPr>
            <w:r>
              <w:rPr>
                <w:rFonts w:ascii="Arial" w:cs="Arial" w:eastAsia="Arial" w:hAnsi="Arial"/>
                <w:sz w:val="16"/>
                <w:szCs w:val="16"/>
                <w:color w:val="auto"/>
              </w:rPr>
              <w:t>Deferred tax liability</w:t>
            </w:r>
          </w:p>
        </w:tc>
        <w:tc>
          <w:tcPr>
            <w:tcW w:w="2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6,481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1,371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872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8,724</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Deferred gains and other long-term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1,997</w:t>
            </w:r>
          </w:p>
        </w:tc>
        <w:tc>
          <w:tcPr>
            <w:tcW w:w="0" w:type="dxa"/>
            <w:vAlign w:val="bottom"/>
          </w:tcPr>
          <w:p>
            <w:pPr>
              <w:spacing w:after="0"/>
              <w:rPr>
                <w:sz w:val="1"/>
                <w:szCs w:val="1"/>
                <w:color w:val="auto"/>
              </w:rPr>
            </w:pPr>
          </w:p>
        </w:tc>
      </w:tr>
      <w:tr>
        <w:trPr>
          <w:trHeight w:val="237"/>
        </w:trPr>
        <w:tc>
          <w:tcPr>
            <w:tcW w:w="4700" w:type="dxa"/>
            <w:vAlign w:val="bottom"/>
            <w:gridSpan w:val="2"/>
          </w:tcPr>
          <w:p>
            <w:pPr>
              <w:ind w:left="720"/>
              <w:spacing w:after="0"/>
              <w:rPr>
                <w:sz w:val="20"/>
                <w:szCs w:val="20"/>
                <w:color w:val="auto"/>
              </w:rPr>
            </w:pPr>
            <w:r>
              <w:rPr>
                <w:rFonts w:ascii="Arial" w:cs="Arial" w:eastAsia="Arial" w:hAnsi="Arial"/>
                <w:sz w:val="16"/>
                <w:szCs w:val="16"/>
                <w:color w:val="auto"/>
              </w:rPr>
              <w:t>Total liabilities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59,699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333,364</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31,472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(297,078)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127,457</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Commitments and contingencies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00" w:type="dxa"/>
            <w:vAlign w:val="bottom"/>
            <w:gridSpan w:val="2"/>
          </w:tcPr>
          <w:p>
            <w:pPr>
              <w:ind w:left="380"/>
              <w:spacing w:after="0"/>
              <w:rPr>
                <w:sz w:val="20"/>
                <w:szCs w:val="20"/>
                <w:color w:val="auto"/>
              </w:rPr>
            </w:pPr>
            <w:r>
              <w:rPr>
                <w:rFonts w:ascii="Arial" w:cs="Arial" w:eastAsia="Arial" w:hAnsi="Arial"/>
                <w:sz w:val="16"/>
                <w:szCs w:val="16"/>
                <w:color w:val="auto"/>
              </w:rPr>
              <w:t>Temporary equity:</w:t>
            </w: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Redeemable noncontrolling interest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700" w:type="dxa"/>
            <w:vAlign w:val="bottom"/>
            <w:gridSpan w:val="2"/>
          </w:tcPr>
          <w:p>
            <w:pPr>
              <w:ind w:left="380"/>
              <w:spacing w:after="0"/>
              <w:rPr>
                <w:sz w:val="20"/>
                <w:szCs w:val="20"/>
                <w:color w:val="auto"/>
              </w:rPr>
            </w:pPr>
            <w:r>
              <w:rPr>
                <w:rFonts w:ascii="Arial" w:cs="Arial" w:eastAsia="Arial" w:hAnsi="Arial"/>
                <w:sz w:val="16"/>
                <w:szCs w:val="16"/>
                <w:color w:val="auto"/>
              </w:rPr>
              <w:t>Stockholders’ equity:</w:t>
            </w: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70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Class A Non-voting Common Stock, par value $.01 per</w:t>
            </w:r>
          </w:p>
        </w:tc>
        <w:tc>
          <w:tcPr>
            <w:tcW w:w="260" w:type="dxa"/>
            <w:vAlign w:val="bottom"/>
            <w:shd w:val="clear" w:color="auto" w:fill="CCEEFF"/>
          </w:tcPr>
          <w:p>
            <w:pPr>
              <w:spacing w:after="0"/>
              <w:rPr>
                <w:sz w:val="19"/>
                <w:szCs w:val="19"/>
                <w:color w:val="auto"/>
              </w:rPr>
            </w:pPr>
          </w:p>
        </w:tc>
        <w:tc>
          <w:tcPr>
            <w:tcW w:w="10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474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19"/>
        </w:trPr>
        <w:tc>
          <w:tcPr>
            <w:tcW w:w="470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share;</w:t>
            </w:r>
          </w:p>
        </w:tc>
        <w:tc>
          <w:tcPr>
            <w:tcW w:w="2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vMerge w:val="continue"/>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700" w:type="dxa"/>
            <w:vAlign w:val="bottom"/>
            <w:gridSpan w:val="2"/>
          </w:tcPr>
          <w:p>
            <w:pPr>
              <w:ind w:left="720"/>
              <w:spacing w:after="0"/>
              <w:rPr>
                <w:sz w:val="20"/>
                <w:szCs w:val="20"/>
                <w:color w:val="auto"/>
              </w:rPr>
            </w:pPr>
            <w:r>
              <w:rPr>
                <w:rFonts w:ascii="Arial" w:cs="Arial" w:eastAsia="Arial" w:hAnsi="Arial"/>
                <w:sz w:val="16"/>
                <w:szCs w:val="16"/>
                <w:color w:val="auto"/>
                <w:w w:val="95"/>
              </w:rPr>
              <w:t>Class B Voting Common Stock, convertible, par value $.01</w:t>
            </w:r>
          </w:p>
        </w:tc>
        <w:tc>
          <w:tcPr>
            <w:tcW w:w="260" w:type="dxa"/>
            <w:vAlign w:val="bottom"/>
          </w:tcPr>
          <w:p>
            <w:pPr>
              <w:spacing w:after="0"/>
              <w:rPr>
                <w:sz w:val="19"/>
                <w:szCs w:val="19"/>
                <w:color w:val="auto"/>
              </w:rPr>
            </w:pPr>
          </w:p>
        </w:tc>
        <w:tc>
          <w:tcPr>
            <w:tcW w:w="1000" w:type="dxa"/>
            <w:vAlign w:val="bottom"/>
            <w:vMerge w:val="restart"/>
          </w:tcPr>
          <w:p>
            <w:pPr>
              <w:jc w:val="right"/>
              <w:ind w:right="1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00" w:type="dxa"/>
            <w:vAlign w:val="bottom"/>
            <w:vMerge w:val="restart"/>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vMerge w:val="restart"/>
          </w:tcPr>
          <w:p>
            <w:pPr>
              <w:jc w:val="right"/>
              <w:ind w:right="1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2"/>
        </w:trPr>
        <w:tc>
          <w:tcPr>
            <w:tcW w:w="4700" w:type="dxa"/>
            <w:vAlign w:val="bottom"/>
            <w:gridSpan w:val="2"/>
          </w:tcPr>
          <w:p>
            <w:pPr>
              <w:ind w:left="720"/>
              <w:spacing w:after="0"/>
              <w:rPr>
                <w:sz w:val="20"/>
                <w:szCs w:val="20"/>
                <w:color w:val="auto"/>
              </w:rPr>
            </w:pPr>
            <w:r>
              <w:rPr>
                <w:rFonts w:ascii="Arial" w:cs="Arial" w:eastAsia="Arial" w:hAnsi="Arial"/>
                <w:sz w:val="16"/>
                <w:szCs w:val="16"/>
                <w:color w:val="auto"/>
              </w:rPr>
              <w:t>per share;</w:t>
            </w:r>
          </w:p>
        </w:tc>
        <w:tc>
          <w:tcPr>
            <w:tcW w:w="26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Additional paid-in capital</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243,919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100,431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50,818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(151,249)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243,919</w:t>
            </w:r>
          </w:p>
        </w:tc>
        <w:tc>
          <w:tcPr>
            <w:tcW w:w="0" w:type="dxa"/>
            <w:vAlign w:val="bottom"/>
          </w:tcPr>
          <w:p>
            <w:pPr>
              <w:spacing w:after="0"/>
              <w:rPr>
                <w:sz w:val="1"/>
                <w:szCs w:val="1"/>
                <w:color w:val="auto"/>
              </w:rPr>
            </w:pPr>
          </w:p>
        </w:tc>
      </w:tr>
      <w:tr>
        <w:trPr>
          <w:trHeight w:val="243"/>
        </w:trPr>
        <w:tc>
          <w:tcPr>
            <w:tcW w:w="4700" w:type="dxa"/>
            <w:vAlign w:val="bottom"/>
            <w:gridSpan w:val="2"/>
          </w:tcPr>
          <w:p>
            <w:pPr>
              <w:ind w:left="720"/>
              <w:spacing w:after="0"/>
              <w:rPr>
                <w:sz w:val="20"/>
                <w:szCs w:val="20"/>
                <w:color w:val="auto"/>
              </w:rPr>
            </w:pPr>
            <w:r>
              <w:rPr>
                <w:rFonts w:ascii="Arial" w:cs="Arial" w:eastAsia="Arial" w:hAnsi="Arial"/>
                <w:sz w:val="16"/>
                <w:szCs w:val="16"/>
                <w:color w:val="auto"/>
              </w:rPr>
              <w:t>Retained earnings</w:t>
            </w:r>
          </w:p>
        </w:tc>
        <w:tc>
          <w:tcPr>
            <w:tcW w:w="2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461,447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285,322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(281,148)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461,447</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Accumulated other comprehensive income (loss)</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(7,487)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(9,438)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10,542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(7,487)</w:t>
            </w:r>
          </w:p>
        </w:tc>
        <w:tc>
          <w:tcPr>
            <w:tcW w:w="0" w:type="dxa"/>
            <w:vAlign w:val="bottom"/>
          </w:tcPr>
          <w:p>
            <w:pPr>
              <w:spacing w:after="0"/>
              <w:rPr>
                <w:sz w:val="1"/>
                <w:szCs w:val="1"/>
                <w:color w:val="auto"/>
              </w:rPr>
            </w:pPr>
          </w:p>
        </w:tc>
      </w:tr>
      <w:tr>
        <w:trPr>
          <w:trHeight w:val="237"/>
        </w:trPr>
        <w:tc>
          <w:tcPr>
            <w:tcW w:w="4700" w:type="dxa"/>
            <w:vAlign w:val="bottom"/>
            <w:gridSpan w:val="2"/>
          </w:tcPr>
          <w:p>
            <w:pPr>
              <w:ind w:left="380"/>
              <w:spacing w:after="0"/>
              <w:rPr>
                <w:sz w:val="20"/>
                <w:szCs w:val="20"/>
                <w:color w:val="auto"/>
              </w:rPr>
            </w:pPr>
            <w:r>
              <w:rPr>
                <w:rFonts w:ascii="Arial" w:cs="Arial" w:eastAsia="Arial" w:hAnsi="Arial"/>
                <w:sz w:val="16"/>
                <w:szCs w:val="16"/>
                <w:color w:val="auto"/>
              </w:rPr>
              <w:t>EZCORP stockholders’ equity</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698,383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384,661</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37,207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(421,868)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698,383</w:t>
            </w:r>
          </w:p>
        </w:tc>
        <w:tc>
          <w:tcPr>
            <w:tcW w:w="0" w:type="dxa"/>
            <w:vAlign w:val="bottom"/>
          </w:tcPr>
          <w:p>
            <w:pPr>
              <w:spacing w:after="0"/>
              <w:rPr>
                <w:sz w:val="1"/>
                <w:szCs w:val="1"/>
                <w:color w:val="auto"/>
              </w:rPr>
            </w:pPr>
          </w:p>
        </w:tc>
      </w:tr>
      <w:tr>
        <w:trPr>
          <w:trHeight w:val="27"/>
        </w:trPr>
        <w:tc>
          <w:tcPr>
            <w:tcW w:w="1020" w:type="dxa"/>
            <w:vAlign w:val="bottom"/>
            <w:tcBorders>
              <w:bottom w:val="single" w:sz="8" w:color="CCEEFF"/>
            </w:tcBorders>
          </w:tcPr>
          <w:p>
            <w:pPr>
              <w:spacing w:after="0"/>
              <w:rPr>
                <w:sz w:val="2"/>
                <w:szCs w:val="2"/>
                <w:color w:val="auto"/>
              </w:rPr>
            </w:pPr>
          </w:p>
        </w:tc>
        <w:tc>
          <w:tcPr>
            <w:tcW w:w="36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Total liabilities and stockholders’ equity</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758,082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718,025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68,679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(718,946)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825,840</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114" w:right="239" w:bottom="1440" w:gutter="0" w:footer="0" w:header="0"/>
          <w:type w:val="continuous"/>
        </w:sectPr>
      </w:pPr>
    </w:p>
    <w:bookmarkStart w:id="29" w:name="page30"/>
    <w:bookmarkEnd w:id="29"/>
    <w:tbl>
      <w:tblPr>
        <w:tblLayout w:type="fixed"/>
        <w:tblInd w:w="0" w:type="dxa"/>
        <w:tblCellMar>
          <w:top w:w="0" w:type="dxa"/>
          <w:left w:w="0" w:type="dxa"/>
          <w:bottom w:w="0" w:type="dxa"/>
          <w:right w:w="0" w:type="dxa"/>
        </w:tblCellMar>
      </w:tblPr>
      <w:tr>
        <w:trPr>
          <w:trHeight w:val="161"/>
        </w:trPr>
        <w:tc>
          <w:tcPr>
            <w:tcW w:w="4700" w:type="dxa"/>
            <w:vAlign w:val="bottom"/>
            <w:gridSpan w:val="2"/>
          </w:tcPr>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43"/>
        </w:trPr>
        <w:tc>
          <w:tcPr>
            <w:tcW w:w="1020" w:type="dxa"/>
            <w:vAlign w:val="bottom"/>
            <w:tcBorders>
              <w:top w:val="single" w:sz="8" w:color="0000FF"/>
            </w:tcBorders>
          </w:tcPr>
          <w:p>
            <w:pPr>
              <w:spacing w:after="0"/>
              <w:rPr>
                <w:sz w:val="24"/>
                <w:szCs w:val="24"/>
                <w:color w:val="auto"/>
              </w:rPr>
            </w:pPr>
          </w:p>
        </w:tc>
        <w:tc>
          <w:tcPr>
            <w:tcW w:w="3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6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1"/>
              </w:rPr>
              <w:t>September 30, 2012</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10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Parent</w:t>
            </w:r>
          </w:p>
        </w:tc>
        <w:tc>
          <w:tcPr>
            <w:tcW w:w="200" w:type="dxa"/>
            <w:vAlign w:val="bottom"/>
          </w:tcPr>
          <w:p>
            <w:pPr>
              <w:spacing w:after="0"/>
              <w:rPr>
                <w:sz w:val="14"/>
                <w:szCs w:val="14"/>
                <w:color w:val="auto"/>
              </w:rPr>
            </w:pPr>
          </w:p>
        </w:tc>
        <w:tc>
          <w:tcPr>
            <w:tcW w:w="1060" w:type="dxa"/>
            <w:vAlign w:val="bottom"/>
          </w:tcPr>
          <w:p>
            <w:pPr>
              <w:jc w:val="right"/>
              <w:ind w:right="219"/>
              <w:spacing w:after="0"/>
              <w:rPr>
                <w:sz w:val="20"/>
                <w:szCs w:val="20"/>
                <w:color w:val="auto"/>
              </w:rPr>
            </w:pPr>
            <w:r>
              <w:rPr>
                <w:rFonts w:ascii="Arial" w:cs="Arial" w:eastAsia="Arial" w:hAnsi="Arial"/>
                <w:sz w:val="14"/>
                <w:szCs w:val="14"/>
                <w:b w:val="1"/>
                <w:bCs w:val="1"/>
                <w:color w:val="auto"/>
              </w:rPr>
              <w:t>Subsidiary</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4"/>
                <w:szCs w:val="14"/>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60" w:type="dxa"/>
            <w:vAlign w:val="bottom"/>
          </w:tcPr>
          <w:p>
            <w:pPr>
              <w:spacing w:after="0"/>
              <w:rPr>
                <w:sz w:val="14"/>
                <w:szCs w:val="14"/>
                <w:color w:val="auto"/>
              </w:rPr>
            </w:pPr>
          </w:p>
        </w:tc>
        <w:tc>
          <w:tcPr>
            <w:tcW w:w="108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102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Guarantors</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Subsidiaries</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1020" w:type="dxa"/>
            <w:vAlign w:val="bottom"/>
          </w:tcPr>
          <w:p>
            <w:pPr>
              <w:spacing w:after="0"/>
              <w:rPr>
                <w:sz w:val="21"/>
                <w:szCs w:val="21"/>
                <w:color w:val="auto"/>
              </w:rPr>
            </w:pPr>
          </w:p>
        </w:tc>
        <w:tc>
          <w:tcPr>
            <w:tcW w:w="3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i w:val="1"/>
                <w:iCs w:val="1"/>
                <w:color w:val="auto"/>
                <w:w w:val="92"/>
              </w:rPr>
              <w:t>(in thousands)</w:t>
            </w: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Assets:</w:t>
            </w: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00" w:type="dxa"/>
            <w:vAlign w:val="bottom"/>
            <w:gridSpan w:val="2"/>
          </w:tcPr>
          <w:p>
            <w:pPr>
              <w:ind w:left="720"/>
              <w:spacing w:after="0"/>
              <w:rPr>
                <w:sz w:val="20"/>
                <w:szCs w:val="20"/>
                <w:color w:val="auto"/>
              </w:rPr>
            </w:pPr>
            <w:r>
              <w:rPr>
                <w:rFonts w:ascii="Arial" w:cs="Arial" w:eastAsia="Arial" w:hAnsi="Arial"/>
                <w:sz w:val="16"/>
                <w:szCs w:val="16"/>
                <w:color w:val="auto"/>
              </w:rPr>
              <w:t>Cash and cash equivalents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703</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27,686</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20,088</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48,477</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Restricted cash</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1,145</w:t>
            </w:r>
          </w:p>
        </w:tc>
        <w:tc>
          <w:tcPr>
            <w:tcW w:w="0" w:type="dxa"/>
            <w:vAlign w:val="bottom"/>
          </w:tcPr>
          <w:p>
            <w:pPr>
              <w:spacing w:after="0"/>
              <w:rPr>
                <w:sz w:val="1"/>
                <w:szCs w:val="1"/>
                <w:color w:val="auto"/>
              </w:rPr>
            </w:pPr>
          </w:p>
        </w:tc>
      </w:tr>
      <w:tr>
        <w:trPr>
          <w:trHeight w:val="237"/>
        </w:trPr>
        <w:tc>
          <w:tcPr>
            <w:tcW w:w="4700" w:type="dxa"/>
            <w:vAlign w:val="bottom"/>
            <w:gridSpan w:val="2"/>
          </w:tcPr>
          <w:p>
            <w:pPr>
              <w:ind w:left="720"/>
              <w:spacing w:after="0"/>
              <w:rPr>
                <w:sz w:val="20"/>
                <w:szCs w:val="20"/>
                <w:color w:val="auto"/>
              </w:rPr>
            </w:pPr>
            <w:r>
              <w:rPr>
                <w:rFonts w:ascii="Arial" w:cs="Arial" w:eastAsia="Arial" w:hAnsi="Arial"/>
                <w:sz w:val="16"/>
                <w:szCs w:val="16"/>
                <w:color w:val="auto"/>
              </w:rPr>
              <w:t>Pawn loans</w:t>
            </w:r>
          </w:p>
        </w:tc>
        <w:tc>
          <w:tcPr>
            <w:tcW w:w="26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140,885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16,763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157,648</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Consumer loans, net</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16,562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17,590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34,152</w:t>
            </w:r>
          </w:p>
        </w:tc>
        <w:tc>
          <w:tcPr>
            <w:tcW w:w="0" w:type="dxa"/>
            <w:vAlign w:val="bottom"/>
          </w:tcPr>
          <w:p>
            <w:pPr>
              <w:spacing w:after="0"/>
              <w:rPr>
                <w:sz w:val="1"/>
                <w:szCs w:val="1"/>
                <w:color w:val="auto"/>
              </w:rPr>
            </w:pPr>
          </w:p>
        </w:tc>
      </w:tr>
      <w:tr>
        <w:trPr>
          <w:trHeight w:val="237"/>
        </w:trPr>
        <w:tc>
          <w:tcPr>
            <w:tcW w:w="4700" w:type="dxa"/>
            <w:vAlign w:val="bottom"/>
            <w:gridSpan w:val="2"/>
          </w:tcPr>
          <w:p>
            <w:pPr>
              <w:ind w:left="720"/>
              <w:spacing w:after="0"/>
              <w:rPr>
                <w:sz w:val="20"/>
                <w:szCs w:val="20"/>
                <w:color w:val="auto"/>
              </w:rPr>
            </w:pPr>
            <w:r>
              <w:rPr>
                <w:rFonts w:ascii="Arial" w:cs="Arial" w:eastAsia="Arial" w:hAnsi="Arial"/>
                <w:sz w:val="16"/>
                <w:szCs w:val="16"/>
                <w:color w:val="auto"/>
              </w:rPr>
              <w:t>Pawn service charges receivable, net</w:t>
            </w:r>
          </w:p>
        </w:tc>
        <w:tc>
          <w:tcPr>
            <w:tcW w:w="26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26,663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2,738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29,401</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Consumer loan fees receivable, net</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6,899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23,517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30,416</w:t>
            </w:r>
          </w:p>
        </w:tc>
        <w:tc>
          <w:tcPr>
            <w:tcW w:w="0" w:type="dxa"/>
            <w:vAlign w:val="bottom"/>
          </w:tcPr>
          <w:p>
            <w:pPr>
              <w:spacing w:after="0"/>
              <w:rPr>
                <w:sz w:val="1"/>
                <w:szCs w:val="1"/>
                <w:color w:val="auto"/>
              </w:rPr>
            </w:pPr>
          </w:p>
        </w:tc>
      </w:tr>
      <w:tr>
        <w:trPr>
          <w:trHeight w:val="237"/>
        </w:trPr>
        <w:tc>
          <w:tcPr>
            <w:tcW w:w="4700" w:type="dxa"/>
            <w:vAlign w:val="bottom"/>
            <w:gridSpan w:val="2"/>
          </w:tcPr>
          <w:p>
            <w:pPr>
              <w:ind w:left="720"/>
              <w:spacing w:after="0"/>
              <w:rPr>
                <w:sz w:val="20"/>
                <w:szCs w:val="20"/>
                <w:color w:val="auto"/>
              </w:rPr>
            </w:pPr>
            <w:r>
              <w:rPr>
                <w:rFonts w:ascii="Arial" w:cs="Arial" w:eastAsia="Arial" w:hAnsi="Arial"/>
                <w:sz w:val="16"/>
                <w:szCs w:val="16"/>
                <w:color w:val="auto"/>
              </w:rPr>
              <w:t>Inventory, net</w:t>
            </w:r>
          </w:p>
        </w:tc>
        <w:tc>
          <w:tcPr>
            <w:tcW w:w="26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93,165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16,049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109,214</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Deferred tax asset</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9,484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14,984</w:t>
            </w:r>
          </w:p>
        </w:tc>
        <w:tc>
          <w:tcPr>
            <w:tcW w:w="0" w:type="dxa"/>
            <w:vAlign w:val="bottom"/>
          </w:tcPr>
          <w:p>
            <w:pPr>
              <w:spacing w:after="0"/>
              <w:rPr>
                <w:sz w:val="1"/>
                <w:szCs w:val="1"/>
                <w:color w:val="auto"/>
              </w:rPr>
            </w:pPr>
          </w:p>
        </w:tc>
      </w:tr>
      <w:tr>
        <w:trPr>
          <w:trHeight w:val="237"/>
        </w:trPr>
        <w:tc>
          <w:tcPr>
            <w:tcW w:w="4700" w:type="dxa"/>
            <w:vAlign w:val="bottom"/>
            <w:gridSpan w:val="2"/>
          </w:tcPr>
          <w:p>
            <w:pPr>
              <w:ind w:left="720"/>
              <w:spacing w:after="0"/>
              <w:rPr>
                <w:sz w:val="20"/>
                <w:szCs w:val="20"/>
                <w:color w:val="auto"/>
              </w:rPr>
            </w:pPr>
            <w:r>
              <w:rPr>
                <w:rFonts w:ascii="Arial" w:cs="Arial" w:eastAsia="Arial" w:hAnsi="Arial"/>
                <w:sz w:val="16"/>
                <w:szCs w:val="16"/>
                <w:color w:val="auto"/>
              </w:rPr>
              <w:t>Receivable from affiliates</w:t>
            </w:r>
          </w:p>
        </w:tc>
        <w:tc>
          <w:tcPr>
            <w:tcW w:w="26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363,065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(363,065)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Income taxes receivable</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10,209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10,511</w:t>
            </w:r>
          </w:p>
        </w:tc>
        <w:tc>
          <w:tcPr>
            <w:tcW w:w="0" w:type="dxa"/>
            <w:vAlign w:val="bottom"/>
          </w:tcPr>
          <w:p>
            <w:pPr>
              <w:spacing w:after="0"/>
              <w:rPr>
                <w:sz w:val="1"/>
                <w:szCs w:val="1"/>
                <w:color w:val="auto"/>
              </w:rPr>
            </w:pPr>
          </w:p>
        </w:tc>
      </w:tr>
      <w:tr>
        <w:trPr>
          <w:trHeight w:val="237"/>
        </w:trPr>
        <w:tc>
          <w:tcPr>
            <w:tcW w:w="4700" w:type="dxa"/>
            <w:vAlign w:val="bottom"/>
            <w:gridSpan w:val="2"/>
          </w:tcPr>
          <w:p>
            <w:pPr>
              <w:ind w:left="720"/>
              <w:spacing w:after="0"/>
              <w:rPr>
                <w:sz w:val="20"/>
                <w:szCs w:val="20"/>
                <w:color w:val="auto"/>
              </w:rPr>
            </w:pPr>
            <w:r>
              <w:rPr>
                <w:rFonts w:ascii="Arial" w:cs="Arial" w:eastAsia="Arial" w:hAnsi="Arial"/>
                <w:sz w:val="16"/>
                <w:szCs w:val="16"/>
                <w:color w:val="auto"/>
              </w:rPr>
              <w:t>Prepaid expenses and other assets</w:t>
            </w:r>
          </w:p>
        </w:tc>
        <w:tc>
          <w:tcPr>
            <w:tcW w:w="26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2,243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38,629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4,579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45,451</w:t>
            </w:r>
          </w:p>
        </w:tc>
        <w:tc>
          <w:tcPr>
            <w:tcW w:w="0" w:type="dxa"/>
            <w:vAlign w:val="bottom"/>
          </w:tcPr>
          <w:p>
            <w:pPr>
              <w:spacing w:after="0"/>
              <w:rPr>
                <w:sz w:val="1"/>
                <w:szCs w:val="1"/>
                <w:color w:val="auto"/>
              </w:rPr>
            </w:pPr>
          </w:p>
        </w:tc>
      </w:tr>
      <w:tr>
        <w:trPr>
          <w:trHeight w:val="33"/>
        </w:trPr>
        <w:tc>
          <w:tcPr>
            <w:tcW w:w="1020" w:type="dxa"/>
            <w:vAlign w:val="bottom"/>
            <w:tcBorders>
              <w:bottom w:val="single" w:sz="8" w:color="CCEEFF"/>
            </w:tcBorders>
          </w:tcPr>
          <w:p>
            <w:pPr>
              <w:spacing w:after="0"/>
              <w:rPr>
                <w:sz w:val="2"/>
                <w:szCs w:val="2"/>
                <w:color w:val="auto"/>
              </w:rPr>
            </w:pPr>
          </w:p>
        </w:tc>
        <w:tc>
          <w:tcPr>
            <w:tcW w:w="36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1020" w:type="dxa"/>
            <w:vAlign w:val="bottom"/>
            <w:tcBorders>
              <w:bottom w:val="single" w:sz="8" w:color="CCEEFF"/>
            </w:tcBorders>
            <w:shd w:val="clear" w:color="auto" w:fill="CCEEFF"/>
          </w:tcPr>
          <w:p>
            <w:pPr>
              <w:spacing w:after="0"/>
              <w:rPr>
                <w:sz w:val="20"/>
                <w:szCs w:val="20"/>
                <w:color w:val="auto"/>
              </w:rPr>
            </w:pPr>
          </w:p>
        </w:tc>
        <w:tc>
          <w:tcPr>
            <w:tcW w:w="36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 current assets</w:t>
            </w:r>
          </w:p>
        </w:tc>
        <w:tc>
          <w:tcPr>
            <w:tcW w:w="2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385,704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355,989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102,771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(363,065)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481,399</w:t>
            </w:r>
          </w:p>
        </w:tc>
        <w:tc>
          <w:tcPr>
            <w:tcW w:w="0" w:type="dxa"/>
            <w:vAlign w:val="bottom"/>
          </w:tcPr>
          <w:p>
            <w:pPr>
              <w:spacing w:after="0"/>
              <w:rPr>
                <w:sz w:val="1"/>
                <w:szCs w:val="1"/>
                <w:color w:val="auto"/>
              </w:rPr>
            </w:pPr>
          </w:p>
        </w:tc>
      </w:tr>
      <w:tr>
        <w:trPr>
          <w:trHeight w:val="237"/>
        </w:trPr>
        <w:tc>
          <w:tcPr>
            <w:tcW w:w="4700" w:type="dxa"/>
            <w:vAlign w:val="bottom"/>
            <w:gridSpan w:val="2"/>
          </w:tcPr>
          <w:p>
            <w:pPr>
              <w:ind w:left="380"/>
              <w:spacing w:after="0"/>
              <w:rPr>
                <w:sz w:val="20"/>
                <w:szCs w:val="20"/>
                <w:color w:val="auto"/>
              </w:rPr>
            </w:pPr>
            <w:r>
              <w:rPr>
                <w:rFonts w:ascii="Arial" w:cs="Arial" w:eastAsia="Arial" w:hAnsi="Arial"/>
                <w:sz w:val="16"/>
                <w:szCs w:val="16"/>
                <w:color w:val="auto"/>
              </w:rPr>
              <w:t>Investments in unconsolidated affiliates</w:t>
            </w:r>
          </w:p>
        </w:tc>
        <w:tc>
          <w:tcPr>
            <w:tcW w:w="26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74,255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51,811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126,066</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Investments in subsidiaries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510,044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95,943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(605,987)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700" w:type="dxa"/>
            <w:vAlign w:val="bottom"/>
            <w:gridSpan w:val="2"/>
          </w:tcPr>
          <w:p>
            <w:pPr>
              <w:ind w:left="380"/>
              <w:spacing w:after="0"/>
              <w:rPr>
                <w:sz w:val="20"/>
                <w:szCs w:val="20"/>
                <w:color w:val="auto"/>
              </w:rPr>
            </w:pPr>
            <w:r>
              <w:rPr>
                <w:rFonts w:ascii="Arial" w:cs="Arial" w:eastAsia="Arial" w:hAnsi="Arial"/>
                <w:sz w:val="16"/>
                <w:szCs w:val="16"/>
                <w:color w:val="auto"/>
              </w:rPr>
              <w:t>Property and equipment, net</w:t>
            </w:r>
          </w:p>
        </w:tc>
        <w:tc>
          <w:tcPr>
            <w:tcW w:w="26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74,837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33,294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108,131</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Restricted cash, non-current</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4,337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4,337</w:t>
            </w:r>
          </w:p>
        </w:tc>
        <w:tc>
          <w:tcPr>
            <w:tcW w:w="0" w:type="dxa"/>
            <w:vAlign w:val="bottom"/>
          </w:tcPr>
          <w:p>
            <w:pPr>
              <w:spacing w:after="0"/>
              <w:rPr>
                <w:sz w:val="1"/>
                <w:szCs w:val="1"/>
                <w:color w:val="auto"/>
              </w:rPr>
            </w:pPr>
          </w:p>
        </w:tc>
      </w:tr>
      <w:tr>
        <w:trPr>
          <w:trHeight w:val="237"/>
        </w:trPr>
        <w:tc>
          <w:tcPr>
            <w:tcW w:w="4700" w:type="dxa"/>
            <w:vAlign w:val="bottom"/>
            <w:gridSpan w:val="2"/>
          </w:tcPr>
          <w:p>
            <w:pPr>
              <w:ind w:left="380"/>
              <w:spacing w:after="0"/>
              <w:rPr>
                <w:sz w:val="20"/>
                <w:szCs w:val="20"/>
                <w:color w:val="auto"/>
              </w:rPr>
            </w:pPr>
            <w:r>
              <w:rPr>
                <w:rFonts w:ascii="Arial" w:cs="Arial" w:eastAsia="Arial" w:hAnsi="Arial"/>
                <w:sz w:val="16"/>
                <w:szCs w:val="16"/>
                <w:color w:val="auto"/>
              </w:rPr>
              <w:t>Goodwill</w:t>
            </w:r>
          </w:p>
        </w:tc>
        <w:tc>
          <w:tcPr>
            <w:tcW w:w="26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224,275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150,388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374,663</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Intangible assets, net</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1,548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17,228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26,409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45,185</w:t>
            </w:r>
          </w:p>
        </w:tc>
        <w:tc>
          <w:tcPr>
            <w:tcW w:w="0" w:type="dxa"/>
            <w:vAlign w:val="bottom"/>
          </w:tcPr>
          <w:p>
            <w:pPr>
              <w:spacing w:after="0"/>
              <w:rPr>
                <w:sz w:val="1"/>
                <w:szCs w:val="1"/>
                <w:color w:val="auto"/>
              </w:rPr>
            </w:pPr>
          </w:p>
        </w:tc>
      </w:tr>
      <w:tr>
        <w:trPr>
          <w:trHeight w:val="237"/>
        </w:trPr>
        <w:tc>
          <w:tcPr>
            <w:tcW w:w="4700" w:type="dxa"/>
            <w:vAlign w:val="bottom"/>
            <w:gridSpan w:val="2"/>
          </w:tcPr>
          <w:p>
            <w:pPr>
              <w:ind w:left="380"/>
              <w:spacing w:after="0"/>
              <w:rPr>
                <w:sz w:val="20"/>
                <w:szCs w:val="20"/>
                <w:color w:val="auto"/>
              </w:rPr>
            </w:pPr>
            <w:r>
              <w:rPr>
                <w:rFonts w:ascii="Arial" w:cs="Arial" w:eastAsia="Arial" w:hAnsi="Arial"/>
                <w:sz w:val="16"/>
                <w:szCs w:val="16"/>
                <w:color w:val="auto"/>
              </w:rPr>
              <w:t>Non-current consumer loans, net</w:t>
            </w:r>
          </w:p>
        </w:tc>
        <w:tc>
          <w:tcPr>
            <w:tcW w:w="26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61,997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61,997</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Other assets, net</w:t>
            </w: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8,585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7,644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16,229</w:t>
            </w:r>
          </w:p>
        </w:tc>
        <w:tc>
          <w:tcPr>
            <w:tcW w:w="0" w:type="dxa"/>
            <w:vAlign w:val="bottom"/>
          </w:tcPr>
          <w:p>
            <w:pPr>
              <w:spacing w:after="0"/>
              <w:rPr>
                <w:sz w:val="1"/>
                <w:szCs w:val="1"/>
                <w:color w:val="auto"/>
              </w:rPr>
            </w:pPr>
          </w:p>
        </w:tc>
      </w:tr>
      <w:tr>
        <w:trPr>
          <w:trHeight w:val="284"/>
        </w:trPr>
        <w:tc>
          <w:tcPr>
            <w:tcW w:w="1020" w:type="dxa"/>
            <w:vAlign w:val="bottom"/>
            <w:tcBorders>
              <w:bottom w:val="single" w:sz="8" w:color="CCEEFF"/>
            </w:tcBorders>
          </w:tcPr>
          <w:p>
            <w:pPr>
              <w:spacing w:after="0"/>
              <w:rPr>
                <w:sz w:val="24"/>
                <w:szCs w:val="24"/>
                <w:color w:val="auto"/>
              </w:rPr>
            </w:pPr>
          </w:p>
        </w:tc>
        <w:tc>
          <w:tcPr>
            <w:tcW w:w="368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Total assets</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971,551</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828,668</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386,840</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(969,052)</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1,218,007</w:t>
            </w: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Current liabilities:</w:t>
            </w:r>
          </w:p>
        </w:tc>
        <w:tc>
          <w:tcPr>
            <w:tcW w:w="2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700" w:type="dxa"/>
            <w:vAlign w:val="bottom"/>
            <w:gridSpan w:val="2"/>
          </w:tcPr>
          <w:p>
            <w:pPr>
              <w:ind w:left="720"/>
              <w:spacing w:after="0"/>
              <w:rPr>
                <w:sz w:val="20"/>
                <w:szCs w:val="20"/>
                <w:color w:val="auto"/>
              </w:rPr>
            </w:pPr>
            <w:r>
              <w:rPr>
                <w:rFonts w:ascii="Arial" w:cs="Arial" w:eastAsia="Arial" w:hAnsi="Arial"/>
                <w:sz w:val="16"/>
                <w:szCs w:val="16"/>
                <w:color w:val="auto"/>
              </w:rPr>
              <w:t>Current maturities of long-term debt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21,085</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21,085</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Current capital lease obligations</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594</w:t>
            </w:r>
          </w:p>
        </w:tc>
        <w:tc>
          <w:tcPr>
            <w:tcW w:w="0" w:type="dxa"/>
            <w:vAlign w:val="bottom"/>
          </w:tcPr>
          <w:p>
            <w:pPr>
              <w:spacing w:after="0"/>
              <w:rPr>
                <w:sz w:val="1"/>
                <w:szCs w:val="1"/>
                <w:color w:val="auto"/>
              </w:rPr>
            </w:pPr>
          </w:p>
        </w:tc>
      </w:tr>
      <w:tr>
        <w:trPr>
          <w:trHeight w:val="237"/>
        </w:trPr>
        <w:tc>
          <w:tcPr>
            <w:tcW w:w="4700" w:type="dxa"/>
            <w:vAlign w:val="bottom"/>
            <w:gridSpan w:val="2"/>
          </w:tcPr>
          <w:p>
            <w:pPr>
              <w:ind w:left="720"/>
              <w:spacing w:after="0"/>
              <w:rPr>
                <w:sz w:val="20"/>
                <w:szCs w:val="20"/>
                <w:color w:val="auto"/>
              </w:rPr>
            </w:pPr>
            <w:r>
              <w:rPr>
                <w:rFonts w:ascii="Arial" w:cs="Arial" w:eastAsia="Arial" w:hAnsi="Arial"/>
                <w:sz w:val="16"/>
                <w:szCs w:val="16"/>
                <w:color w:val="auto"/>
              </w:rPr>
              <w:t>Accounts payable and other accrued expenses</w:t>
            </w:r>
          </w:p>
        </w:tc>
        <w:tc>
          <w:tcPr>
            <w:tcW w:w="26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128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53,169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10,807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64,104</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Other 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2,925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11,896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14,821</w:t>
            </w:r>
          </w:p>
        </w:tc>
        <w:tc>
          <w:tcPr>
            <w:tcW w:w="0" w:type="dxa"/>
            <w:vAlign w:val="bottom"/>
          </w:tcPr>
          <w:p>
            <w:pPr>
              <w:spacing w:after="0"/>
              <w:rPr>
                <w:sz w:val="1"/>
                <w:szCs w:val="1"/>
                <w:color w:val="auto"/>
              </w:rPr>
            </w:pPr>
          </w:p>
        </w:tc>
      </w:tr>
      <w:tr>
        <w:trPr>
          <w:trHeight w:val="237"/>
        </w:trPr>
        <w:tc>
          <w:tcPr>
            <w:tcW w:w="4700" w:type="dxa"/>
            <w:vAlign w:val="bottom"/>
            <w:gridSpan w:val="2"/>
          </w:tcPr>
          <w:p>
            <w:pPr>
              <w:ind w:left="720"/>
              <w:spacing w:after="0"/>
              <w:rPr>
                <w:sz w:val="20"/>
                <w:szCs w:val="20"/>
                <w:color w:val="auto"/>
              </w:rPr>
            </w:pPr>
            <w:r>
              <w:rPr>
                <w:rFonts w:ascii="Arial" w:cs="Arial" w:eastAsia="Arial" w:hAnsi="Arial"/>
                <w:sz w:val="16"/>
                <w:szCs w:val="16"/>
                <w:color w:val="auto"/>
              </w:rPr>
              <w:t>Customer layaway deposits</w:t>
            </w:r>
          </w:p>
        </w:tc>
        <w:tc>
          <w:tcPr>
            <w:tcW w:w="26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6,251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987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7,238</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Intercompany payables</w:t>
            </w: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257,571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84,850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(342,421)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1020" w:type="dxa"/>
            <w:vAlign w:val="bottom"/>
          </w:tcPr>
          <w:p>
            <w:pPr>
              <w:spacing w:after="0"/>
              <w:rPr>
                <w:sz w:val="18"/>
                <w:szCs w:val="18"/>
                <w:color w:val="auto"/>
              </w:rPr>
            </w:pPr>
          </w:p>
        </w:tc>
        <w:tc>
          <w:tcPr>
            <w:tcW w:w="3680" w:type="dxa"/>
            <w:vAlign w:val="bottom"/>
          </w:tcPr>
          <w:p>
            <w:pPr>
              <w:ind w:left="120"/>
              <w:spacing w:after="0"/>
              <w:rPr>
                <w:sz w:val="20"/>
                <w:szCs w:val="20"/>
                <w:color w:val="auto"/>
              </w:rPr>
            </w:pPr>
            <w:r>
              <w:rPr>
                <w:rFonts w:ascii="Arial" w:cs="Arial" w:eastAsia="Arial" w:hAnsi="Arial"/>
                <w:sz w:val="16"/>
                <w:szCs w:val="16"/>
                <w:color w:val="auto"/>
              </w:rPr>
              <w:t>Total current liabilities</w:t>
            </w:r>
          </w:p>
        </w:tc>
        <w:tc>
          <w:tcPr>
            <w:tcW w:w="2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128</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320,510</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129,625</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(342,421)</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107,842</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Long-term debt, less current maturities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130,000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89,480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(20,644)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198,836</w:t>
            </w:r>
          </w:p>
        </w:tc>
        <w:tc>
          <w:tcPr>
            <w:tcW w:w="0" w:type="dxa"/>
            <w:vAlign w:val="bottom"/>
          </w:tcPr>
          <w:p>
            <w:pPr>
              <w:spacing w:after="0"/>
              <w:rPr>
                <w:sz w:val="1"/>
                <w:szCs w:val="1"/>
                <w:color w:val="auto"/>
              </w:rPr>
            </w:pPr>
          </w:p>
        </w:tc>
      </w:tr>
      <w:tr>
        <w:trPr>
          <w:trHeight w:val="237"/>
        </w:trPr>
        <w:tc>
          <w:tcPr>
            <w:tcW w:w="4700" w:type="dxa"/>
            <w:vAlign w:val="bottom"/>
            <w:gridSpan w:val="2"/>
          </w:tcPr>
          <w:p>
            <w:pPr>
              <w:ind w:left="380"/>
              <w:spacing w:after="0"/>
              <w:rPr>
                <w:sz w:val="20"/>
                <w:szCs w:val="20"/>
                <w:color w:val="auto"/>
              </w:rPr>
            </w:pPr>
            <w:r>
              <w:rPr>
                <w:rFonts w:ascii="Arial" w:cs="Arial" w:eastAsia="Arial" w:hAnsi="Arial"/>
                <w:sz w:val="16"/>
                <w:szCs w:val="16"/>
                <w:color w:val="auto"/>
              </w:rPr>
              <w:t>Long-term capital lease obligations</w:t>
            </w:r>
          </w:p>
        </w:tc>
        <w:tc>
          <w:tcPr>
            <w:tcW w:w="26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995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995</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Deferred tax liability</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6,595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1,327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7,922</w:t>
            </w:r>
          </w:p>
        </w:tc>
        <w:tc>
          <w:tcPr>
            <w:tcW w:w="0" w:type="dxa"/>
            <w:vAlign w:val="bottom"/>
          </w:tcPr>
          <w:p>
            <w:pPr>
              <w:spacing w:after="0"/>
              <w:rPr>
                <w:sz w:val="1"/>
                <w:szCs w:val="1"/>
                <w:color w:val="auto"/>
              </w:rPr>
            </w:pPr>
          </w:p>
        </w:tc>
      </w:tr>
      <w:tr>
        <w:trPr>
          <w:trHeight w:val="237"/>
        </w:trPr>
        <w:tc>
          <w:tcPr>
            <w:tcW w:w="4700" w:type="dxa"/>
            <w:vAlign w:val="bottom"/>
            <w:gridSpan w:val="2"/>
          </w:tcPr>
          <w:p>
            <w:pPr>
              <w:ind w:left="380"/>
              <w:spacing w:after="0"/>
              <w:rPr>
                <w:sz w:val="20"/>
                <w:szCs w:val="20"/>
                <w:color w:val="auto"/>
              </w:rPr>
            </w:pPr>
            <w:r>
              <w:rPr>
                <w:rFonts w:ascii="Arial" w:cs="Arial" w:eastAsia="Arial" w:hAnsi="Arial"/>
                <w:sz w:val="16"/>
                <w:szCs w:val="16"/>
                <w:color w:val="auto"/>
              </w:rPr>
              <w:t>Deferred gains and other long-term liabilities</w:t>
            </w:r>
          </w:p>
        </w:tc>
        <w:tc>
          <w:tcPr>
            <w:tcW w:w="26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1,898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12,005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13,903</w:t>
            </w:r>
          </w:p>
        </w:tc>
        <w:tc>
          <w:tcPr>
            <w:tcW w:w="0" w:type="dxa"/>
            <w:vAlign w:val="bottom"/>
          </w:tcPr>
          <w:p>
            <w:pPr>
              <w:spacing w:after="0"/>
              <w:rPr>
                <w:sz w:val="1"/>
                <w:szCs w:val="1"/>
                <w:color w:val="auto"/>
              </w:rPr>
            </w:pPr>
          </w:p>
        </w:tc>
      </w:tr>
      <w:tr>
        <w:trPr>
          <w:trHeight w:val="33"/>
        </w:trPr>
        <w:tc>
          <w:tcPr>
            <w:tcW w:w="1020" w:type="dxa"/>
            <w:vAlign w:val="bottom"/>
            <w:tcBorders>
              <w:bottom w:val="single" w:sz="8" w:color="CCEEFF"/>
            </w:tcBorders>
          </w:tcPr>
          <w:p>
            <w:pPr>
              <w:spacing w:after="0"/>
              <w:rPr>
                <w:sz w:val="2"/>
                <w:szCs w:val="2"/>
                <w:color w:val="auto"/>
              </w:rPr>
            </w:pPr>
          </w:p>
        </w:tc>
        <w:tc>
          <w:tcPr>
            <w:tcW w:w="36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1020" w:type="dxa"/>
            <w:vAlign w:val="bottom"/>
            <w:tcBorders>
              <w:bottom w:val="single" w:sz="8" w:color="CCEEFF"/>
            </w:tcBorders>
            <w:shd w:val="clear" w:color="auto" w:fill="CCEEFF"/>
          </w:tcPr>
          <w:p>
            <w:pPr>
              <w:spacing w:after="0"/>
              <w:rPr>
                <w:sz w:val="20"/>
                <w:szCs w:val="20"/>
                <w:color w:val="auto"/>
              </w:rPr>
            </w:pPr>
          </w:p>
        </w:tc>
        <w:tc>
          <w:tcPr>
            <w:tcW w:w="36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 liabilities</w:t>
            </w:r>
          </w:p>
        </w:tc>
        <w:tc>
          <w:tcPr>
            <w:tcW w:w="2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136,723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324,730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231,110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(363,065)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329,498</w:t>
            </w:r>
          </w:p>
        </w:tc>
        <w:tc>
          <w:tcPr>
            <w:tcW w:w="0" w:type="dxa"/>
            <w:vAlign w:val="bottom"/>
          </w:tcPr>
          <w:p>
            <w:pPr>
              <w:spacing w:after="0"/>
              <w:rPr>
                <w:sz w:val="1"/>
                <w:szCs w:val="1"/>
                <w:color w:val="auto"/>
              </w:rPr>
            </w:pPr>
          </w:p>
        </w:tc>
      </w:tr>
      <w:tr>
        <w:trPr>
          <w:trHeight w:val="237"/>
        </w:trPr>
        <w:tc>
          <w:tcPr>
            <w:tcW w:w="4700" w:type="dxa"/>
            <w:vAlign w:val="bottom"/>
            <w:gridSpan w:val="2"/>
          </w:tcPr>
          <w:p>
            <w:pPr>
              <w:ind w:left="380"/>
              <w:spacing w:after="0"/>
              <w:rPr>
                <w:sz w:val="20"/>
                <w:szCs w:val="20"/>
                <w:color w:val="auto"/>
              </w:rPr>
            </w:pPr>
            <w:r>
              <w:rPr>
                <w:rFonts w:ascii="Arial" w:cs="Arial" w:eastAsia="Arial" w:hAnsi="Arial"/>
                <w:sz w:val="16"/>
                <w:szCs w:val="16"/>
                <w:color w:val="auto"/>
              </w:rPr>
              <w:t>Commitments and contingencies</w:t>
            </w: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Temporary equity:</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00" w:type="dxa"/>
            <w:vAlign w:val="bottom"/>
            <w:gridSpan w:val="2"/>
          </w:tcPr>
          <w:p>
            <w:pPr>
              <w:ind w:left="720"/>
              <w:spacing w:after="0"/>
              <w:rPr>
                <w:sz w:val="20"/>
                <w:szCs w:val="20"/>
                <w:color w:val="auto"/>
              </w:rPr>
            </w:pPr>
            <w:r>
              <w:rPr>
                <w:rFonts w:ascii="Arial" w:cs="Arial" w:eastAsia="Arial" w:hAnsi="Arial"/>
                <w:sz w:val="16"/>
                <w:szCs w:val="16"/>
                <w:color w:val="auto"/>
              </w:rPr>
              <w:t>Redeemable noncontrolling interest</w:t>
            </w:r>
          </w:p>
        </w:tc>
        <w:tc>
          <w:tcPr>
            <w:tcW w:w="26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53,681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53,681</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Stockholders’ equity:</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4700" w:type="dxa"/>
            <w:vAlign w:val="bottom"/>
            <w:gridSpan w:val="2"/>
          </w:tcPr>
          <w:p>
            <w:pPr>
              <w:ind w:left="720"/>
              <w:spacing w:after="0"/>
              <w:rPr>
                <w:sz w:val="20"/>
                <w:szCs w:val="20"/>
                <w:color w:val="auto"/>
              </w:rPr>
            </w:pPr>
            <w:r>
              <w:rPr>
                <w:rFonts w:ascii="Arial" w:cs="Arial" w:eastAsia="Arial" w:hAnsi="Arial"/>
                <w:sz w:val="16"/>
                <w:szCs w:val="16"/>
                <w:color w:val="auto"/>
              </w:rPr>
              <w:t>Class A Non-voting Common Stock, par value $.01 per</w:t>
            </w: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700" w:type="dxa"/>
            <w:vAlign w:val="bottom"/>
            <w:gridSpan w:val="2"/>
          </w:tcPr>
          <w:p>
            <w:pPr>
              <w:ind w:left="720"/>
              <w:spacing w:after="0"/>
              <w:rPr>
                <w:sz w:val="20"/>
                <w:szCs w:val="20"/>
                <w:color w:val="auto"/>
              </w:rPr>
            </w:pPr>
            <w:r>
              <w:rPr>
                <w:rFonts w:ascii="Arial" w:cs="Arial" w:eastAsia="Arial" w:hAnsi="Arial"/>
                <w:sz w:val="16"/>
                <w:szCs w:val="16"/>
                <w:color w:val="auto"/>
              </w:rPr>
              <w:t>share;</w:t>
            </w:r>
          </w:p>
        </w:tc>
        <w:tc>
          <w:tcPr>
            <w:tcW w:w="260" w:type="dxa"/>
            <w:vAlign w:val="bottom"/>
          </w:tcPr>
          <w:p>
            <w:pPr>
              <w:spacing w:after="0"/>
              <w:rPr>
                <w:sz w:val="17"/>
                <w:szCs w:val="17"/>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482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482</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70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w w:val="95"/>
              </w:rPr>
              <w:t>Class B Voting Common Stock, convertible, par value $.01</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70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per share;</w:t>
            </w:r>
          </w:p>
        </w:tc>
        <w:tc>
          <w:tcPr>
            <w:tcW w:w="2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37"/>
        </w:trPr>
        <w:tc>
          <w:tcPr>
            <w:tcW w:w="4700" w:type="dxa"/>
            <w:vAlign w:val="bottom"/>
            <w:gridSpan w:val="2"/>
          </w:tcPr>
          <w:p>
            <w:pPr>
              <w:ind w:left="720"/>
              <w:spacing w:after="0"/>
              <w:rPr>
                <w:sz w:val="20"/>
                <w:szCs w:val="20"/>
                <w:color w:val="auto"/>
              </w:rPr>
            </w:pPr>
            <w:r>
              <w:rPr>
                <w:rFonts w:ascii="Arial" w:cs="Arial" w:eastAsia="Arial" w:hAnsi="Arial"/>
                <w:sz w:val="16"/>
                <w:szCs w:val="16"/>
                <w:color w:val="auto"/>
              </w:rPr>
              <w:t>Additional paid-in capital</w:t>
            </w:r>
          </w:p>
        </w:tc>
        <w:tc>
          <w:tcPr>
            <w:tcW w:w="26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268,626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80,210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102,188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(182,398)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268,626</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Retained earnings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565,803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425,024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(427,397)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565,803</w:t>
            </w:r>
          </w:p>
        </w:tc>
        <w:tc>
          <w:tcPr>
            <w:tcW w:w="0" w:type="dxa"/>
            <w:vAlign w:val="bottom"/>
          </w:tcPr>
          <w:p>
            <w:pPr>
              <w:spacing w:after="0"/>
              <w:rPr>
                <w:sz w:val="1"/>
                <w:szCs w:val="1"/>
                <w:color w:val="auto"/>
              </w:rPr>
            </w:pPr>
          </w:p>
        </w:tc>
      </w:tr>
      <w:tr>
        <w:trPr>
          <w:trHeight w:val="237"/>
        </w:trPr>
        <w:tc>
          <w:tcPr>
            <w:tcW w:w="4700" w:type="dxa"/>
            <w:vAlign w:val="bottom"/>
            <w:gridSpan w:val="2"/>
          </w:tcPr>
          <w:p>
            <w:pPr>
              <w:ind w:left="720"/>
              <w:spacing w:after="0"/>
              <w:rPr>
                <w:sz w:val="20"/>
                <w:szCs w:val="20"/>
                <w:color w:val="auto"/>
              </w:rPr>
            </w:pPr>
            <w:r>
              <w:rPr>
                <w:rFonts w:ascii="Arial" w:cs="Arial" w:eastAsia="Arial" w:hAnsi="Arial"/>
                <w:sz w:val="16"/>
                <w:szCs w:val="16"/>
                <w:color w:val="auto"/>
              </w:rPr>
              <w:t>Accumulated other comprehensive income (loss)</w:t>
            </w: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(1,309)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(2,512)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3,821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33"/>
        </w:trPr>
        <w:tc>
          <w:tcPr>
            <w:tcW w:w="1020" w:type="dxa"/>
            <w:vAlign w:val="bottom"/>
            <w:tcBorders>
              <w:bottom w:val="single" w:sz="8" w:color="CCEEFF"/>
            </w:tcBorders>
          </w:tcPr>
          <w:p>
            <w:pPr>
              <w:spacing w:after="0"/>
              <w:rPr>
                <w:sz w:val="2"/>
                <w:szCs w:val="2"/>
                <w:color w:val="auto"/>
              </w:rPr>
            </w:pPr>
          </w:p>
        </w:tc>
        <w:tc>
          <w:tcPr>
            <w:tcW w:w="36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EZCORP stockholders’ equity</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834,828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503,938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102,049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(605,987)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834,828</w:t>
            </w:r>
          </w:p>
        </w:tc>
        <w:tc>
          <w:tcPr>
            <w:tcW w:w="0" w:type="dxa"/>
            <w:vAlign w:val="bottom"/>
          </w:tcPr>
          <w:p>
            <w:pPr>
              <w:spacing w:after="0"/>
              <w:rPr>
                <w:sz w:val="1"/>
                <w:szCs w:val="1"/>
                <w:color w:val="auto"/>
              </w:rPr>
            </w:pPr>
          </w:p>
        </w:tc>
      </w:tr>
      <w:tr>
        <w:trPr>
          <w:trHeight w:val="244"/>
        </w:trPr>
        <w:tc>
          <w:tcPr>
            <w:tcW w:w="4700" w:type="dxa"/>
            <w:vAlign w:val="bottom"/>
            <w:gridSpan w:val="2"/>
          </w:tcPr>
          <w:p>
            <w:pPr>
              <w:ind w:left="380"/>
              <w:spacing w:after="0"/>
              <w:rPr>
                <w:sz w:val="20"/>
                <w:szCs w:val="20"/>
                <w:color w:val="auto"/>
              </w:rPr>
            </w:pPr>
            <w:r>
              <w:rPr>
                <w:rFonts w:ascii="Arial" w:cs="Arial" w:eastAsia="Arial" w:hAnsi="Arial"/>
                <w:sz w:val="16"/>
                <w:szCs w:val="16"/>
                <w:color w:val="auto"/>
              </w:rPr>
              <w:t>Total liabilities and stockholders’ equity</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971,551</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828,668</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386,840</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(969,052)</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1,218,007</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4" w:right="239" w:bottom="1136"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114" w:right="239" w:bottom="1136" w:gutter="0" w:footer="0" w:header="0"/>
          <w:type w:val="continuous"/>
        </w:sectPr>
      </w:pPr>
    </w:p>
    <w:bookmarkStart w:id="30" w:name="page31"/>
    <w:bookmarkEnd w:id="3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Consolidating Statements of Operations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900" w:type="dxa"/>
            <w:vAlign w:val="bottom"/>
            <w:gridSpan w:val="8"/>
          </w:tcPr>
          <w:p>
            <w:pPr>
              <w:jc w:val="center"/>
              <w:ind w:right="280"/>
              <w:spacing w:after="0"/>
              <w:rPr>
                <w:sz w:val="20"/>
                <w:szCs w:val="20"/>
                <w:color w:val="auto"/>
              </w:rPr>
            </w:pPr>
            <w:r>
              <w:rPr>
                <w:rFonts w:ascii="Arial" w:cs="Arial" w:eastAsia="Arial" w:hAnsi="Arial"/>
                <w:sz w:val="14"/>
                <w:szCs w:val="14"/>
                <w:b w:val="1"/>
                <w:bCs w:val="1"/>
                <w:color w:val="auto"/>
                <w:w w:val="93"/>
              </w:rPr>
              <w:t>Three Months Ended December 31, 2012</w:t>
            </w: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Subsidiary</w:t>
            </w:r>
          </w:p>
        </w:tc>
        <w:tc>
          <w:tcPr>
            <w:tcW w:w="160" w:type="dxa"/>
            <w:vAlign w:val="bottom"/>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4"/>
                <w:szCs w:val="14"/>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Subsidiaries</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i w:val="1"/>
                <w:iCs w:val="1"/>
                <w:color w:val="auto"/>
                <w:w w:val="92"/>
              </w:rPr>
              <w:t>(in thousands)</w:t>
            </w: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4700" w:type="dxa"/>
            <w:vAlign w:val="bottom"/>
          </w:tcPr>
          <w:p>
            <w:pPr>
              <w:ind w:left="40"/>
              <w:spacing w:after="0"/>
              <w:rPr>
                <w:sz w:val="20"/>
                <w:szCs w:val="20"/>
                <w:color w:val="auto"/>
              </w:rPr>
            </w:pPr>
            <w:r>
              <w:rPr>
                <w:rFonts w:ascii="Arial" w:cs="Arial" w:eastAsia="Arial" w:hAnsi="Arial"/>
                <w:sz w:val="18"/>
                <w:szCs w:val="18"/>
                <w:color w:val="auto"/>
              </w:rPr>
              <w:t>Revenues:</w:t>
            </w: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Merchandise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79,202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16,380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95,582</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Jewelry scrapping sales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41,838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4,087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45,925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Pawn service charges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58,210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7,814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66,024</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Consumer loan fees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42,936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21,829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64,765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revenues</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2,569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2,261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4,830</w:t>
            </w:r>
          </w:p>
        </w:tc>
        <w:tc>
          <w:tcPr>
            <w:tcW w:w="0" w:type="dxa"/>
            <w:vAlign w:val="bottom"/>
          </w:tcPr>
          <w:p>
            <w:pPr>
              <w:spacing w:after="0"/>
              <w:rPr>
                <w:sz w:val="1"/>
                <w:szCs w:val="1"/>
                <w:color w:val="auto"/>
              </w:rPr>
            </w:pPr>
          </w:p>
        </w:tc>
      </w:tr>
      <w:tr>
        <w:trPr>
          <w:trHeight w:val="237"/>
        </w:trPr>
        <w:tc>
          <w:tcPr>
            <w:tcW w:w="4700" w:type="dxa"/>
            <w:vAlign w:val="bottom"/>
          </w:tcPr>
          <w:p>
            <w:pPr>
              <w:ind w:left="720"/>
              <w:spacing w:after="0"/>
              <w:rPr>
                <w:sz w:val="20"/>
                <w:szCs w:val="20"/>
                <w:color w:val="auto"/>
              </w:rPr>
            </w:pPr>
            <w:r>
              <w:rPr>
                <w:rFonts w:ascii="Arial" w:cs="Arial" w:eastAsia="Arial" w:hAnsi="Arial"/>
                <w:sz w:val="18"/>
                <w:szCs w:val="18"/>
                <w:color w:val="auto"/>
              </w:rPr>
              <w:t>Total revenues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224,755</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52,371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277,126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Merchandise cost of goods sold</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46,051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9,450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55,501</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Jewelry scrapping cost of goods sold</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28,989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3,210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32,199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Consumer loan bad debt</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10,647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3,427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14,074</w:t>
            </w:r>
          </w:p>
        </w:tc>
        <w:tc>
          <w:tcPr>
            <w:tcW w:w="0" w:type="dxa"/>
            <w:vAlign w:val="bottom"/>
          </w:tcPr>
          <w:p>
            <w:pPr>
              <w:spacing w:after="0"/>
              <w:rPr>
                <w:sz w:val="1"/>
                <w:szCs w:val="1"/>
                <w:color w:val="auto"/>
              </w:rPr>
            </w:pPr>
          </w:p>
        </w:tc>
      </w:tr>
      <w:tr>
        <w:trPr>
          <w:trHeight w:val="237"/>
        </w:trPr>
        <w:tc>
          <w:tcPr>
            <w:tcW w:w="4700" w:type="dxa"/>
            <w:vAlign w:val="bottom"/>
          </w:tcPr>
          <w:p>
            <w:pPr>
              <w:ind w:left="720"/>
              <w:spacing w:after="0"/>
              <w:rPr>
                <w:sz w:val="20"/>
                <w:szCs w:val="20"/>
                <w:color w:val="auto"/>
              </w:rPr>
            </w:pPr>
            <w:r>
              <w:rPr>
                <w:rFonts w:ascii="Arial" w:cs="Arial" w:eastAsia="Arial" w:hAnsi="Arial"/>
                <w:sz w:val="18"/>
                <w:szCs w:val="18"/>
                <w:color w:val="auto"/>
              </w:rPr>
              <w:t>Net revenues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139,068</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36,284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175,352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Operations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82,516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24,746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107,262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Administrative</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13,514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13,671</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5,411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2,241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7,652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on sale or disposal of assets</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7"/>
        </w:trPr>
        <w:tc>
          <w:tcPr>
            <w:tcW w:w="470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101,469</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27,248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128,614</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income</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37,599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9,036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46,738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(income) expense</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1,016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2,991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3,637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net income of unconsolidated affiliates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(5,038)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Equity of net income in subsidiaries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(42,152)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42,152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44,407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40,338</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6,047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(42,152)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48,640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13,690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2,793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16,485</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30,717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40,336</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3,254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(42,152)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32,155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5"/>
              </w:rPr>
              <w:t>Net income attributable to redeemable noncontrolling interest</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1,438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1,438</w:t>
            </w:r>
          </w:p>
        </w:tc>
        <w:tc>
          <w:tcPr>
            <w:tcW w:w="0" w:type="dxa"/>
            <w:vAlign w:val="bottom"/>
          </w:tcPr>
          <w:p>
            <w:pPr>
              <w:spacing w:after="0"/>
              <w:rPr>
                <w:sz w:val="1"/>
                <w:szCs w:val="1"/>
                <w:color w:val="auto"/>
              </w:rPr>
            </w:pP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color w:val="auto"/>
              </w:rPr>
              <w:t>Net income attributable to EZCORP</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30,717</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40,336</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1,816</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(42,152)</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30,717</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61"/>
        </w:trPr>
        <w:tc>
          <w:tcPr>
            <w:tcW w:w="4700" w:type="dxa"/>
            <w:vAlign w:val="bottom"/>
            <w:gridSpan w:val="2"/>
          </w:tcPr>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76"/>
        </w:trPr>
        <w:tc>
          <w:tcPr>
            <w:tcW w:w="1020" w:type="dxa"/>
            <w:vAlign w:val="bottom"/>
            <w:tcBorders>
              <w:top w:val="single" w:sz="8" w:color="0000FF"/>
            </w:tcBorders>
          </w:tcPr>
          <w:p>
            <w:pPr>
              <w:spacing w:after="0"/>
              <w:rPr>
                <w:sz w:val="24"/>
                <w:szCs w:val="24"/>
                <w:color w:val="auto"/>
              </w:rPr>
            </w:pPr>
          </w:p>
        </w:tc>
        <w:tc>
          <w:tcPr>
            <w:tcW w:w="3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900" w:type="dxa"/>
            <w:vAlign w:val="bottom"/>
            <w:gridSpan w:val="8"/>
          </w:tcPr>
          <w:p>
            <w:pPr>
              <w:jc w:val="center"/>
              <w:ind w:right="280"/>
              <w:spacing w:after="0"/>
              <w:rPr>
                <w:sz w:val="20"/>
                <w:szCs w:val="20"/>
                <w:color w:val="auto"/>
              </w:rPr>
            </w:pPr>
            <w:r>
              <w:rPr>
                <w:rFonts w:ascii="Arial" w:cs="Arial" w:eastAsia="Arial" w:hAnsi="Arial"/>
                <w:sz w:val="14"/>
                <w:szCs w:val="14"/>
                <w:b w:val="1"/>
                <w:bCs w:val="1"/>
                <w:color w:val="auto"/>
                <w:w w:val="93"/>
              </w:rPr>
              <w:t>Three Months Ended December 31, 2011</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10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Subsidiary</w:t>
            </w:r>
          </w:p>
        </w:tc>
        <w:tc>
          <w:tcPr>
            <w:tcW w:w="160" w:type="dxa"/>
            <w:vAlign w:val="bottom"/>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4"/>
                <w:szCs w:val="14"/>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102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Subsidiaries</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02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i w:val="1"/>
                <w:iCs w:val="1"/>
                <w:color w:val="auto"/>
                <w:w w:val="92"/>
              </w:rPr>
              <w:t>(in thousands)</w:t>
            </w: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Revenues:</w:t>
            </w: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Merchandise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75,972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10,922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86,894</w:t>
            </w:r>
          </w:p>
        </w:tc>
        <w:tc>
          <w:tcPr>
            <w:tcW w:w="0" w:type="dxa"/>
            <w:vAlign w:val="bottom"/>
          </w:tcPr>
          <w:p>
            <w:pPr>
              <w:spacing w:after="0"/>
              <w:rPr>
                <w:sz w:val="1"/>
                <w:szCs w:val="1"/>
                <w:color w:val="auto"/>
              </w:rPr>
            </w:pPr>
          </w:p>
        </w:tc>
      </w:tr>
      <w:tr>
        <w:trPr>
          <w:trHeight w:val="243"/>
        </w:trPr>
        <w:tc>
          <w:tcPr>
            <w:tcW w:w="4700" w:type="dxa"/>
            <w:vAlign w:val="bottom"/>
            <w:gridSpan w:val="2"/>
          </w:tcPr>
          <w:p>
            <w:pPr>
              <w:ind w:left="380"/>
              <w:spacing w:after="0"/>
              <w:rPr>
                <w:sz w:val="20"/>
                <w:szCs w:val="20"/>
                <w:color w:val="auto"/>
              </w:rPr>
            </w:pPr>
            <w:r>
              <w:rPr>
                <w:rFonts w:ascii="Arial" w:cs="Arial" w:eastAsia="Arial" w:hAnsi="Arial"/>
                <w:sz w:val="18"/>
                <w:szCs w:val="18"/>
                <w:color w:val="auto"/>
              </w:rPr>
              <w:t>Jewelry scrapping sales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52,574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3,829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56,403</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Pawn service charges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54,370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59,792</w:t>
            </w:r>
          </w:p>
        </w:tc>
        <w:tc>
          <w:tcPr>
            <w:tcW w:w="0" w:type="dxa"/>
            <w:vAlign w:val="bottom"/>
          </w:tcPr>
          <w:p>
            <w:pPr>
              <w:spacing w:after="0"/>
              <w:rPr>
                <w:sz w:val="1"/>
                <w:szCs w:val="1"/>
                <w:color w:val="auto"/>
              </w:rPr>
            </w:pPr>
          </w:p>
        </w:tc>
      </w:tr>
      <w:tr>
        <w:trPr>
          <w:trHeight w:val="243"/>
        </w:trPr>
        <w:tc>
          <w:tcPr>
            <w:tcW w:w="4700" w:type="dxa"/>
            <w:vAlign w:val="bottom"/>
            <w:gridSpan w:val="2"/>
          </w:tcPr>
          <w:p>
            <w:pPr>
              <w:ind w:left="380"/>
              <w:spacing w:after="0"/>
              <w:rPr>
                <w:sz w:val="20"/>
                <w:szCs w:val="20"/>
                <w:color w:val="auto"/>
              </w:rPr>
            </w:pPr>
            <w:r>
              <w:rPr>
                <w:rFonts w:ascii="Arial" w:cs="Arial" w:eastAsia="Arial" w:hAnsi="Arial"/>
                <w:sz w:val="18"/>
                <w:szCs w:val="18"/>
                <w:color w:val="auto"/>
              </w:rPr>
              <w:t>Consumer loan fees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42,417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2,671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45,088</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Other revenues</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20,139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(20,611)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37"/>
        </w:trPr>
        <w:tc>
          <w:tcPr>
            <w:tcW w:w="4700" w:type="dxa"/>
            <w:vAlign w:val="bottom"/>
            <w:gridSpan w:val="2"/>
          </w:tcPr>
          <w:p>
            <w:pPr>
              <w:ind w:left="720"/>
              <w:spacing w:after="0"/>
              <w:rPr>
                <w:sz w:val="20"/>
                <w:szCs w:val="20"/>
                <w:color w:val="auto"/>
              </w:rPr>
            </w:pPr>
            <w:r>
              <w:rPr>
                <w:rFonts w:ascii="Arial" w:cs="Arial" w:eastAsia="Arial" w:hAnsi="Arial"/>
                <w:sz w:val="18"/>
                <w:szCs w:val="18"/>
                <w:color w:val="auto"/>
              </w:rPr>
              <w:t>Total revenues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20,139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226,183</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23,162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(20,611)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248,873</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Merchandise cost of goods sold</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43,115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48,396</w:t>
            </w:r>
          </w:p>
        </w:tc>
        <w:tc>
          <w:tcPr>
            <w:tcW w:w="0" w:type="dxa"/>
            <w:vAlign w:val="bottom"/>
          </w:tcPr>
          <w:p>
            <w:pPr>
              <w:spacing w:after="0"/>
              <w:rPr>
                <w:sz w:val="1"/>
                <w:szCs w:val="1"/>
                <w:color w:val="auto"/>
              </w:rPr>
            </w:pPr>
          </w:p>
        </w:tc>
      </w:tr>
      <w:tr>
        <w:trPr>
          <w:trHeight w:val="243"/>
        </w:trPr>
        <w:tc>
          <w:tcPr>
            <w:tcW w:w="4700" w:type="dxa"/>
            <w:vAlign w:val="bottom"/>
            <w:gridSpan w:val="2"/>
          </w:tcPr>
          <w:p>
            <w:pPr>
              <w:ind w:left="380"/>
              <w:spacing w:after="0"/>
              <w:rPr>
                <w:sz w:val="20"/>
                <w:szCs w:val="20"/>
                <w:color w:val="auto"/>
              </w:rPr>
            </w:pPr>
            <w:r>
              <w:rPr>
                <w:rFonts w:ascii="Arial" w:cs="Arial" w:eastAsia="Arial" w:hAnsi="Arial"/>
                <w:sz w:val="18"/>
                <w:szCs w:val="18"/>
                <w:color w:val="auto"/>
              </w:rPr>
              <w:t>Jewelry scrap cost of goods sold</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33,006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2,418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35,424</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Consumer loan bad debt</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10,191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834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11,025</w:t>
            </w:r>
          </w:p>
        </w:tc>
        <w:tc>
          <w:tcPr>
            <w:tcW w:w="0" w:type="dxa"/>
            <w:vAlign w:val="bottom"/>
          </w:tcPr>
          <w:p>
            <w:pPr>
              <w:spacing w:after="0"/>
              <w:rPr>
                <w:sz w:val="1"/>
                <w:szCs w:val="1"/>
                <w:color w:val="auto"/>
              </w:rPr>
            </w:pPr>
          </w:p>
        </w:tc>
      </w:tr>
      <w:tr>
        <w:trPr>
          <w:trHeight w:val="237"/>
        </w:trPr>
        <w:tc>
          <w:tcPr>
            <w:tcW w:w="4700" w:type="dxa"/>
            <w:vAlign w:val="bottom"/>
            <w:gridSpan w:val="2"/>
          </w:tcPr>
          <w:p>
            <w:pPr>
              <w:ind w:left="720"/>
              <w:spacing w:after="0"/>
              <w:rPr>
                <w:sz w:val="20"/>
                <w:szCs w:val="20"/>
                <w:color w:val="auto"/>
              </w:rPr>
            </w:pPr>
            <w:r>
              <w:rPr>
                <w:rFonts w:ascii="Arial" w:cs="Arial" w:eastAsia="Arial" w:hAnsi="Arial"/>
                <w:sz w:val="18"/>
                <w:szCs w:val="18"/>
                <w:color w:val="auto"/>
              </w:rPr>
              <w:t>Net revenues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20,139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139,871</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14,629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(20,611)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154,028</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380"/>
              <w:spacing w:after="0"/>
              <w:rPr>
                <w:sz w:val="20"/>
                <w:szCs w:val="20"/>
                <w:color w:val="auto"/>
              </w:rPr>
            </w:pPr>
            <w:r>
              <w:rPr>
                <w:rFonts w:ascii="Arial" w:cs="Arial" w:eastAsia="Arial" w:hAnsi="Arial"/>
                <w:sz w:val="18"/>
                <w:szCs w:val="18"/>
                <w:color w:val="auto"/>
              </w:rPr>
              <w:t>Operations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71,597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10,961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82,558</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Administrative</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10,817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11,654</w:t>
            </w:r>
          </w:p>
        </w:tc>
        <w:tc>
          <w:tcPr>
            <w:tcW w:w="0" w:type="dxa"/>
            <w:vAlign w:val="bottom"/>
          </w:tcPr>
          <w:p>
            <w:pPr>
              <w:spacing w:after="0"/>
              <w:rPr>
                <w:sz w:val="1"/>
                <w:szCs w:val="1"/>
                <w:color w:val="auto"/>
              </w:rPr>
            </w:pPr>
          </w:p>
        </w:tc>
      </w:tr>
      <w:tr>
        <w:trPr>
          <w:trHeight w:val="243"/>
        </w:trPr>
        <w:tc>
          <w:tcPr>
            <w:tcW w:w="4700" w:type="dxa"/>
            <w:vAlign w:val="bottom"/>
            <w:gridSpan w:val="2"/>
          </w:tcPr>
          <w:p>
            <w:pPr>
              <w:ind w:left="38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4,147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1,108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5,255</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(Gain) loss on sale or disposal of assets</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37"/>
        </w:trPr>
        <w:tc>
          <w:tcPr>
            <w:tcW w:w="4700" w:type="dxa"/>
            <w:vAlign w:val="bottom"/>
            <w:gridSpan w:val="2"/>
          </w:tcPr>
          <w:p>
            <w:pPr>
              <w:ind w:left="720"/>
              <w:spacing w:after="0"/>
              <w:rPr>
                <w:sz w:val="20"/>
                <w:szCs w:val="20"/>
                <w:color w:val="auto"/>
              </w:rPr>
            </w:pPr>
            <w:r>
              <w:rPr>
                <w:rFonts w:ascii="Arial" w:cs="Arial" w:eastAsia="Arial" w:hAnsi="Arial"/>
                <w:sz w:val="18"/>
                <w:szCs w:val="18"/>
                <w:color w:val="auto"/>
              </w:rPr>
              <w:t>Total operating expense</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86,337</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13,401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99,266</w:t>
            </w:r>
          </w:p>
        </w:tc>
        <w:tc>
          <w:tcPr>
            <w:tcW w:w="0" w:type="dxa"/>
            <w:vAlign w:val="bottom"/>
          </w:tcPr>
          <w:p>
            <w:pPr>
              <w:spacing w:after="0"/>
              <w:rPr>
                <w:sz w:val="1"/>
                <w:szCs w:val="1"/>
                <w:color w:val="auto"/>
              </w:rPr>
            </w:pPr>
          </w:p>
        </w:tc>
      </w:tr>
      <w:tr>
        <w:trPr>
          <w:trHeight w:val="27"/>
        </w:trPr>
        <w:tc>
          <w:tcPr>
            <w:tcW w:w="1020" w:type="dxa"/>
            <w:vAlign w:val="bottom"/>
            <w:tcBorders>
              <w:bottom w:val="single" w:sz="8" w:color="CCEEFF"/>
            </w:tcBorders>
          </w:tcPr>
          <w:p>
            <w:pPr>
              <w:spacing w:after="0"/>
              <w:rPr>
                <w:sz w:val="2"/>
                <w:szCs w:val="2"/>
                <w:color w:val="auto"/>
              </w:rPr>
            </w:pPr>
          </w:p>
        </w:tc>
        <w:tc>
          <w:tcPr>
            <w:tcW w:w="36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Operating income</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20,139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53,534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54,762</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Interest (income) expense</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(1,873)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2,453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Equity in net income of unconsolidated affiliates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(4,161)</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Equity of net income in subsidiaries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(33,913)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33,913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(1,119)</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Income before income taxes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58,261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54,043</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1,239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(54,052)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59,491</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18,909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20,139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1,230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(20,139)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20,139</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39,352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33,904</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(33,913)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39,352</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5"/>
              </w:rPr>
              <w:t>Net income attributable to redeemable noncontrolling interest</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Net income attributable to EZCORP</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39,352</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33,904</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(33,913)</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39,352</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10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4" w:right="239" w:bottom="1440" w:gutter="0" w:footer="0" w:header="0"/>
        </w:sectPr>
      </w:pPr>
    </w:p>
    <w:bookmarkStart w:id="32" w:name="page33"/>
    <w:bookmarkEnd w:id="3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Consolidating Statements of Comprehensive Income</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380" w:type="dxa"/>
            <w:vAlign w:val="bottom"/>
            <w:tcBorders>
              <w:bottom w:val="single" w:sz="8" w:color="auto"/>
            </w:tcBorders>
            <w:gridSpan w:val="8"/>
          </w:tcPr>
          <w:p>
            <w:pPr>
              <w:ind w:left="800"/>
              <w:spacing w:after="0"/>
              <w:rPr>
                <w:sz w:val="20"/>
                <w:szCs w:val="20"/>
                <w:color w:val="auto"/>
              </w:rPr>
            </w:pPr>
            <w:r>
              <w:rPr>
                <w:rFonts w:ascii="Arial" w:cs="Arial" w:eastAsia="Arial" w:hAnsi="Arial"/>
                <w:sz w:val="14"/>
                <w:szCs w:val="14"/>
                <w:b w:val="1"/>
                <w:bCs w:val="1"/>
                <w:color w:val="auto"/>
              </w:rPr>
              <w:t>Three Months Ended December 31, 2012</w:t>
            </w: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Parent</w:t>
            </w:r>
          </w:p>
        </w:tc>
        <w:tc>
          <w:tcPr>
            <w:tcW w:w="260" w:type="dxa"/>
            <w:vAlign w:val="bottom"/>
          </w:tcPr>
          <w:p>
            <w:pPr>
              <w:spacing w:after="0"/>
              <w:rPr>
                <w:sz w:val="13"/>
                <w:szCs w:val="13"/>
                <w:color w:val="auto"/>
              </w:rPr>
            </w:pPr>
          </w:p>
        </w:tc>
        <w:tc>
          <w:tcPr>
            <w:tcW w:w="134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2"/>
              </w:rPr>
              <w:t>Subsidiary</w:t>
            </w:r>
          </w:p>
        </w:tc>
        <w:tc>
          <w:tcPr>
            <w:tcW w:w="200" w:type="dxa"/>
            <w:vAlign w:val="bottom"/>
          </w:tcPr>
          <w:p>
            <w:pPr>
              <w:spacing w:after="0"/>
              <w:rPr>
                <w:sz w:val="13"/>
                <w:szCs w:val="13"/>
                <w:color w:val="auto"/>
              </w:rPr>
            </w:pPr>
          </w:p>
        </w:tc>
        <w:tc>
          <w:tcPr>
            <w:tcW w:w="1260" w:type="dxa"/>
            <w:vAlign w:val="bottom"/>
            <w:gridSpan w:val="2"/>
          </w:tcPr>
          <w:p>
            <w:pPr>
              <w:ind w:left="300"/>
              <w:spacing w:after="0" w:line="153" w:lineRule="exact"/>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3"/>
                <w:szCs w:val="13"/>
                <w:color w:val="auto"/>
              </w:rPr>
            </w:pPr>
          </w:p>
        </w:tc>
        <w:tc>
          <w:tcPr>
            <w:tcW w:w="13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Eliminations</w:t>
            </w:r>
          </w:p>
        </w:tc>
        <w:tc>
          <w:tcPr>
            <w:tcW w:w="240" w:type="dxa"/>
            <w:vAlign w:val="bottom"/>
          </w:tcPr>
          <w:p>
            <w:pPr>
              <w:spacing w:after="0"/>
              <w:rPr>
                <w:sz w:val="13"/>
                <w:szCs w:val="13"/>
                <w:color w:val="auto"/>
              </w:rPr>
            </w:pPr>
          </w:p>
        </w:tc>
        <w:tc>
          <w:tcPr>
            <w:tcW w:w="124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w w:val="99"/>
              </w:rPr>
              <w:t>Consolidated</w:t>
            </w:r>
          </w:p>
        </w:tc>
        <w:tc>
          <w:tcPr>
            <w:tcW w:w="0" w:type="dxa"/>
            <w:vAlign w:val="bottom"/>
          </w:tcPr>
          <w:p>
            <w:pPr>
              <w:spacing w:after="0"/>
              <w:rPr>
                <w:sz w:val="1"/>
                <w:szCs w:val="1"/>
                <w:color w:val="auto"/>
              </w:rPr>
            </w:pPr>
          </w:p>
        </w:tc>
      </w:tr>
      <w:tr>
        <w:trPr>
          <w:trHeight w:val="192"/>
        </w:trPr>
        <w:tc>
          <w:tcPr>
            <w:tcW w:w="37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5"/>
              </w:rPr>
              <w:t>Guarantors</w:t>
            </w: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Subsidiaries</w:t>
            </w: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2"/>
          </w:tcPr>
          <w:p>
            <w:pPr>
              <w:ind w:left="10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3780" w:type="dxa"/>
            <w:vAlign w:val="bottom"/>
          </w:tcPr>
          <w:p>
            <w:pPr>
              <w:ind w:left="40"/>
              <w:spacing w:after="0"/>
              <w:rPr>
                <w:sz w:val="20"/>
                <w:szCs w:val="20"/>
                <w:color w:val="auto"/>
              </w:rPr>
            </w:pPr>
            <w:r>
              <w:rPr>
                <w:rFonts w:ascii="Arial" w:cs="Arial" w:eastAsia="Arial" w:hAnsi="Arial"/>
                <w:sz w:val="14"/>
                <w:szCs w:val="14"/>
                <w:color w:val="auto"/>
              </w:rPr>
              <w:t>Net income (loss)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30,717</w:t>
            </w:r>
          </w:p>
        </w:tc>
        <w:tc>
          <w:tcPr>
            <w:tcW w:w="12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40,336</w:t>
            </w:r>
          </w:p>
        </w:tc>
        <w:tc>
          <w:tcPr>
            <w:tcW w:w="1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3,254</w:t>
            </w:r>
          </w:p>
        </w:tc>
        <w:tc>
          <w:tcPr>
            <w:tcW w:w="10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(42,152)</w:t>
            </w:r>
          </w:p>
        </w:tc>
        <w:tc>
          <w:tcPr>
            <w:tcW w:w="10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32,155</w:t>
            </w:r>
          </w:p>
        </w:tc>
        <w:tc>
          <w:tcPr>
            <w:tcW w:w="0" w:type="dxa"/>
            <w:vAlign w:val="bottom"/>
          </w:tcPr>
          <w:p>
            <w:pPr>
              <w:spacing w:after="0"/>
              <w:rPr>
                <w:sz w:val="1"/>
                <w:szCs w:val="1"/>
                <w:color w:val="auto"/>
              </w:rPr>
            </w:pPr>
          </w:p>
        </w:tc>
      </w:tr>
      <w:tr>
        <w:trPr>
          <w:trHeight w:val="276"/>
        </w:trPr>
        <w:tc>
          <w:tcPr>
            <w:tcW w:w="3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income (loss):</w:t>
            </w:r>
          </w:p>
        </w:tc>
        <w:tc>
          <w:tcPr>
            <w:tcW w:w="3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780" w:type="dxa"/>
            <w:vAlign w:val="bottom"/>
          </w:tcPr>
          <w:p>
            <w:pPr>
              <w:ind w:left="380"/>
              <w:spacing w:after="0"/>
              <w:rPr>
                <w:sz w:val="20"/>
                <w:szCs w:val="20"/>
                <w:color w:val="auto"/>
              </w:rPr>
            </w:pPr>
            <w:r>
              <w:rPr>
                <w:rFonts w:ascii="Arial" w:cs="Arial" w:eastAsia="Arial" w:hAnsi="Arial"/>
                <w:sz w:val="14"/>
                <w:szCs w:val="14"/>
                <w:color w:val="auto"/>
              </w:rPr>
              <w:t>Foreign currency translation gain (loss)</w:t>
            </w:r>
          </w:p>
        </w:tc>
        <w:tc>
          <w:tcPr>
            <w:tcW w:w="300" w:type="dxa"/>
            <w:vAlign w:val="bottom"/>
          </w:tcPr>
          <w:p>
            <w:pPr>
              <w:spacing w:after="0"/>
              <w:rPr>
                <w:sz w:val="22"/>
                <w:szCs w:val="22"/>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4,119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1,349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(2,233)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3,468</w:t>
            </w:r>
          </w:p>
        </w:tc>
        <w:tc>
          <w:tcPr>
            <w:tcW w:w="0" w:type="dxa"/>
            <w:vAlign w:val="bottom"/>
          </w:tcPr>
          <w:p>
            <w:pPr>
              <w:spacing w:after="0"/>
              <w:rPr>
                <w:sz w:val="1"/>
                <w:szCs w:val="1"/>
                <w:color w:val="auto"/>
              </w:rPr>
            </w:pPr>
          </w:p>
        </w:tc>
      </w:tr>
      <w:tr>
        <w:trPr>
          <w:trHeight w:val="276"/>
        </w:trPr>
        <w:tc>
          <w:tcPr>
            <w:tcW w:w="37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Unrealized holding gains (losses) arising during period</w:t>
            </w:r>
          </w:p>
        </w:tc>
        <w:tc>
          <w:tcPr>
            <w:tcW w:w="30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64"/>
        </w:trPr>
        <w:tc>
          <w:tcPr>
            <w:tcW w:w="3780" w:type="dxa"/>
            <w:vAlign w:val="bottom"/>
          </w:tcPr>
          <w:p>
            <w:pPr>
              <w:ind w:left="380"/>
              <w:spacing w:after="0"/>
              <w:rPr>
                <w:sz w:val="20"/>
                <w:szCs w:val="20"/>
                <w:color w:val="auto"/>
              </w:rPr>
            </w:pPr>
            <w:r>
              <w:rPr>
                <w:rFonts w:ascii="Arial" w:cs="Arial" w:eastAsia="Arial" w:hAnsi="Arial"/>
                <w:sz w:val="14"/>
                <w:szCs w:val="14"/>
                <w:color w:val="auto"/>
              </w:rPr>
              <w:t>Income tax benefit (provision)</w:t>
            </w:r>
          </w:p>
        </w:tc>
        <w:tc>
          <w:tcPr>
            <w:tcW w:w="3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(1,980)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457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(1,980)</w:t>
            </w:r>
          </w:p>
        </w:tc>
        <w:tc>
          <w:tcPr>
            <w:tcW w:w="0" w:type="dxa"/>
            <w:vAlign w:val="bottom"/>
          </w:tcPr>
          <w:p>
            <w:pPr>
              <w:spacing w:after="0"/>
              <w:rPr>
                <w:sz w:val="1"/>
                <w:szCs w:val="1"/>
                <w:color w:val="auto"/>
              </w:rPr>
            </w:pPr>
          </w:p>
        </w:tc>
      </w:tr>
      <w:tr>
        <w:trPr>
          <w:trHeight w:val="264"/>
        </w:trPr>
        <w:tc>
          <w:tcPr>
            <w:tcW w:w="37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Other comprehensive income (loss), net of tax</w:t>
            </w:r>
          </w:p>
        </w:tc>
        <w:tc>
          <w:tcPr>
            <w:tcW w:w="300" w:type="dxa"/>
            <w:vAlign w:val="bottom"/>
            <w:tcBorders>
              <w:top w:val="single" w:sz="8" w:color="auto"/>
              <w:bottom w:val="single" w:sz="8" w:color="auto"/>
            </w:tcBorders>
            <w:shd w:val="clear" w:color="auto" w:fill="CCEEFF"/>
          </w:tcPr>
          <w:p>
            <w:pPr>
              <w:spacing w:after="0"/>
              <w:rPr>
                <w:sz w:val="22"/>
                <w:szCs w:val="22"/>
                <w:color w:val="auto"/>
              </w:rPr>
            </w:pPr>
          </w:p>
        </w:tc>
        <w:tc>
          <w:tcPr>
            <w:tcW w:w="110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2,096</w:t>
            </w:r>
          </w:p>
        </w:tc>
        <w:tc>
          <w:tcPr>
            <w:tcW w:w="12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spacing w:after="0"/>
              <w:rPr>
                <w:sz w:val="22"/>
                <w:szCs w:val="22"/>
                <w:color w:val="auto"/>
              </w:rPr>
            </w:pPr>
          </w:p>
        </w:tc>
        <w:tc>
          <w:tcPr>
            <w:tcW w:w="122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849</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(2,233)</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2"/>
                <w:szCs w:val="22"/>
                <w:color w:val="auto"/>
              </w:rPr>
            </w:pPr>
          </w:p>
        </w:tc>
        <w:tc>
          <w:tcPr>
            <w:tcW w:w="124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733</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2"/>
                <w:szCs w:val="22"/>
                <w:color w:val="auto"/>
              </w:rPr>
            </w:pPr>
          </w:p>
        </w:tc>
        <w:tc>
          <w:tcPr>
            <w:tcW w:w="124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1,445</w:t>
            </w:r>
          </w:p>
        </w:tc>
        <w:tc>
          <w:tcPr>
            <w:tcW w:w="0" w:type="dxa"/>
            <w:vAlign w:val="bottom"/>
          </w:tcPr>
          <w:p>
            <w:pPr>
              <w:spacing w:after="0"/>
              <w:rPr>
                <w:sz w:val="1"/>
                <w:szCs w:val="1"/>
                <w:color w:val="auto"/>
              </w:rPr>
            </w:pPr>
          </w:p>
        </w:tc>
      </w:tr>
      <w:tr>
        <w:trPr>
          <w:trHeight w:val="310"/>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Comprehensive income (loss)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32,813</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41,185</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1,021</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(41,419)</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33,600</w:t>
            </w:r>
          </w:p>
        </w:tc>
        <w:tc>
          <w:tcPr>
            <w:tcW w:w="0" w:type="dxa"/>
            <w:vAlign w:val="bottom"/>
          </w:tcPr>
          <w:p>
            <w:pPr>
              <w:spacing w:after="0"/>
              <w:rPr>
                <w:sz w:val="1"/>
                <w:szCs w:val="1"/>
                <w:color w:val="auto"/>
              </w:rPr>
            </w:pPr>
          </w:p>
        </w:tc>
      </w:tr>
      <w:tr>
        <w:trPr>
          <w:trHeight w:val="251"/>
        </w:trPr>
        <w:tc>
          <w:tcPr>
            <w:tcW w:w="37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Attributable to redeemable noncontrolling interest:</w:t>
            </w:r>
          </w:p>
        </w:tc>
        <w:tc>
          <w:tcPr>
            <w:tcW w:w="3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3780" w:type="dxa"/>
            <w:vAlign w:val="bottom"/>
          </w:tcPr>
          <w:p>
            <w:pPr>
              <w:ind w:left="720"/>
              <w:spacing w:after="0"/>
              <w:rPr>
                <w:sz w:val="20"/>
                <w:szCs w:val="20"/>
                <w:color w:val="auto"/>
              </w:rPr>
            </w:pPr>
            <w:r>
              <w:rPr>
                <w:rFonts w:ascii="Arial" w:cs="Arial" w:eastAsia="Arial" w:hAnsi="Arial"/>
                <w:sz w:val="14"/>
                <w:szCs w:val="14"/>
                <w:color w:val="auto"/>
              </w:rPr>
              <w:t>Net income</w:t>
            </w:r>
          </w:p>
        </w:tc>
        <w:tc>
          <w:tcPr>
            <w:tcW w:w="300" w:type="dxa"/>
            <w:vAlign w:val="bottom"/>
          </w:tcPr>
          <w:p>
            <w:pPr>
              <w:spacing w:after="0"/>
              <w:rPr>
                <w:sz w:val="22"/>
                <w:szCs w:val="22"/>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1,438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1,438</w:t>
            </w:r>
          </w:p>
        </w:tc>
        <w:tc>
          <w:tcPr>
            <w:tcW w:w="0" w:type="dxa"/>
            <w:vAlign w:val="bottom"/>
          </w:tcPr>
          <w:p>
            <w:pPr>
              <w:spacing w:after="0"/>
              <w:rPr>
                <w:sz w:val="1"/>
                <w:szCs w:val="1"/>
                <w:color w:val="auto"/>
              </w:rPr>
            </w:pPr>
          </w:p>
        </w:tc>
      </w:tr>
      <w:tr>
        <w:trPr>
          <w:trHeight w:val="276"/>
        </w:trPr>
        <w:tc>
          <w:tcPr>
            <w:tcW w:w="3780" w:type="dxa"/>
            <w:vAlign w:val="bottom"/>
            <w:shd w:val="clear" w:color="auto" w:fill="CCEEFF"/>
          </w:tcPr>
          <w:p>
            <w:pPr>
              <w:ind w:left="720"/>
              <w:spacing w:after="0"/>
              <w:rPr>
                <w:sz w:val="20"/>
                <w:szCs w:val="20"/>
                <w:color w:val="auto"/>
              </w:rPr>
            </w:pPr>
            <w:r>
              <w:rPr>
                <w:rFonts w:ascii="Arial" w:cs="Arial" w:eastAsia="Arial" w:hAnsi="Arial"/>
                <w:sz w:val="14"/>
                <w:szCs w:val="14"/>
                <w:color w:val="auto"/>
              </w:rPr>
              <w:t>Foreign currency translation (loss)</w:t>
            </w:r>
          </w:p>
        </w:tc>
        <w:tc>
          <w:tcPr>
            <w:tcW w:w="30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1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0" w:type="dxa"/>
            <w:vAlign w:val="bottom"/>
          </w:tcPr>
          <w:p>
            <w:pPr>
              <w:spacing w:after="0"/>
              <w:rPr>
                <w:sz w:val="1"/>
                <w:szCs w:val="1"/>
                <w:color w:val="auto"/>
              </w:rPr>
            </w:pPr>
          </w:p>
        </w:tc>
      </w:tr>
      <w:tr>
        <w:trPr>
          <w:trHeight w:val="137"/>
        </w:trPr>
        <w:tc>
          <w:tcPr>
            <w:tcW w:w="3780" w:type="dxa"/>
            <w:vAlign w:val="bottom"/>
          </w:tcPr>
          <w:p>
            <w:pPr>
              <w:ind w:left="380"/>
              <w:spacing w:after="0" w:line="137" w:lineRule="exact"/>
              <w:rPr>
                <w:sz w:val="20"/>
                <w:szCs w:val="20"/>
                <w:color w:val="auto"/>
              </w:rPr>
            </w:pPr>
            <w:r>
              <w:rPr>
                <w:rFonts w:ascii="Arial" w:cs="Arial" w:eastAsia="Arial" w:hAnsi="Arial"/>
                <w:sz w:val="14"/>
                <w:szCs w:val="14"/>
                <w:color w:val="auto"/>
              </w:rPr>
              <w:t>Comprehensive income attributable to noncontrolling</w:t>
            </w:r>
          </w:p>
        </w:tc>
        <w:tc>
          <w:tcPr>
            <w:tcW w:w="300" w:type="dxa"/>
            <w:vAlign w:val="bottom"/>
          </w:tcPr>
          <w:p>
            <w:pPr>
              <w:spacing w:after="0"/>
              <w:rPr>
                <w:sz w:val="11"/>
                <w:szCs w:val="11"/>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1"/>
                <w:szCs w:val="11"/>
                <w:color w:val="auto"/>
              </w:rPr>
            </w:pPr>
          </w:p>
        </w:tc>
        <w:tc>
          <w:tcPr>
            <w:tcW w:w="13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1"/>
                <w:szCs w:val="11"/>
                <w:color w:val="auto"/>
              </w:rPr>
            </w:pPr>
          </w:p>
        </w:tc>
        <w:tc>
          <w:tcPr>
            <w:tcW w:w="1160" w:type="dxa"/>
            <w:vAlign w:val="bottom"/>
            <w:vMerge w:val="restart"/>
          </w:tcPr>
          <w:p>
            <w:pPr>
              <w:jc w:val="right"/>
              <w:ind w:right="14"/>
              <w:spacing w:after="0"/>
              <w:rPr>
                <w:sz w:val="20"/>
                <w:szCs w:val="20"/>
                <w:color w:val="auto"/>
              </w:rPr>
            </w:pPr>
            <w:r>
              <w:rPr>
                <w:rFonts w:ascii="Arial" w:cs="Arial" w:eastAsia="Arial" w:hAnsi="Arial"/>
                <w:sz w:val="18"/>
                <w:szCs w:val="18"/>
                <w:color w:val="auto"/>
              </w:rPr>
              <w:t>787</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1"/>
                <w:szCs w:val="11"/>
                <w:color w:val="auto"/>
              </w:rPr>
            </w:pPr>
          </w:p>
        </w:tc>
        <w:tc>
          <w:tcPr>
            <w:tcW w:w="1240" w:type="dxa"/>
            <w:vAlign w:val="bottom"/>
            <w:vMerge w:val="restart"/>
          </w:tcPr>
          <w:p>
            <w:pPr>
              <w:jc w:val="right"/>
              <w:ind w:right="12"/>
              <w:spacing w:after="0"/>
              <w:rPr>
                <w:sz w:val="20"/>
                <w:szCs w:val="20"/>
                <w:color w:val="auto"/>
              </w:rPr>
            </w:pPr>
            <w:r>
              <w:rPr>
                <w:rFonts w:ascii="Arial" w:cs="Arial" w:eastAsia="Arial" w:hAnsi="Arial"/>
                <w:sz w:val="18"/>
                <w:szCs w:val="18"/>
                <w:color w:val="auto"/>
              </w:rPr>
              <w:t>787</w:t>
            </w:r>
          </w:p>
        </w:tc>
        <w:tc>
          <w:tcPr>
            <w:tcW w:w="0" w:type="dxa"/>
            <w:vAlign w:val="bottom"/>
          </w:tcPr>
          <w:p>
            <w:pPr>
              <w:spacing w:after="0"/>
              <w:rPr>
                <w:sz w:val="1"/>
                <w:szCs w:val="1"/>
                <w:color w:val="auto"/>
              </w:rPr>
            </w:pPr>
          </w:p>
        </w:tc>
      </w:tr>
      <w:tr>
        <w:trPr>
          <w:trHeight w:val="188"/>
        </w:trPr>
        <w:tc>
          <w:tcPr>
            <w:tcW w:w="3780" w:type="dxa"/>
            <w:vAlign w:val="bottom"/>
          </w:tcPr>
          <w:p>
            <w:pPr>
              <w:ind w:left="380"/>
              <w:spacing w:after="0"/>
              <w:rPr>
                <w:sz w:val="20"/>
                <w:szCs w:val="20"/>
                <w:color w:val="auto"/>
              </w:rPr>
            </w:pPr>
            <w:r>
              <w:rPr>
                <w:rFonts w:ascii="Arial" w:cs="Arial" w:eastAsia="Arial" w:hAnsi="Arial"/>
                <w:sz w:val="14"/>
                <w:szCs w:val="14"/>
                <w:color w:val="auto"/>
              </w:rPr>
              <w:t>interest</w:t>
            </w:r>
          </w:p>
        </w:tc>
        <w:tc>
          <w:tcPr>
            <w:tcW w:w="30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Comprehensive income (loss) attributable to EZCORP</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32,813</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41,185</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234</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(41,419)</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32,813</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260" w:type="dxa"/>
            <w:vAlign w:val="bottom"/>
            <w:tcBorders>
              <w:bottom w:val="single" w:sz="8" w:color="auto"/>
            </w:tcBorders>
            <w:gridSpan w:val="8"/>
          </w:tcPr>
          <w:p>
            <w:pPr>
              <w:jc w:val="center"/>
              <w:ind w:right="280"/>
              <w:spacing w:after="0"/>
              <w:rPr>
                <w:sz w:val="20"/>
                <w:szCs w:val="20"/>
                <w:color w:val="auto"/>
              </w:rPr>
            </w:pPr>
            <w:r>
              <w:rPr>
                <w:rFonts w:ascii="Arial" w:cs="Arial" w:eastAsia="Arial" w:hAnsi="Arial"/>
                <w:sz w:val="14"/>
                <w:szCs w:val="14"/>
                <w:b w:val="1"/>
                <w:bCs w:val="1"/>
                <w:color w:val="auto"/>
                <w:w w:val="93"/>
              </w:rPr>
              <w:t>Three Months Ended December 31, 2011</w:t>
            </w: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9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Parent</w:t>
            </w:r>
          </w:p>
        </w:tc>
        <w:tc>
          <w:tcPr>
            <w:tcW w:w="260" w:type="dxa"/>
            <w:vAlign w:val="bottom"/>
          </w:tcPr>
          <w:p>
            <w:pPr>
              <w:spacing w:after="0"/>
              <w:rPr>
                <w:sz w:val="13"/>
                <w:szCs w:val="13"/>
                <w:color w:val="auto"/>
              </w:rPr>
            </w:pPr>
          </w:p>
        </w:tc>
        <w:tc>
          <w:tcPr>
            <w:tcW w:w="132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4"/>
              </w:rPr>
              <w:t>Subsidiary</w:t>
            </w:r>
          </w:p>
        </w:tc>
        <w:tc>
          <w:tcPr>
            <w:tcW w:w="180" w:type="dxa"/>
            <w:vAlign w:val="bottom"/>
          </w:tcPr>
          <w:p>
            <w:pPr>
              <w:spacing w:after="0"/>
              <w:rPr>
                <w:sz w:val="13"/>
                <w:szCs w:val="13"/>
                <w:color w:val="auto"/>
              </w:rPr>
            </w:pPr>
          </w:p>
        </w:tc>
        <w:tc>
          <w:tcPr>
            <w:tcW w:w="130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6"/>
              </w:rPr>
              <w:t>Other</w:t>
            </w:r>
          </w:p>
        </w:tc>
        <w:tc>
          <w:tcPr>
            <w:tcW w:w="200" w:type="dxa"/>
            <w:vAlign w:val="bottom"/>
          </w:tcPr>
          <w:p>
            <w:pPr>
              <w:spacing w:after="0"/>
              <w:rPr>
                <w:sz w:val="13"/>
                <w:szCs w:val="13"/>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Eliminations</w:t>
            </w:r>
          </w:p>
        </w:tc>
        <w:tc>
          <w:tcPr>
            <w:tcW w:w="240" w:type="dxa"/>
            <w:vAlign w:val="bottom"/>
          </w:tcPr>
          <w:p>
            <w:pPr>
              <w:spacing w:after="0"/>
              <w:rPr>
                <w:sz w:val="13"/>
                <w:szCs w:val="13"/>
                <w:color w:val="auto"/>
              </w:rPr>
            </w:pPr>
          </w:p>
        </w:tc>
        <w:tc>
          <w:tcPr>
            <w:tcW w:w="124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w w:val="99"/>
              </w:rPr>
              <w:t>Consolidated</w:t>
            </w:r>
          </w:p>
        </w:tc>
        <w:tc>
          <w:tcPr>
            <w:tcW w:w="0" w:type="dxa"/>
            <w:vAlign w:val="bottom"/>
          </w:tcPr>
          <w:p>
            <w:pPr>
              <w:spacing w:after="0"/>
              <w:rPr>
                <w:sz w:val="1"/>
                <w:szCs w:val="1"/>
                <w:color w:val="auto"/>
              </w:rPr>
            </w:pPr>
          </w:p>
        </w:tc>
      </w:tr>
      <w:tr>
        <w:trPr>
          <w:trHeight w:val="192"/>
        </w:trPr>
        <w:tc>
          <w:tcPr>
            <w:tcW w:w="39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5"/>
              </w:rPr>
              <w:t>Guarantors</w:t>
            </w: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8"/>
              </w:rPr>
              <w:t>Subsidiaries</w:t>
            </w: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i w:val="1"/>
                <w:iCs w:val="1"/>
                <w:color w:val="auto"/>
                <w:w w:val="92"/>
              </w:rPr>
              <w:t>(in thousands)</w:t>
            </w: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3900" w:type="dxa"/>
            <w:vAlign w:val="bottom"/>
          </w:tcPr>
          <w:p>
            <w:pPr>
              <w:ind w:left="40"/>
              <w:spacing w:after="0"/>
              <w:rPr>
                <w:sz w:val="20"/>
                <w:szCs w:val="20"/>
                <w:color w:val="auto"/>
              </w:rPr>
            </w:pPr>
            <w:r>
              <w:rPr>
                <w:rFonts w:ascii="Arial" w:cs="Arial" w:eastAsia="Arial" w:hAnsi="Arial"/>
                <w:sz w:val="14"/>
                <w:szCs w:val="14"/>
                <w:color w:val="auto"/>
              </w:rPr>
              <w:t>Net income (loss)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39,352</w:t>
            </w:r>
          </w:p>
        </w:tc>
        <w:tc>
          <w:tcPr>
            <w:tcW w:w="12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33,904</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(33,913)</w:t>
            </w:r>
          </w:p>
        </w:tc>
        <w:tc>
          <w:tcPr>
            <w:tcW w:w="10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39,352</w:t>
            </w:r>
          </w:p>
        </w:tc>
        <w:tc>
          <w:tcPr>
            <w:tcW w:w="0" w:type="dxa"/>
            <w:vAlign w:val="bottom"/>
          </w:tcPr>
          <w:p>
            <w:pPr>
              <w:spacing w:after="0"/>
              <w:rPr>
                <w:sz w:val="1"/>
                <w:szCs w:val="1"/>
                <w:color w:val="auto"/>
              </w:rPr>
            </w:pPr>
          </w:p>
        </w:tc>
      </w:tr>
      <w:tr>
        <w:trPr>
          <w:trHeight w:val="276"/>
        </w:trPr>
        <w:tc>
          <w:tcPr>
            <w:tcW w:w="3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income (loss):</w:t>
            </w:r>
          </w:p>
        </w:tc>
        <w:tc>
          <w:tcPr>
            <w:tcW w:w="3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900" w:type="dxa"/>
            <w:vAlign w:val="bottom"/>
          </w:tcPr>
          <w:p>
            <w:pPr>
              <w:ind w:left="380"/>
              <w:spacing w:after="0"/>
              <w:rPr>
                <w:sz w:val="20"/>
                <w:szCs w:val="20"/>
                <w:color w:val="auto"/>
              </w:rPr>
            </w:pPr>
            <w:r>
              <w:rPr>
                <w:rFonts w:ascii="Arial" w:cs="Arial" w:eastAsia="Arial" w:hAnsi="Arial"/>
                <w:sz w:val="14"/>
                <w:szCs w:val="14"/>
                <w:color w:val="auto"/>
              </w:rPr>
              <w:t>Foreign currency translation gain (loss)</w:t>
            </w:r>
          </w:p>
        </w:tc>
        <w:tc>
          <w:tcPr>
            <w:tcW w:w="3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(8,768)</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(877)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1,940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(1,063)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(8,768)</w:t>
            </w:r>
          </w:p>
        </w:tc>
        <w:tc>
          <w:tcPr>
            <w:tcW w:w="0" w:type="dxa"/>
            <w:vAlign w:val="bottom"/>
          </w:tcPr>
          <w:p>
            <w:pPr>
              <w:spacing w:after="0"/>
              <w:rPr>
                <w:sz w:val="1"/>
                <w:szCs w:val="1"/>
                <w:color w:val="auto"/>
              </w:rPr>
            </w:pPr>
          </w:p>
        </w:tc>
      </w:tr>
      <w:tr>
        <w:trPr>
          <w:trHeight w:val="276"/>
        </w:trPr>
        <w:tc>
          <w:tcPr>
            <w:tcW w:w="39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Unrealized holding gains (losses) arising during period</w:t>
            </w:r>
          </w:p>
        </w:tc>
        <w:tc>
          <w:tcPr>
            <w:tcW w:w="30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559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64"/>
        </w:trPr>
        <w:tc>
          <w:tcPr>
            <w:tcW w:w="3900" w:type="dxa"/>
            <w:vAlign w:val="bottom"/>
          </w:tcPr>
          <w:p>
            <w:pPr>
              <w:ind w:left="380"/>
              <w:spacing w:after="0"/>
              <w:rPr>
                <w:sz w:val="20"/>
                <w:szCs w:val="20"/>
                <w:color w:val="auto"/>
              </w:rPr>
            </w:pPr>
            <w:r>
              <w:rPr>
                <w:rFonts w:ascii="Arial" w:cs="Arial" w:eastAsia="Arial" w:hAnsi="Arial"/>
                <w:sz w:val="14"/>
                <w:szCs w:val="14"/>
                <w:color w:val="auto"/>
              </w:rPr>
              <w:t>Income tax benefit (provision)</w:t>
            </w:r>
          </w:p>
        </w:tc>
        <w:tc>
          <w:tcPr>
            <w:tcW w:w="300" w:type="dxa"/>
            <w:vAlign w:val="bottom"/>
          </w:tcPr>
          <w:p>
            <w:pPr>
              <w:spacing w:after="0"/>
              <w:rPr>
                <w:sz w:val="22"/>
                <w:szCs w:val="22"/>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2,586</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503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2,586</w:t>
            </w:r>
          </w:p>
        </w:tc>
        <w:tc>
          <w:tcPr>
            <w:tcW w:w="0" w:type="dxa"/>
            <w:vAlign w:val="bottom"/>
          </w:tcPr>
          <w:p>
            <w:pPr>
              <w:spacing w:after="0"/>
              <w:rPr>
                <w:sz w:val="1"/>
                <w:szCs w:val="1"/>
                <w:color w:val="auto"/>
              </w:rPr>
            </w:pPr>
          </w:p>
        </w:tc>
      </w:tr>
      <w:tr>
        <w:trPr>
          <w:trHeight w:val="264"/>
        </w:trPr>
        <w:tc>
          <w:tcPr>
            <w:tcW w:w="39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Other comprehensive income (loss), net of tax</w:t>
            </w:r>
          </w:p>
        </w:tc>
        <w:tc>
          <w:tcPr>
            <w:tcW w:w="300" w:type="dxa"/>
            <w:vAlign w:val="bottom"/>
            <w:tcBorders>
              <w:top w:val="single" w:sz="8" w:color="auto"/>
              <w:bottom w:val="single" w:sz="8" w:color="auto"/>
            </w:tcBorders>
            <w:shd w:val="clear" w:color="auto" w:fill="CCEEFF"/>
          </w:tcPr>
          <w:p>
            <w:pPr>
              <w:spacing w:after="0"/>
              <w:rPr>
                <w:sz w:val="22"/>
                <w:szCs w:val="22"/>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(6,741)</w:t>
            </w:r>
          </w:p>
        </w:tc>
        <w:tc>
          <w:tcPr>
            <w:tcW w:w="12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spacing w:after="0"/>
              <w:rPr>
                <w:sz w:val="22"/>
                <w:szCs w:val="22"/>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118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1,940</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(1,007)</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2"/>
                <w:szCs w:val="22"/>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(6,741)</w:t>
            </w:r>
          </w:p>
        </w:tc>
        <w:tc>
          <w:tcPr>
            <w:tcW w:w="0" w:type="dxa"/>
            <w:vAlign w:val="bottom"/>
          </w:tcPr>
          <w:p>
            <w:pPr>
              <w:spacing w:after="0"/>
              <w:rPr>
                <w:sz w:val="1"/>
                <w:szCs w:val="1"/>
                <w:color w:val="auto"/>
              </w:rPr>
            </w:pPr>
          </w:p>
        </w:tc>
      </w:tr>
      <w:tr>
        <w:trPr>
          <w:trHeight w:val="310"/>
        </w:trPr>
        <w:tc>
          <w:tcPr>
            <w:tcW w:w="39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Comprehensive income (loss)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32,611</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32,971</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1,949</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(34,920)</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32,611</w:t>
            </w:r>
          </w:p>
        </w:tc>
        <w:tc>
          <w:tcPr>
            <w:tcW w:w="0" w:type="dxa"/>
            <w:vAlign w:val="bottom"/>
          </w:tcPr>
          <w:p>
            <w:pPr>
              <w:spacing w:after="0"/>
              <w:rPr>
                <w:sz w:val="1"/>
                <w:szCs w:val="1"/>
                <w:color w:val="auto"/>
              </w:rPr>
            </w:pPr>
          </w:p>
        </w:tc>
      </w:tr>
      <w:tr>
        <w:trPr>
          <w:trHeight w:val="251"/>
        </w:trPr>
        <w:tc>
          <w:tcPr>
            <w:tcW w:w="39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Attributable to redeemable noncontrolling interest:</w:t>
            </w:r>
          </w:p>
        </w:tc>
        <w:tc>
          <w:tcPr>
            <w:tcW w:w="3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3900" w:type="dxa"/>
            <w:vAlign w:val="bottom"/>
          </w:tcPr>
          <w:p>
            <w:pPr>
              <w:ind w:left="720"/>
              <w:spacing w:after="0"/>
              <w:rPr>
                <w:sz w:val="20"/>
                <w:szCs w:val="20"/>
                <w:color w:val="auto"/>
              </w:rPr>
            </w:pPr>
            <w:r>
              <w:rPr>
                <w:rFonts w:ascii="Arial" w:cs="Arial" w:eastAsia="Arial" w:hAnsi="Arial"/>
                <w:sz w:val="14"/>
                <w:szCs w:val="14"/>
                <w:color w:val="auto"/>
              </w:rPr>
              <w:t>Net income</w:t>
            </w:r>
          </w:p>
        </w:tc>
        <w:tc>
          <w:tcPr>
            <w:tcW w:w="300" w:type="dxa"/>
            <w:vAlign w:val="bottom"/>
          </w:tcPr>
          <w:p>
            <w:pPr>
              <w:spacing w:after="0"/>
              <w:rPr>
                <w:sz w:val="22"/>
                <w:szCs w:val="22"/>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9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Foreign currency translation gain (loss)</w:t>
            </w:r>
          </w:p>
        </w:tc>
        <w:tc>
          <w:tcPr>
            <w:tcW w:w="30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3900" w:type="dxa"/>
            <w:vAlign w:val="bottom"/>
          </w:tcPr>
          <w:p>
            <w:pPr>
              <w:ind w:left="40"/>
              <w:spacing w:after="0"/>
              <w:rPr>
                <w:sz w:val="20"/>
                <w:szCs w:val="20"/>
                <w:color w:val="auto"/>
              </w:rPr>
            </w:pPr>
            <w:r>
              <w:rPr>
                <w:rFonts w:ascii="Arial" w:cs="Arial" w:eastAsia="Arial" w:hAnsi="Arial"/>
                <w:sz w:val="14"/>
                <w:szCs w:val="14"/>
                <w:color w:val="auto"/>
              </w:rPr>
              <w:t>Comprehensive income attributable to noncontrolling interest</w:t>
            </w:r>
          </w:p>
        </w:tc>
        <w:tc>
          <w:tcPr>
            <w:tcW w:w="300" w:type="dxa"/>
            <w:vAlign w:val="bottom"/>
          </w:tcPr>
          <w:p>
            <w:pPr>
              <w:spacing w:after="0"/>
              <w:rPr>
                <w:sz w:val="22"/>
                <w:szCs w:val="22"/>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Comprehensive income (loss) attributable to EZCORP</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32,611</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32,971</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1,949</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(34,920)</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32,611</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Consolidating Statements of Cash Flows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480" w:type="dxa"/>
            <w:vAlign w:val="bottom"/>
            <w:tcBorders>
              <w:bottom w:val="single" w:sz="8" w:color="auto"/>
            </w:tcBorders>
            <w:gridSpan w:val="8"/>
          </w:tcPr>
          <w:p>
            <w:pPr>
              <w:jc w:val="center"/>
              <w:ind w:right="140"/>
              <w:spacing w:after="0"/>
              <w:rPr>
                <w:sz w:val="20"/>
                <w:szCs w:val="20"/>
                <w:color w:val="auto"/>
              </w:rPr>
            </w:pPr>
            <w:r>
              <w:rPr>
                <w:rFonts w:ascii="Arial" w:cs="Arial" w:eastAsia="Arial" w:hAnsi="Arial"/>
                <w:sz w:val="14"/>
                <w:szCs w:val="14"/>
                <w:b w:val="1"/>
                <w:bCs w:val="1"/>
                <w:color w:val="auto"/>
                <w:w w:val="93"/>
              </w:rPr>
              <w:t>Three Months Ended December 31, 2012</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Parent</w:t>
            </w:r>
          </w:p>
        </w:tc>
        <w:tc>
          <w:tcPr>
            <w:tcW w:w="140" w:type="dxa"/>
            <w:vAlign w:val="bottom"/>
          </w:tcPr>
          <w:p>
            <w:pPr>
              <w:spacing w:after="0"/>
              <w:rPr>
                <w:sz w:val="13"/>
                <w:szCs w:val="13"/>
                <w:color w:val="auto"/>
              </w:rPr>
            </w:pPr>
          </w:p>
        </w:tc>
        <w:tc>
          <w:tcPr>
            <w:tcW w:w="10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4"/>
              </w:rPr>
              <w:t>Subsidiary</w:t>
            </w:r>
          </w:p>
        </w:tc>
        <w:tc>
          <w:tcPr>
            <w:tcW w:w="160" w:type="dxa"/>
            <w:vAlign w:val="bottom"/>
          </w:tcPr>
          <w:p>
            <w:pPr>
              <w:spacing w:after="0"/>
              <w:rPr>
                <w:sz w:val="13"/>
                <w:szCs w:val="13"/>
                <w:color w:val="auto"/>
              </w:rPr>
            </w:pPr>
          </w:p>
        </w:tc>
        <w:tc>
          <w:tcPr>
            <w:tcW w:w="10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3"/>
                <w:szCs w:val="13"/>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p>
        </w:tc>
        <w:tc>
          <w:tcPr>
            <w:tcW w:w="140" w:type="dxa"/>
            <w:vAlign w:val="bottom"/>
          </w:tcPr>
          <w:p>
            <w:pPr>
              <w:spacing w:after="0"/>
              <w:rPr>
                <w:sz w:val="13"/>
                <w:szCs w:val="13"/>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55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5"/>
              </w:rPr>
              <w:t>Guarantors</w:t>
            </w: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8"/>
              </w:rPr>
              <w:t>Subsidiaries</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center"/>
              <w:ind w:right="60"/>
              <w:spacing w:after="0"/>
              <w:rPr>
                <w:sz w:val="20"/>
                <w:szCs w:val="20"/>
                <w:color w:val="auto"/>
              </w:rPr>
            </w:pPr>
            <w:r>
              <w:rPr>
                <w:rFonts w:ascii="Arial" w:cs="Arial" w:eastAsia="Arial" w:hAnsi="Arial"/>
                <w:sz w:val="14"/>
                <w:szCs w:val="14"/>
                <w:i w:val="1"/>
                <w:iCs w:val="1"/>
                <w:color w:val="auto"/>
                <w:w w:val="92"/>
              </w:rPr>
              <w:t>(in thousands)</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operating activities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1,503</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12,737</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16,268</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30,508</w:t>
            </w:r>
          </w:p>
        </w:tc>
        <w:tc>
          <w:tcPr>
            <w:tcW w:w="0" w:type="dxa"/>
            <w:vAlign w:val="bottom"/>
          </w:tcPr>
          <w:p>
            <w:pPr>
              <w:spacing w:after="0"/>
              <w:rPr>
                <w:sz w:val="1"/>
                <w:szCs w:val="1"/>
                <w:color w:val="auto"/>
              </w:rPr>
            </w:pP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Investing Activities:</w:t>
            </w:r>
          </w:p>
        </w:tc>
        <w:tc>
          <w:tcPr>
            <w:tcW w:w="1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Loans made</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(174,357)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(56,710)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(231,067)</w:t>
            </w:r>
          </w:p>
        </w:tc>
        <w:tc>
          <w:tcPr>
            <w:tcW w:w="0" w:type="dxa"/>
            <w:vAlign w:val="bottom"/>
          </w:tcPr>
          <w:p>
            <w:pPr>
              <w:spacing w:after="0"/>
              <w:rPr>
                <w:sz w:val="1"/>
                <w:szCs w:val="1"/>
                <w:color w:val="auto"/>
              </w:rPr>
            </w:pPr>
          </w:p>
        </w:tc>
      </w:tr>
      <w:tr>
        <w:trPr>
          <w:trHeight w:val="243"/>
        </w:trPr>
        <w:tc>
          <w:tcPr>
            <w:tcW w:w="5500" w:type="dxa"/>
            <w:vAlign w:val="bottom"/>
          </w:tcPr>
          <w:p>
            <w:pPr>
              <w:ind w:left="720"/>
              <w:spacing w:after="0"/>
              <w:rPr>
                <w:sz w:val="20"/>
                <w:szCs w:val="20"/>
                <w:color w:val="auto"/>
              </w:rPr>
            </w:pPr>
            <w:r>
              <w:rPr>
                <w:rFonts w:ascii="Arial" w:cs="Arial" w:eastAsia="Arial" w:hAnsi="Arial"/>
                <w:sz w:val="18"/>
                <w:szCs w:val="18"/>
                <w:color w:val="auto"/>
              </w:rPr>
              <w:t>Loans repaid</w:t>
            </w:r>
          </w:p>
        </w:tc>
        <w:tc>
          <w:tcPr>
            <w:tcW w:w="1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107,794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34,456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142,250</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5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Recovery of pawn loan principal through sale of forfeited</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5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collateral</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63,985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9,279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73,264</w:t>
            </w:r>
          </w:p>
        </w:tc>
        <w:tc>
          <w:tcPr>
            <w:tcW w:w="0" w:type="dxa"/>
            <w:vAlign w:val="bottom"/>
          </w:tcPr>
          <w:p>
            <w:pPr>
              <w:spacing w:after="0"/>
              <w:rPr>
                <w:sz w:val="1"/>
                <w:szCs w:val="1"/>
                <w:color w:val="auto"/>
              </w:rPr>
            </w:pPr>
          </w:p>
        </w:tc>
      </w:tr>
      <w:tr>
        <w:trPr>
          <w:trHeight w:val="243"/>
        </w:trPr>
        <w:tc>
          <w:tcPr>
            <w:tcW w:w="5500" w:type="dxa"/>
            <w:vAlign w:val="bottom"/>
          </w:tcPr>
          <w:p>
            <w:pPr>
              <w:ind w:left="720"/>
              <w:spacing w:after="0"/>
              <w:rPr>
                <w:sz w:val="20"/>
                <w:szCs w:val="20"/>
                <w:color w:val="auto"/>
              </w:rPr>
            </w:pPr>
            <w:r>
              <w:rPr>
                <w:rFonts w:ascii="Arial" w:cs="Arial" w:eastAsia="Arial" w:hAnsi="Arial"/>
                <w:sz w:val="18"/>
                <w:szCs w:val="18"/>
                <w:color w:val="auto"/>
              </w:rPr>
              <w:t>Additions to property and equipment</w:t>
            </w:r>
          </w:p>
        </w:tc>
        <w:tc>
          <w:tcPr>
            <w:tcW w:w="1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(3,590)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(8,906)</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Acquisitions, net of cash acquired</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(12,278)</w:t>
            </w:r>
          </w:p>
        </w:tc>
        <w:tc>
          <w:tcPr>
            <w:tcW w:w="0" w:type="dxa"/>
            <w:vAlign w:val="bottom"/>
          </w:tcPr>
          <w:p>
            <w:pPr>
              <w:spacing w:after="0"/>
              <w:rPr>
                <w:sz w:val="1"/>
                <w:szCs w:val="1"/>
                <w:color w:val="auto"/>
              </w:rPr>
            </w:pPr>
          </w:p>
        </w:tc>
      </w:tr>
      <w:tr>
        <w:trPr>
          <w:trHeight w:val="243"/>
        </w:trPr>
        <w:tc>
          <w:tcPr>
            <w:tcW w:w="5500" w:type="dxa"/>
            <w:vAlign w:val="bottom"/>
          </w:tcPr>
          <w:p>
            <w:pPr>
              <w:ind w:left="720"/>
              <w:spacing w:after="0"/>
              <w:rPr>
                <w:sz w:val="20"/>
                <w:szCs w:val="20"/>
                <w:color w:val="auto"/>
              </w:rPr>
            </w:pPr>
            <w:r>
              <w:rPr>
                <w:rFonts w:ascii="Arial" w:cs="Arial" w:eastAsia="Arial" w:hAnsi="Arial"/>
                <w:sz w:val="18"/>
                <w:szCs w:val="18"/>
                <w:color w:val="auto"/>
              </w:rPr>
              <w:t>Proceeds on advances to subsidiaries</w:t>
            </w:r>
          </w:p>
        </w:tc>
        <w:tc>
          <w:tcPr>
            <w:tcW w:w="1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6,521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Investment in unconsolidated affiliates</w:t>
            </w:r>
          </w:p>
        </w:tc>
        <w:tc>
          <w:tcPr>
            <w:tcW w:w="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(11,018)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(11,018)</w:t>
            </w:r>
          </w:p>
        </w:tc>
        <w:tc>
          <w:tcPr>
            <w:tcW w:w="0" w:type="dxa"/>
            <w:vAlign w:val="bottom"/>
          </w:tcPr>
          <w:p>
            <w:pPr>
              <w:spacing w:after="0"/>
              <w:rPr>
                <w:sz w:val="1"/>
                <w:szCs w:val="1"/>
                <w:color w:val="auto"/>
              </w:rPr>
            </w:pPr>
          </w:p>
        </w:tc>
      </w:tr>
      <w:tr>
        <w:trPr>
          <w:trHeight w:val="237"/>
        </w:trPr>
        <w:tc>
          <w:tcPr>
            <w:tcW w:w="5500" w:type="dxa"/>
            <w:vAlign w:val="bottom"/>
          </w:tcPr>
          <w:p>
            <w:pPr>
              <w:ind w:left="1140"/>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(11,018)</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(12,535)</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(17,681)</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(6,521)</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(47,755)</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720"/>
              <w:spacing w:after="0"/>
              <w:rPr>
                <w:sz w:val="20"/>
                <w:szCs w:val="20"/>
                <w:color w:val="auto"/>
              </w:rPr>
            </w:pPr>
            <w:r>
              <w:rPr>
                <w:rFonts w:ascii="Arial" w:cs="Arial" w:eastAsia="Arial" w:hAnsi="Arial"/>
                <w:sz w:val="18"/>
                <w:szCs w:val="18"/>
                <w:color w:val="auto"/>
              </w:rPr>
              <w:t>Excess tax benefit from stock compensation</w:t>
            </w:r>
          </w:p>
        </w:tc>
        <w:tc>
          <w:tcPr>
            <w:tcW w:w="12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346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Taxes paid related to net share settlement of equity awards</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(3,431)</w:t>
            </w:r>
          </w:p>
        </w:tc>
        <w:tc>
          <w:tcPr>
            <w:tcW w:w="0" w:type="dxa"/>
            <w:vAlign w:val="bottom"/>
          </w:tcPr>
          <w:p>
            <w:pPr>
              <w:spacing w:after="0"/>
              <w:rPr>
                <w:sz w:val="1"/>
                <w:szCs w:val="1"/>
                <w:color w:val="auto"/>
              </w:rPr>
            </w:pPr>
          </w:p>
        </w:tc>
      </w:tr>
      <w:tr>
        <w:trPr>
          <w:trHeight w:val="243"/>
        </w:trPr>
        <w:tc>
          <w:tcPr>
            <w:tcW w:w="5500" w:type="dxa"/>
            <w:vAlign w:val="bottom"/>
          </w:tcPr>
          <w:p>
            <w:pPr>
              <w:ind w:left="720"/>
              <w:spacing w:after="0"/>
              <w:rPr>
                <w:sz w:val="20"/>
                <w:szCs w:val="20"/>
                <w:color w:val="auto"/>
              </w:rPr>
            </w:pPr>
            <w:r>
              <w:rPr>
                <w:rFonts w:ascii="Arial" w:cs="Arial" w:eastAsia="Arial" w:hAnsi="Arial"/>
                <w:sz w:val="18"/>
                <w:szCs w:val="18"/>
                <w:color w:val="auto"/>
              </w:rPr>
              <w:t>Change in restricted cash</w:t>
            </w:r>
          </w:p>
        </w:tc>
        <w:tc>
          <w:tcPr>
            <w:tcW w:w="1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2,298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2,298</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Proceeds from revolving line of credit</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80,125</w:t>
            </w:r>
          </w:p>
        </w:tc>
        <w:tc>
          <w:tcPr>
            <w:tcW w:w="0" w:type="dxa"/>
            <w:vAlign w:val="bottom"/>
          </w:tcPr>
          <w:p>
            <w:pPr>
              <w:spacing w:after="0"/>
              <w:rPr>
                <w:sz w:val="1"/>
                <w:szCs w:val="1"/>
                <w:color w:val="auto"/>
              </w:rPr>
            </w:pPr>
          </w:p>
        </w:tc>
      </w:tr>
      <w:tr>
        <w:trPr>
          <w:trHeight w:val="243"/>
        </w:trPr>
        <w:tc>
          <w:tcPr>
            <w:tcW w:w="5500" w:type="dxa"/>
            <w:vAlign w:val="bottom"/>
          </w:tcPr>
          <w:p>
            <w:pPr>
              <w:ind w:left="720"/>
              <w:spacing w:after="0"/>
              <w:rPr>
                <w:sz w:val="20"/>
                <w:szCs w:val="20"/>
                <w:color w:val="auto"/>
              </w:rPr>
            </w:pPr>
            <w:r>
              <w:rPr>
                <w:rFonts w:ascii="Arial" w:cs="Arial" w:eastAsia="Arial" w:hAnsi="Arial"/>
                <w:sz w:val="18"/>
                <w:szCs w:val="18"/>
                <w:color w:val="auto"/>
              </w:rPr>
              <w:t>Payments on revolving line of credit</w:t>
            </w: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(61,400)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(61,852)</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Proceeds from bank borrowings</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1,159</w:t>
            </w:r>
          </w:p>
        </w:tc>
        <w:tc>
          <w:tcPr>
            <w:tcW w:w="0" w:type="dxa"/>
            <w:vAlign w:val="bottom"/>
          </w:tcPr>
          <w:p>
            <w:pPr>
              <w:spacing w:after="0"/>
              <w:rPr>
                <w:sz w:val="1"/>
                <w:szCs w:val="1"/>
                <w:color w:val="auto"/>
              </w:rPr>
            </w:pPr>
          </w:p>
        </w:tc>
      </w:tr>
      <w:tr>
        <w:trPr>
          <w:trHeight w:val="243"/>
        </w:trPr>
        <w:tc>
          <w:tcPr>
            <w:tcW w:w="5500" w:type="dxa"/>
            <w:vAlign w:val="bottom"/>
          </w:tcPr>
          <w:p>
            <w:pPr>
              <w:ind w:left="720"/>
              <w:spacing w:after="0"/>
              <w:rPr>
                <w:sz w:val="20"/>
                <w:szCs w:val="20"/>
                <w:color w:val="auto"/>
              </w:rPr>
            </w:pPr>
            <w:r>
              <w:rPr>
                <w:rFonts w:ascii="Arial" w:cs="Arial" w:eastAsia="Arial" w:hAnsi="Arial"/>
                <w:sz w:val="18"/>
                <w:szCs w:val="18"/>
                <w:color w:val="auto"/>
              </w:rPr>
              <w:t>Payments on bank borrowings and capital lease obligations</w:t>
            </w:r>
          </w:p>
        </w:tc>
        <w:tc>
          <w:tcPr>
            <w:tcW w:w="1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(9,431)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6,521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(3,023)</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0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Net cash provided by (used in) financing activities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9,515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15,622</w:t>
            </w: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1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(1,809)</w:t>
            </w: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12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703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27,686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20,088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48,477</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703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27,775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18,190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46,668</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right"/>
              <w:ind w:right="671"/>
              <w:spacing w:after="0"/>
              <w:rPr>
                <w:sz w:val="20"/>
                <w:szCs w:val="20"/>
                <w:color w:val="auto"/>
              </w:rPr>
            </w:pPr>
            <w:r>
              <w:rPr>
                <w:rFonts w:ascii="Arial" w:cs="Arial" w:eastAsia="Arial" w:hAnsi="Arial"/>
                <w:sz w:val="18"/>
                <w:szCs w:val="18"/>
                <w:color w:val="auto"/>
                <w:w w:val="79"/>
              </w:rPr>
              <w:t>32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4" w:name="page35"/>
    <w:bookmarkEnd w:id="3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gridSpan w:val="2"/>
          </w:tcPr>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82"/>
        </w:trPr>
        <w:tc>
          <w:tcPr>
            <w:tcW w:w="1020" w:type="dxa"/>
            <w:vAlign w:val="bottom"/>
            <w:tcBorders>
              <w:top w:val="single" w:sz="8" w:color="0000FF"/>
            </w:tcBorders>
          </w:tcPr>
          <w:p>
            <w:pPr>
              <w:spacing w:after="0"/>
              <w:rPr>
                <w:sz w:val="24"/>
                <w:szCs w:val="24"/>
                <w:color w:val="auto"/>
              </w:rPr>
            </w:pPr>
          </w:p>
        </w:tc>
        <w:tc>
          <w:tcPr>
            <w:tcW w:w="4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8"/>
          </w:tcPr>
          <w:p>
            <w:pPr>
              <w:jc w:val="center"/>
              <w:ind w:right="20"/>
              <w:spacing w:after="0"/>
              <w:rPr>
                <w:sz w:val="20"/>
                <w:szCs w:val="20"/>
                <w:color w:val="auto"/>
              </w:rPr>
            </w:pPr>
            <w:r>
              <w:rPr>
                <w:rFonts w:ascii="Arial" w:cs="Arial" w:eastAsia="Arial" w:hAnsi="Arial"/>
                <w:sz w:val="14"/>
                <w:szCs w:val="14"/>
                <w:b w:val="1"/>
                <w:bCs w:val="1"/>
                <w:color w:val="auto"/>
                <w:w w:val="93"/>
              </w:rPr>
              <w:t>Three Months Ended December 31, 2011</w:t>
            </w: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020" w:type="dxa"/>
            <w:vAlign w:val="bottom"/>
          </w:tcPr>
          <w:p>
            <w:pPr>
              <w:spacing w:after="0"/>
              <w:rPr>
                <w:sz w:val="13"/>
                <w:szCs w:val="13"/>
                <w:color w:val="auto"/>
              </w:rPr>
            </w:pPr>
          </w:p>
        </w:tc>
        <w:tc>
          <w:tcPr>
            <w:tcW w:w="4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Parent</w:t>
            </w:r>
          </w:p>
        </w:tc>
        <w:tc>
          <w:tcPr>
            <w:tcW w:w="120" w:type="dxa"/>
            <w:vAlign w:val="bottom"/>
          </w:tcPr>
          <w:p>
            <w:pPr>
              <w:spacing w:after="0"/>
              <w:rPr>
                <w:sz w:val="13"/>
                <w:szCs w:val="13"/>
                <w:color w:val="auto"/>
              </w:rPr>
            </w:pPr>
          </w:p>
        </w:tc>
        <w:tc>
          <w:tcPr>
            <w:tcW w:w="9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2"/>
              </w:rPr>
              <w:t>Subsidiary</w:t>
            </w:r>
          </w:p>
        </w:tc>
        <w:tc>
          <w:tcPr>
            <w:tcW w:w="120" w:type="dxa"/>
            <w:vAlign w:val="bottom"/>
          </w:tcPr>
          <w:p>
            <w:pPr>
              <w:spacing w:after="0"/>
              <w:rPr>
                <w:sz w:val="13"/>
                <w:szCs w:val="13"/>
                <w:color w:val="auto"/>
              </w:rPr>
            </w:pPr>
          </w:p>
        </w:tc>
        <w:tc>
          <w:tcPr>
            <w:tcW w:w="102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3"/>
                <w:szCs w:val="13"/>
                <w:color w:val="auto"/>
              </w:rPr>
            </w:pPr>
          </w:p>
        </w:tc>
        <w:tc>
          <w:tcPr>
            <w:tcW w:w="1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Eliminations</w:t>
            </w:r>
          </w:p>
        </w:tc>
        <w:tc>
          <w:tcPr>
            <w:tcW w:w="140" w:type="dxa"/>
            <w:vAlign w:val="bottom"/>
          </w:tcPr>
          <w:p>
            <w:pPr>
              <w:spacing w:after="0"/>
              <w:rPr>
                <w:sz w:val="13"/>
                <w:szCs w:val="13"/>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102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vMerge w:val="continue"/>
          </w:tcPr>
          <w:p>
            <w:pPr>
              <w:spacing w:after="0"/>
              <w:rPr>
                <w:sz w:val="16"/>
                <w:szCs w:val="16"/>
                <w:color w:val="auto"/>
              </w:rPr>
            </w:pPr>
          </w:p>
        </w:tc>
        <w:tc>
          <w:tcPr>
            <w:tcW w:w="102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5"/>
              </w:rPr>
              <w:t>Guarantors</w:t>
            </w: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8"/>
              </w:rPr>
              <w:t>Subsidiaries</w:t>
            </w: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left="13"/>
              <w:spacing w:after="0"/>
              <w:rPr>
                <w:sz w:val="20"/>
                <w:szCs w:val="20"/>
                <w:color w:val="auto"/>
              </w:rPr>
            </w:pPr>
            <w:r>
              <w:rPr>
                <w:rFonts w:ascii="Arial" w:cs="Arial" w:eastAsia="Arial" w:hAnsi="Arial"/>
                <w:sz w:val="14"/>
                <w:szCs w:val="14"/>
                <w:i w:val="1"/>
                <w:iCs w:val="1"/>
                <w:color w:val="auto"/>
                <w:w w:val="94"/>
              </w:rPr>
              <w:t>(in thousands)</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5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provided by (used in) operating activities</w:t>
            </w:r>
          </w:p>
        </w:tc>
        <w:tc>
          <w:tcPr>
            <w:tcW w:w="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(21,769)</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57,848</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9,518</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45,597</w:t>
            </w:r>
          </w:p>
        </w:tc>
        <w:tc>
          <w:tcPr>
            <w:tcW w:w="0" w:type="dxa"/>
            <w:vAlign w:val="bottom"/>
          </w:tcPr>
          <w:p>
            <w:pPr>
              <w:spacing w:after="0"/>
              <w:rPr>
                <w:sz w:val="1"/>
                <w:szCs w:val="1"/>
                <w:color w:val="auto"/>
              </w:rPr>
            </w:pPr>
          </w:p>
        </w:tc>
      </w:tr>
      <w:tr>
        <w:trPr>
          <w:trHeight w:val="237"/>
        </w:trPr>
        <w:tc>
          <w:tcPr>
            <w:tcW w:w="5600" w:type="dxa"/>
            <w:vAlign w:val="bottom"/>
            <w:gridSpan w:val="2"/>
          </w:tcPr>
          <w:p>
            <w:pPr>
              <w:ind w:left="40"/>
              <w:spacing w:after="0"/>
              <w:rPr>
                <w:sz w:val="20"/>
                <w:szCs w:val="20"/>
                <w:color w:val="auto"/>
              </w:rPr>
            </w:pPr>
            <w:r>
              <w:rPr>
                <w:rFonts w:ascii="Arial" w:cs="Arial" w:eastAsia="Arial" w:hAnsi="Arial"/>
                <w:sz w:val="18"/>
                <w:szCs w:val="18"/>
                <w:color w:val="auto"/>
              </w:rPr>
              <w:t>Investing Activities:</w:t>
            </w:r>
          </w:p>
        </w:tc>
        <w:tc>
          <w:tcPr>
            <w:tcW w:w="3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Loans made</w:t>
            </w:r>
          </w:p>
        </w:tc>
        <w:tc>
          <w:tcPr>
            <w:tcW w:w="3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(154,584)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(28,173)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(182,757)</w:t>
            </w:r>
          </w:p>
        </w:tc>
        <w:tc>
          <w:tcPr>
            <w:tcW w:w="0" w:type="dxa"/>
            <w:vAlign w:val="bottom"/>
          </w:tcPr>
          <w:p>
            <w:pPr>
              <w:spacing w:after="0"/>
              <w:rPr>
                <w:sz w:val="1"/>
                <w:szCs w:val="1"/>
                <w:color w:val="auto"/>
              </w:rPr>
            </w:pPr>
          </w:p>
        </w:tc>
      </w:tr>
      <w:tr>
        <w:trPr>
          <w:trHeight w:val="243"/>
        </w:trPr>
        <w:tc>
          <w:tcPr>
            <w:tcW w:w="5600" w:type="dxa"/>
            <w:vAlign w:val="bottom"/>
            <w:gridSpan w:val="2"/>
          </w:tcPr>
          <w:p>
            <w:pPr>
              <w:ind w:left="720"/>
              <w:spacing w:after="0"/>
              <w:rPr>
                <w:sz w:val="20"/>
                <w:szCs w:val="20"/>
                <w:color w:val="auto"/>
              </w:rPr>
            </w:pPr>
            <w:r>
              <w:rPr>
                <w:rFonts w:ascii="Arial" w:cs="Arial" w:eastAsia="Arial" w:hAnsi="Arial"/>
                <w:sz w:val="18"/>
                <w:szCs w:val="18"/>
                <w:color w:val="auto"/>
              </w:rPr>
              <w:t>Loans repaid</w:t>
            </w: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89,880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21,108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110,988</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w w:val="92"/>
              </w:rPr>
              <w:t>Recovery of pawn loan principal through sale of forfeited collateral</w:t>
            </w:r>
          </w:p>
        </w:tc>
        <w:tc>
          <w:tcPr>
            <w:tcW w:w="3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55,885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5,816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61,701</w:t>
            </w:r>
          </w:p>
        </w:tc>
        <w:tc>
          <w:tcPr>
            <w:tcW w:w="0" w:type="dxa"/>
            <w:vAlign w:val="bottom"/>
          </w:tcPr>
          <w:p>
            <w:pPr>
              <w:spacing w:after="0"/>
              <w:rPr>
                <w:sz w:val="1"/>
                <w:szCs w:val="1"/>
                <w:color w:val="auto"/>
              </w:rPr>
            </w:pPr>
          </w:p>
        </w:tc>
      </w:tr>
      <w:tr>
        <w:trPr>
          <w:trHeight w:val="243"/>
        </w:trPr>
        <w:tc>
          <w:tcPr>
            <w:tcW w:w="5600" w:type="dxa"/>
            <w:vAlign w:val="bottom"/>
            <w:gridSpan w:val="2"/>
          </w:tcPr>
          <w:p>
            <w:pPr>
              <w:ind w:left="720"/>
              <w:spacing w:after="0"/>
              <w:rPr>
                <w:sz w:val="20"/>
                <w:szCs w:val="20"/>
                <w:color w:val="auto"/>
              </w:rPr>
            </w:pPr>
            <w:r>
              <w:rPr>
                <w:rFonts w:ascii="Arial" w:cs="Arial" w:eastAsia="Arial" w:hAnsi="Arial"/>
                <w:sz w:val="18"/>
                <w:szCs w:val="18"/>
                <w:color w:val="auto"/>
              </w:rPr>
              <w:t>Additions to property and equipment</w:t>
            </w: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(5,182)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(4,399)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(9,581)</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Acquisitions, net of cash acquired</w:t>
            </w:r>
          </w:p>
        </w:tc>
        <w:tc>
          <w:tcPr>
            <w:tcW w:w="3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(48,838)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(49,279)</w:t>
            </w:r>
          </w:p>
        </w:tc>
        <w:tc>
          <w:tcPr>
            <w:tcW w:w="0" w:type="dxa"/>
            <w:vAlign w:val="bottom"/>
          </w:tcPr>
          <w:p>
            <w:pPr>
              <w:spacing w:after="0"/>
              <w:rPr>
                <w:sz w:val="1"/>
                <w:szCs w:val="1"/>
                <w:color w:val="auto"/>
              </w:rPr>
            </w:pPr>
          </w:p>
        </w:tc>
      </w:tr>
      <w:tr>
        <w:trPr>
          <w:trHeight w:val="237"/>
        </w:trPr>
        <w:tc>
          <w:tcPr>
            <w:tcW w:w="1020" w:type="dxa"/>
            <w:vAlign w:val="bottom"/>
          </w:tcPr>
          <w:p>
            <w:pPr>
              <w:spacing w:after="0"/>
              <w:rPr>
                <w:sz w:val="20"/>
                <w:szCs w:val="20"/>
                <w:color w:val="auto"/>
              </w:rPr>
            </w:pPr>
          </w:p>
        </w:tc>
        <w:tc>
          <w:tcPr>
            <w:tcW w:w="4580" w:type="dxa"/>
            <w:vAlign w:val="bottom"/>
          </w:tcPr>
          <w:p>
            <w:pPr>
              <w:ind w:left="120"/>
              <w:spacing w:after="0"/>
              <w:rPr>
                <w:sz w:val="20"/>
                <w:szCs w:val="20"/>
                <w:color w:val="auto"/>
              </w:rPr>
            </w:pPr>
            <w:r>
              <w:rPr>
                <w:rFonts w:ascii="Arial" w:cs="Arial" w:eastAsia="Arial" w:hAnsi="Arial"/>
                <w:sz w:val="18"/>
                <w:szCs w:val="18"/>
                <w:color w:val="auto"/>
              </w:rPr>
              <w:t>Net cash provided by (used in) investing activities</w:t>
            </w:r>
          </w:p>
        </w:tc>
        <w:tc>
          <w:tcPr>
            <w:tcW w:w="36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(62,839)</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(6,089)</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(68,928)</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gridSpan w:val="2"/>
          </w:tcPr>
          <w:p>
            <w:pPr>
              <w:ind w:left="720"/>
              <w:spacing w:after="0"/>
              <w:rPr>
                <w:sz w:val="20"/>
                <w:szCs w:val="20"/>
                <w:color w:val="auto"/>
              </w:rPr>
            </w:pPr>
            <w:r>
              <w:rPr>
                <w:rFonts w:ascii="Arial" w:cs="Arial" w:eastAsia="Arial" w:hAnsi="Arial"/>
                <w:sz w:val="18"/>
                <w:szCs w:val="18"/>
                <w:color w:val="auto"/>
              </w:rPr>
              <w:t>Excess tax benefit from stock compensation</w:t>
            </w: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460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Taxes paid related to net share settlement of equity awards</w:t>
            </w:r>
          </w:p>
        </w:tc>
        <w:tc>
          <w:tcPr>
            <w:tcW w:w="3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r>
        <w:trPr>
          <w:trHeight w:val="243"/>
        </w:trPr>
        <w:tc>
          <w:tcPr>
            <w:tcW w:w="5600" w:type="dxa"/>
            <w:vAlign w:val="bottom"/>
            <w:gridSpan w:val="2"/>
          </w:tcPr>
          <w:p>
            <w:pPr>
              <w:ind w:left="720"/>
              <w:spacing w:after="0"/>
              <w:rPr>
                <w:sz w:val="20"/>
                <w:szCs w:val="20"/>
                <w:color w:val="auto"/>
              </w:rPr>
            </w:pPr>
            <w:r>
              <w:rPr>
                <w:rFonts w:ascii="Arial" w:cs="Arial" w:eastAsia="Arial" w:hAnsi="Arial"/>
                <w:sz w:val="18"/>
                <w:szCs w:val="18"/>
                <w:color w:val="auto"/>
              </w:rPr>
              <w:t>Proceeds on revolving line of credit</w:t>
            </w: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w w:val="95"/>
              </w:rPr>
              <w:t>116,500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116,500</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Payments on revolving line of credit</w:t>
            </w:r>
          </w:p>
        </w:tc>
        <w:tc>
          <w:tcPr>
            <w:tcW w:w="3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(93,500)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(93,500)</w:t>
            </w:r>
          </w:p>
        </w:tc>
        <w:tc>
          <w:tcPr>
            <w:tcW w:w="0" w:type="dxa"/>
            <w:vAlign w:val="bottom"/>
          </w:tcPr>
          <w:p>
            <w:pPr>
              <w:spacing w:after="0"/>
              <w:rPr>
                <w:sz w:val="1"/>
                <w:szCs w:val="1"/>
                <w:color w:val="auto"/>
              </w:rPr>
            </w:pPr>
          </w:p>
        </w:tc>
      </w:tr>
      <w:tr>
        <w:trPr>
          <w:trHeight w:val="237"/>
        </w:trPr>
        <w:tc>
          <w:tcPr>
            <w:tcW w:w="1020" w:type="dxa"/>
            <w:vAlign w:val="bottom"/>
          </w:tcPr>
          <w:p>
            <w:pPr>
              <w:spacing w:after="0"/>
              <w:rPr>
                <w:sz w:val="20"/>
                <w:szCs w:val="20"/>
                <w:color w:val="auto"/>
              </w:rPr>
            </w:pPr>
          </w:p>
        </w:tc>
        <w:tc>
          <w:tcPr>
            <w:tcW w:w="4580" w:type="dxa"/>
            <w:vAlign w:val="bottom"/>
          </w:tcPr>
          <w:p>
            <w:pPr>
              <w:ind w:left="120"/>
              <w:spacing w:after="0"/>
              <w:rPr>
                <w:sz w:val="20"/>
                <w:szCs w:val="20"/>
                <w:color w:val="auto"/>
              </w:rPr>
            </w:pPr>
            <w:r>
              <w:rPr>
                <w:rFonts w:ascii="Arial" w:cs="Arial" w:eastAsia="Arial" w:hAnsi="Arial"/>
                <w:sz w:val="18"/>
                <w:szCs w:val="18"/>
                <w:color w:val="auto"/>
              </w:rPr>
              <w:t>Net cash used in financing activities</w:t>
            </w:r>
          </w:p>
        </w:tc>
        <w:tc>
          <w:tcPr>
            <w:tcW w:w="36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22,472</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22,472</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3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37"/>
        </w:trPr>
        <w:tc>
          <w:tcPr>
            <w:tcW w:w="5600" w:type="dxa"/>
            <w:vAlign w:val="bottom"/>
            <w:gridSpan w:val="2"/>
          </w:tcPr>
          <w:p>
            <w:pPr>
              <w:ind w:left="40"/>
              <w:spacing w:after="0"/>
              <w:rPr>
                <w:sz w:val="20"/>
                <w:szCs w:val="20"/>
                <w:color w:val="auto"/>
              </w:rPr>
            </w:pPr>
            <w:r>
              <w:rPr>
                <w:rFonts w:ascii="Arial" w:cs="Arial" w:eastAsia="Arial" w:hAnsi="Arial"/>
                <w:sz w:val="18"/>
                <w:szCs w:val="18"/>
                <w:color w:val="auto"/>
              </w:rPr>
              <w:t>Net (decrease) increase in cash and cash equivalents</w:t>
            </w:r>
          </w:p>
        </w:tc>
        <w:tc>
          <w:tcPr>
            <w:tcW w:w="3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703</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(4,991)</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3,307</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(981)</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3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20,860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3,109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23,969</w:t>
            </w:r>
          </w:p>
        </w:tc>
        <w:tc>
          <w:tcPr>
            <w:tcW w:w="0" w:type="dxa"/>
            <w:vAlign w:val="bottom"/>
          </w:tcPr>
          <w:p>
            <w:pPr>
              <w:spacing w:after="0"/>
              <w:rPr>
                <w:sz w:val="1"/>
                <w:szCs w:val="1"/>
                <w:color w:val="auto"/>
              </w:rPr>
            </w:pPr>
          </w:p>
        </w:tc>
      </w:tr>
      <w:tr>
        <w:trPr>
          <w:trHeight w:val="257"/>
        </w:trPr>
        <w:tc>
          <w:tcPr>
            <w:tcW w:w="5600" w:type="dxa"/>
            <w:vAlign w:val="bottom"/>
            <w:gridSpan w:val="2"/>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36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703</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15,869</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6,416</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22,988</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360" w:type="dxa"/>
            <w:vAlign w:val="bottom"/>
            <w:vMerge w:val="restart"/>
          </w:tcPr>
          <w:p>
            <w:pPr>
              <w:jc w:val="right"/>
              <w:ind w:right="70"/>
              <w:spacing w:after="0"/>
              <w:rPr>
                <w:sz w:val="20"/>
                <w:szCs w:val="20"/>
                <w:color w:val="auto"/>
              </w:rPr>
            </w:pPr>
            <w:r>
              <w:rPr>
                <w:rFonts w:ascii="Arial" w:cs="Arial" w:eastAsia="Arial" w:hAnsi="Arial"/>
                <w:sz w:val="18"/>
                <w:szCs w:val="18"/>
                <w:color w:val="auto"/>
                <w:w w:val="89"/>
              </w:rPr>
              <w:t>33</w:t>
            </w: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10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3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4" w:right="239" w:bottom="1440" w:gutter="0" w:footer="0" w:header="0"/>
        </w:sectPr>
      </w:pPr>
    </w:p>
    <w:bookmarkStart w:id="35" w:name="page36"/>
    <w:bookmarkEnd w:id="3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14" w:lineRule="exact"/>
        <w:rPr>
          <w:sz w:val="20"/>
          <w:szCs w:val="20"/>
          <w:color w:val="auto"/>
        </w:rPr>
      </w:pPr>
    </w:p>
    <w:p>
      <w:pPr>
        <w:ind w:right="5180"/>
        <w:spacing w:after="0" w:line="346" w:lineRule="auto"/>
        <w:rPr>
          <w:sz w:val="20"/>
          <w:szCs w:val="20"/>
          <w:color w:val="auto"/>
        </w:rPr>
      </w:pPr>
      <w:r>
        <w:rPr>
          <w:rFonts w:ascii="Arial" w:cs="Arial" w:eastAsia="Arial" w:hAnsi="Arial"/>
          <w:sz w:val="18"/>
          <w:szCs w:val="18"/>
          <w:b w:val="1"/>
          <w:bCs w:val="1"/>
          <w:color w:val="auto"/>
        </w:rPr>
        <w:t xml:space="preserve">NOTE 16: SUPPLEMENTAL CONSOLIDATED FINANCIAL INFORMATION </w:t>
      </w:r>
      <w:r>
        <w:rPr>
          <w:rFonts w:ascii="Arial" w:cs="Arial" w:eastAsia="Arial" w:hAnsi="Arial"/>
          <w:sz w:val="18"/>
          <w:szCs w:val="18"/>
          <w:u w:val="single" w:color="auto"/>
          <w:color w:val="auto"/>
        </w:rPr>
        <w:t>Supplemental Consolidated Statements of Financial Position Information:</w:t>
      </w:r>
    </w:p>
    <w:p>
      <w:pPr>
        <w:spacing w:after="0" w:line="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table provides information on amounts included in pawn service charges receivable, net, consumer loan fees, net, inventories, net and property and equipment, net:</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40" w:type="dxa"/>
            <w:vAlign w:val="bottom"/>
            <w:gridSpan w:val="5"/>
          </w:tcPr>
          <w:p>
            <w:pPr>
              <w:ind w:left="70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6"/>
                <w:szCs w:val="16"/>
                <w:color w:val="auto"/>
              </w:rPr>
            </w:pPr>
          </w:p>
        </w:tc>
        <w:tc>
          <w:tcPr>
            <w:tcW w:w="1180" w:type="dxa"/>
            <w:vAlign w:val="bottom"/>
          </w:tcPr>
          <w:p>
            <w:pPr>
              <w:jc w:val="right"/>
              <w:ind w:right="153"/>
              <w:spacing w:after="0"/>
              <w:rPr>
                <w:sz w:val="20"/>
                <w:szCs w:val="20"/>
                <w:color w:val="auto"/>
              </w:rPr>
            </w:pPr>
            <w:r>
              <w:rPr>
                <w:rFonts w:ascii="Arial" w:cs="Arial" w:eastAsia="Arial" w:hAnsi="Arial"/>
                <w:sz w:val="14"/>
                <w:szCs w:val="14"/>
                <w:b w:val="1"/>
                <w:bCs w:val="1"/>
                <w:color w:val="auto"/>
                <w:w w:val="96"/>
              </w:rPr>
              <w:t>September 30,</w:t>
            </w:r>
          </w:p>
        </w:tc>
        <w:tc>
          <w:tcPr>
            <w:tcW w:w="0" w:type="dxa"/>
            <w:vAlign w:val="bottom"/>
          </w:tcPr>
          <w:p>
            <w:pPr>
              <w:spacing w:after="0"/>
              <w:rPr>
                <w:sz w:val="1"/>
                <w:szCs w:val="1"/>
                <w:color w:val="auto"/>
              </w:rPr>
            </w:pPr>
          </w:p>
        </w:tc>
      </w:tr>
      <w:tr>
        <w:trPr>
          <w:trHeight w:val="264"/>
        </w:trPr>
        <w:tc>
          <w:tcPr>
            <w:tcW w:w="708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190"/>
        </w:trPr>
        <w:tc>
          <w:tcPr>
            <w:tcW w:w="7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7080" w:type="dxa"/>
            <w:vAlign w:val="bottom"/>
          </w:tcPr>
          <w:p>
            <w:pPr>
              <w:ind w:left="40"/>
              <w:spacing w:after="0"/>
              <w:rPr>
                <w:sz w:val="20"/>
                <w:szCs w:val="20"/>
                <w:color w:val="auto"/>
              </w:rPr>
            </w:pPr>
            <w:r>
              <w:rPr>
                <w:rFonts w:ascii="Arial" w:cs="Arial" w:eastAsia="Arial" w:hAnsi="Arial"/>
                <w:sz w:val="18"/>
                <w:szCs w:val="18"/>
                <w:color w:val="auto"/>
              </w:rPr>
              <w:t>Pawn service charges receivable:</w:t>
            </w:r>
          </w:p>
        </w:tc>
        <w:tc>
          <w:tcPr>
            <w:tcW w:w="3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Gross pawn service charges receivable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40,220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38,201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40,828</w:t>
            </w: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Allowance for uncollectible pawn service charges receivable</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(9,143)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(9,608)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(11,427)</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Pawn service charges receivable, net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31,077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28,593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29,401</w:t>
            </w:r>
          </w:p>
        </w:tc>
        <w:tc>
          <w:tcPr>
            <w:tcW w:w="0" w:type="dxa"/>
            <w:vAlign w:val="bottom"/>
          </w:tcPr>
          <w:p>
            <w:pPr>
              <w:spacing w:after="0"/>
              <w:rPr>
                <w:sz w:val="1"/>
                <w:szCs w:val="1"/>
                <w:color w:val="auto"/>
              </w:rPr>
            </w:pPr>
          </w:p>
        </w:tc>
      </w:tr>
      <w:tr>
        <w:trPr>
          <w:trHeight w:val="20"/>
        </w:trPr>
        <w:tc>
          <w:tcPr>
            <w:tcW w:w="7080" w:type="dxa"/>
            <w:vAlign w:val="bottom"/>
            <w:vMerge w:val="restart"/>
          </w:tcPr>
          <w:p>
            <w:pPr>
              <w:ind w:left="40"/>
              <w:spacing w:after="0"/>
              <w:rPr>
                <w:sz w:val="20"/>
                <w:szCs w:val="20"/>
                <w:color w:val="auto"/>
              </w:rPr>
            </w:pPr>
            <w:r>
              <w:rPr>
                <w:rFonts w:ascii="Arial" w:cs="Arial" w:eastAsia="Arial" w:hAnsi="Arial"/>
                <w:sz w:val="18"/>
                <w:szCs w:val="18"/>
                <w:color w:val="auto"/>
              </w:rPr>
              <w:t>Consumer loan fees receivable:</w:t>
            </w: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08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Gross consumer loan fees receivable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38,152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8,289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34,846</w:t>
            </w: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Allowance for uncollectible consumer loan fees receivable</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(4,078)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(678)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(4,430)</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Consumer loan fees receivable, net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34,074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7,611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30,416</w:t>
            </w:r>
          </w:p>
        </w:tc>
        <w:tc>
          <w:tcPr>
            <w:tcW w:w="0" w:type="dxa"/>
            <w:vAlign w:val="bottom"/>
          </w:tcPr>
          <w:p>
            <w:pPr>
              <w:spacing w:after="0"/>
              <w:rPr>
                <w:sz w:val="1"/>
                <w:szCs w:val="1"/>
                <w:color w:val="auto"/>
              </w:rPr>
            </w:pPr>
          </w:p>
        </w:tc>
      </w:tr>
      <w:tr>
        <w:trPr>
          <w:trHeight w:val="20"/>
        </w:trPr>
        <w:tc>
          <w:tcPr>
            <w:tcW w:w="7080" w:type="dxa"/>
            <w:vAlign w:val="bottom"/>
            <w:vMerge w:val="restart"/>
          </w:tcPr>
          <w:p>
            <w:pPr>
              <w:ind w:left="40"/>
              <w:spacing w:after="0"/>
              <w:rPr>
                <w:sz w:val="20"/>
                <w:szCs w:val="20"/>
                <w:color w:val="auto"/>
              </w:rPr>
            </w:pPr>
            <w:r>
              <w:rPr>
                <w:rFonts w:ascii="Arial" w:cs="Arial" w:eastAsia="Arial" w:hAnsi="Arial"/>
                <w:sz w:val="18"/>
                <w:szCs w:val="18"/>
                <w:color w:val="auto"/>
              </w:rPr>
              <w:t>Inventory:</w:t>
            </w: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08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Inventory, gross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126,513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108,395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114,788</w:t>
            </w: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Inventory reserves</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(6,187)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(8,010)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(5,574)</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Inventory, net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120,326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100,385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109,214</w:t>
            </w:r>
          </w:p>
        </w:tc>
        <w:tc>
          <w:tcPr>
            <w:tcW w:w="0" w:type="dxa"/>
            <w:vAlign w:val="bottom"/>
          </w:tcPr>
          <w:p>
            <w:pPr>
              <w:spacing w:after="0"/>
              <w:rPr>
                <w:sz w:val="1"/>
                <w:szCs w:val="1"/>
                <w:color w:val="auto"/>
              </w:rPr>
            </w:pPr>
          </w:p>
        </w:tc>
      </w:tr>
      <w:tr>
        <w:trPr>
          <w:trHeight w:val="20"/>
        </w:trPr>
        <w:tc>
          <w:tcPr>
            <w:tcW w:w="7080" w:type="dxa"/>
            <w:vAlign w:val="bottom"/>
            <w:vMerge w:val="restart"/>
          </w:tcPr>
          <w:p>
            <w:pPr>
              <w:ind w:left="40"/>
              <w:spacing w:after="0"/>
              <w:rPr>
                <w:sz w:val="20"/>
                <w:szCs w:val="20"/>
                <w:color w:val="auto"/>
              </w:rPr>
            </w:pPr>
            <w:r>
              <w:rPr>
                <w:rFonts w:ascii="Arial" w:cs="Arial" w:eastAsia="Arial" w:hAnsi="Arial"/>
                <w:sz w:val="18"/>
                <w:szCs w:val="18"/>
                <w:color w:val="auto"/>
              </w:rPr>
              <w:t>Property and equipment:</w:t>
            </w: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08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Property and equipment, gross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273,865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217,914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260,379</w:t>
            </w: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Accumulated depreciation</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(159,189)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(133,401)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(152,248)</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Property and equipment, net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114,676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84,513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108,131</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Property and equipment at December 31, 2012 includes approximately $1.4 million of equipment leased under a capital lease. Amortization of equipment under capital leases is included with depreciation expense and was $0.2 million for the three months ended December 31, 2012. Future minimum lease payments related to capital leases are $0.6 million, $0.6 million and $0.2 million due within one, two and three years respectively, for a total of $1.4 million, of this amount $0.1 million represents interest, and the present value of net minimum lease payments as of December 31, 2012 was $1.3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Supplemental Information:</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40" w:type="dxa"/>
            <w:vAlign w:val="bottom"/>
            <w:gridSpan w:val="4"/>
          </w:tcPr>
          <w:p>
            <w:pPr>
              <w:ind w:left="70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6"/>
                <w:szCs w:val="16"/>
                <w:color w:val="auto"/>
              </w:rPr>
            </w:pPr>
          </w:p>
        </w:tc>
        <w:tc>
          <w:tcPr>
            <w:tcW w:w="1180" w:type="dxa"/>
            <w:vAlign w:val="bottom"/>
          </w:tcPr>
          <w:p>
            <w:pPr>
              <w:jc w:val="right"/>
              <w:ind w:right="159"/>
              <w:spacing w:after="0"/>
              <w:rPr>
                <w:sz w:val="20"/>
                <w:szCs w:val="20"/>
                <w:color w:val="auto"/>
              </w:rPr>
            </w:pPr>
            <w:r>
              <w:rPr>
                <w:rFonts w:ascii="Arial" w:cs="Arial" w:eastAsia="Arial" w:hAnsi="Arial"/>
                <w:sz w:val="14"/>
                <w:szCs w:val="14"/>
                <w:b w:val="1"/>
                <w:bCs w:val="1"/>
                <w:color w:val="auto"/>
                <w:w w:val="96"/>
              </w:rPr>
              <w:t>September 30,</w:t>
            </w:r>
          </w:p>
        </w:tc>
      </w:tr>
      <w:tr>
        <w:trPr>
          <w:trHeight w:val="264"/>
        </w:trPr>
        <w:tc>
          <w:tcPr>
            <w:tcW w:w="708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2012</w:t>
            </w:r>
          </w:p>
        </w:tc>
        <w:tc>
          <w:tcPr>
            <w:tcW w:w="30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2012</w:t>
            </w:r>
          </w:p>
        </w:tc>
      </w:tr>
      <w:tr>
        <w:trPr>
          <w:trHeight w:val="190"/>
        </w:trPr>
        <w:tc>
          <w:tcPr>
            <w:tcW w:w="7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55"/>
        </w:trPr>
        <w:tc>
          <w:tcPr>
            <w:tcW w:w="7080" w:type="dxa"/>
            <w:vAlign w:val="bottom"/>
          </w:tcPr>
          <w:p>
            <w:pPr>
              <w:ind w:left="40"/>
              <w:spacing w:after="0"/>
              <w:rPr>
                <w:sz w:val="20"/>
                <w:szCs w:val="20"/>
                <w:color w:val="auto"/>
              </w:rPr>
            </w:pPr>
            <w:r>
              <w:rPr>
                <w:rFonts w:ascii="Arial" w:cs="Arial" w:eastAsia="Arial" w:hAnsi="Arial"/>
                <w:sz w:val="18"/>
                <w:szCs w:val="18"/>
                <w:color w:val="auto"/>
              </w:rPr>
              <w:t>Consumer loans:</w:t>
            </w:r>
          </w:p>
        </w:tc>
        <w:tc>
          <w:tcPr>
            <w:tcW w:w="3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Expected LOC losses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2,363</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2,105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1,776</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Maximum exposure for LOC losses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9"/>
              <w:spacing w:after="0"/>
              <w:rPr>
                <w:sz w:val="20"/>
                <w:szCs w:val="20"/>
                <w:color w:val="auto"/>
              </w:rPr>
            </w:pPr>
            <w:r>
              <w:rPr>
                <w:rFonts w:ascii="Arial" w:cs="Arial" w:eastAsia="Arial" w:hAnsi="Arial"/>
                <w:sz w:val="18"/>
                <w:szCs w:val="18"/>
                <w:color w:val="auto"/>
              </w:rPr>
              <w:t>33,089</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9"/>
              <w:spacing w:after="0"/>
              <w:rPr>
                <w:sz w:val="20"/>
                <w:szCs w:val="20"/>
                <w:color w:val="auto"/>
              </w:rPr>
            </w:pPr>
            <w:r>
              <w:rPr>
                <w:rFonts w:ascii="Arial" w:cs="Arial" w:eastAsia="Arial" w:hAnsi="Arial"/>
                <w:sz w:val="18"/>
                <w:szCs w:val="18"/>
                <w:color w:val="auto"/>
              </w:rPr>
              <w:t>34,873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9"/>
              <w:spacing w:after="0"/>
              <w:rPr>
                <w:sz w:val="20"/>
                <w:szCs w:val="20"/>
                <w:color w:val="auto"/>
              </w:rPr>
            </w:pPr>
            <w:r>
              <w:rPr>
                <w:rFonts w:ascii="Arial" w:cs="Arial" w:eastAsia="Arial" w:hAnsi="Arial"/>
                <w:sz w:val="18"/>
                <w:szCs w:val="18"/>
                <w:color w:val="auto"/>
              </w:rPr>
              <w:t>27,373</w:t>
            </w: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SUBSEQUENT EVENTS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310"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The discussion in this section contains forward-looking statements that are based on our current expectations. Actual results could differ materially from those expressed or implied by the forward-looking statements due to a number of risks, uncertainties and other factors, including those identified in “Part II, Item 1A — Risk Factors” of this report and "Part I, Item 1A—Risk Factors" of our Annual Report on Form 10-K for the year ended September 30, 2012.</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9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are a leading provider of instant cash solutions for consumers through multiple channels: in store, at home, online, or any combination. We provide collateralized, non-recourse loans, commonly known as pawn loans, and a variety of short-term consumer loans, including single-payment and multiple-payment unsecured loans and single-payment and multiple-payment auto title loans. In Texas, we provide fee-based credit services to customers seeking loans. At our pawn and buy/sell stores, we also sell merchandise, primarily collateral forfeited from pawn lending operations and used merchandise purchased from customers and vendors.</w:t>
      </w:r>
    </w:p>
    <w:p>
      <w:pPr>
        <w:spacing w:after="0" w:line="5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own a 60% interest in Crediamigo, a leading provider of payroll deduction loans in Mexico; a 51% interest in TUYO, a company headquartered in Mexico City that owns and operates 20 buy/sell stores in Mexico City and the surrounding metropolitan area; and a 95% interest in Cash Genie, which offers short-term consumer loans online in the United Kingdom.</w:t>
      </w:r>
    </w:p>
    <w:p>
      <w:pPr>
        <w:spacing w:after="0" w:line="12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Our vision is to be the global leader in providing customers with instant cash solutions where they want, when they want and how they want, and we are making the investments in both storefronts and technology platforms to achieve that vision.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2012, we operated a total of 1,369 locations, consisting of:</w:t>
      </w:r>
    </w:p>
    <w:p>
      <w:pPr>
        <w:spacing w:after="0" w:line="171"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489 U.S. pawn stores (operating primarily as EZPAWN or Value Pawn);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7 U.S. buy/sell stores (operating as Cash Converters);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254 Mexico pawn stores (operating as Empeño Fácil or Empeñe su Oro;</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20 Mexico buy/sell stores (operating as TUYO);</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486 U.S. financial services stores (operating primarily as EZMONEY);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33 financial services stores in Canada (operating as CASHMAX );</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35 buy/sell and financial services stores in Canada (operating as Cash Converters);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45 Crediamigo locations in Mexico.</w:t>
      </w:r>
    </w:p>
    <w:p>
      <w:pPr>
        <w:spacing w:after="0" w:line="157"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In addition, we are the franchisor for 10 franchised Cash Converters stores in Canada. We also own almost 30% of Albemarle &amp; Bond Holdings, PLC, one of the U.K.’s largest pawnbroking businesses with over 230 stores, and almost 33% of Cash Converters International Limited, which franchises and operates a worldwide network of over 700 locations that buy and sell second-hand merchandise and offer financial services.</w:t>
      </w:r>
    </w:p>
    <w:p>
      <w:pPr>
        <w:spacing w:after="0" w:line="1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business consists of three reportable segments: The U.S. &amp; Canada segment, which includes all business activities in the United States and Canada; the Latin America segment, which includes our Empeño Fácil and Empeñe su Oro pawn business, TUYO buy/sell business, and Crediamigo financial services operations in Mexico; and the Other International segment, which currently includes the Cash Genie online business in the U.K. and our equity interests in the net income of Albemarle &amp; Bond and Cash Converters International.</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stores by segment:</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780" w:type="dxa"/>
            <w:vAlign w:val="bottom"/>
            <w:tcBorders>
              <w:bottom w:val="single" w:sz="8" w:color="auto"/>
            </w:tcBorders>
            <w:gridSpan w:val="6"/>
          </w:tcPr>
          <w:p>
            <w:pPr>
              <w:ind w:left="1080"/>
              <w:spacing w:after="0"/>
              <w:rPr>
                <w:sz w:val="20"/>
                <w:szCs w:val="20"/>
                <w:color w:val="auto"/>
              </w:rPr>
            </w:pPr>
            <w:r>
              <w:rPr>
                <w:rFonts w:ascii="Arial" w:cs="Arial" w:eastAsia="Arial" w:hAnsi="Arial"/>
                <w:sz w:val="14"/>
                <w:szCs w:val="14"/>
                <w:b w:val="1"/>
                <w:bCs w:val="1"/>
                <w:color w:val="auto"/>
              </w:rPr>
              <w:t>Three Months Ended December 31, 2012</w:t>
            </w:r>
          </w:p>
        </w:tc>
        <w:tc>
          <w:tcPr>
            <w:tcW w:w="1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540" w:type="dxa"/>
            <w:vAlign w:val="bottom"/>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200" w:type="dxa"/>
            <w:vAlign w:val="bottom"/>
            <w:tcBorders>
              <w:bottom w:val="single" w:sz="8" w:color="auto"/>
            </w:tcBorders>
            <w:gridSpan w:val="4"/>
          </w:tcPr>
          <w:p>
            <w:pPr>
              <w:ind w:left="820"/>
              <w:spacing w:after="0"/>
              <w:rPr>
                <w:sz w:val="20"/>
                <w:szCs w:val="20"/>
                <w:color w:val="auto"/>
              </w:rPr>
            </w:pPr>
            <w:r>
              <w:rPr>
                <w:rFonts w:ascii="Arial" w:cs="Arial" w:eastAsia="Arial" w:hAnsi="Arial"/>
                <w:sz w:val="14"/>
                <w:szCs w:val="14"/>
                <w:b w:val="1"/>
                <w:bCs w:val="1"/>
                <w:color w:val="auto"/>
              </w:rPr>
              <w:t>Company-owned Stores</w:t>
            </w:r>
          </w:p>
        </w:tc>
        <w:tc>
          <w:tcPr>
            <w:tcW w:w="14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3540" w:type="dxa"/>
            <w:vAlign w:val="bottom"/>
          </w:tcPr>
          <w:p>
            <w:pPr>
              <w:spacing w:after="0"/>
              <w:rPr>
                <w:sz w:val="13"/>
                <w:szCs w:val="13"/>
                <w:color w:val="auto"/>
              </w:rPr>
            </w:pPr>
          </w:p>
        </w:tc>
        <w:tc>
          <w:tcPr>
            <w:tcW w:w="16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6"/>
              </w:rPr>
              <w:t>U.S. &amp;</w:t>
            </w:r>
          </w:p>
        </w:tc>
        <w:tc>
          <w:tcPr>
            <w:tcW w:w="16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rPr>
              <w:t>Latin</w:t>
            </w:r>
          </w:p>
        </w:tc>
        <w:tc>
          <w:tcPr>
            <w:tcW w:w="158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6"/>
              </w:rPr>
              <w:t>Other</w:t>
            </w:r>
          </w:p>
        </w:tc>
        <w:tc>
          <w:tcPr>
            <w:tcW w:w="158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Consolidated</w:t>
            </w:r>
          </w:p>
        </w:tc>
        <w:tc>
          <w:tcPr>
            <w:tcW w:w="148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Franchises</w:t>
            </w: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Canada</w:t>
            </w: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America</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7"/>
              </w:rPr>
              <w:t>International</w:t>
            </w:r>
          </w:p>
        </w:tc>
        <w:tc>
          <w:tcPr>
            <w:tcW w:w="1580" w:type="dxa"/>
            <w:vAlign w:val="bottom"/>
            <w:gridSpan w:val="2"/>
            <w:vMerge w:val="continue"/>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Stores in operation:</w:t>
            </w: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380"/>
              <w:spacing w:after="0"/>
              <w:rPr>
                <w:sz w:val="20"/>
                <w:szCs w:val="20"/>
                <w:color w:val="auto"/>
              </w:rPr>
            </w:pPr>
            <w:r>
              <w:rPr>
                <w:rFonts w:ascii="Arial" w:cs="Arial" w:eastAsia="Arial" w:hAnsi="Arial"/>
                <w:sz w:val="18"/>
                <w:szCs w:val="18"/>
                <w:color w:val="auto"/>
              </w:rPr>
              <w:t>Beginning of period</w:t>
            </w:r>
          </w:p>
        </w:tc>
        <w:tc>
          <w:tcPr>
            <w:tcW w:w="1500" w:type="dxa"/>
            <w:vAlign w:val="bottom"/>
          </w:tcPr>
          <w:p>
            <w:pPr>
              <w:jc w:val="right"/>
              <w:ind w:right="35"/>
              <w:spacing w:after="0"/>
              <w:rPr>
                <w:sz w:val="20"/>
                <w:szCs w:val="20"/>
                <w:color w:val="auto"/>
              </w:rPr>
            </w:pPr>
            <w:r>
              <w:rPr>
                <w:rFonts w:ascii="Arial" w:cs="Arial" w:eastAsia="Arial" w:hAnsi="Arial"/>
                <w:sz w:val="18"/>
                <w:szCs w:val="18"/>
                <w:color w:val="auto"/>
              </w:rPr>
              <w:t>987</w:t>
            </w:r>
          </w:p>
        </w:tc>
        <w:tc>
          <w:tcPr>
            <w:tcW w:w="120" w:type="dxa"/>
            <w:vAlign w:val="bottom"/>
          </w:tcPr>
          <w:p>
            <w:pPr>
              <w:spacing w:after="0"/>
              <w:rPr>
                <w:sz w:val="21"/>
                <w:szCs w:val="21"/>
                <w:color w:val="auto"/>
              </w:rPr>
            </w:pPr>
          </w:p>
        </w:tc>
        <w:tc>
          <w:tcPr>
            <w:tcW w:w="1500" w:type="dxa"/>
            <w:vAlign w:val="bottom"/>
          </w:tcPr>
          <w:p>
            <w:pPr>
              <w:jc w:val="right"/>
              <w:ind w:right="38"/>
              <w:spacing w:after="0"/>
              <w:rPr>
                <w:sz w:val="20"/>
                <w:szCs w:val="20"/>
                <w:color w:val="auto"/>
              </w:rPr>
            </w:pPr>
            <w:r>
              <w:rPr>
                <w:rFonts w:ascii="Arial" w:cs="Arial" w:eastAsia="Arial" w:hAnsi="Arial"/>
                <w:sz w:val="18"/>
                <w:szCs w:val="18"/>
                <w:color w:val="auto"/>
              </w:rPr>
              <w:t>275</w:t>
            </w:r>
          </w:p>
        </w:tc>
        <w:tc>
          <w:tcPr>
            <w:tcW w:w="120" w:type="dxa"/>
            <w:vAlign w:val="bottom"/>
          </w:tcPr>
          <w:p>
            <w:pPr>
              <w:spacing w:after="0"/>
              <w:rPr>
                <w:sz w:val="21"/>
                <w:szCs w:val="21"/>
                <w:color w:val="auto"/>
              </w:rPr>
            </w:pPr>
          </w:p>
        </w:tc>
        <w:tc>
          <w:tcPr>
            <w:tcW w:w="158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1,262</w:t>
            </w:r>
          </w:p>
        </w:tc>
        <w:tc>
          <w:tcPr>
            <w:tcW w:w="10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 novo</w:t>
            </w:r>
          </w:p>
        </w:tc>
        <w:tc>
          <w:tcPr>
            <w:tcW w:w="15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40" w:type="dxa"/>
            <w:vAlign w:val="bottom"/>
          </w:tcPr>
          <w:p>
            <w:pPr>
              <w:ind w:left="380"/>
              <w:spacing w:after="0"/>
              <w:rPr>
                <w:sz w:val="20"/>
                <w:szCs w:val="20"/>
                <w:color w:val="auto"/>
              </w:rPr>
            </w:pPr>
            <w:r>
              <w:rPr>
                <w:rFonts w:ascii="Arial" w:cs="Arial" w:eastAsia="Arial" w:hAnsi="Arial"/>
                <w:sz w:val="18"/>
                <w:szCs w:val="18"/>
                <w:color w:val="auto"/>
              </w:rPr>
              <w:t>Acquired</w:t>
            </w:r>
          </w:p>
        </w:tc>
        <w:tc>
          <w:tcPr>
            <w:tcW w:w="1500" w:type="dxa"/>
            <w:vAlign w:val="bottom"/>
          </w:tcPr>
          <w:p>
            <w:pPr>
              <w:jc w:val="right"/>
              <w:ind w:right="35"/>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500" w:type="dxa"/>
            <w:vAlign w:val="bottom"/>
          </w:tcPr>
          <w:p>
            <w:pPr>
              <w:jc w:val="right"/>
              <w:ind w:right="38"/>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158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Sold, combined, or closed</w:t>
            </w: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540" w:type="dxa"/>
            <w:vAlign w:val="bottom"/>
          </w:tcPr>
          <w:p>
            <w:pPr>
              <w:ind w:left="380"/>
              <w:spacing w:after="0"/>
              <w:rPr>
                <w:sz w:val="20"/>
                <w:szCs w:val="20"/>
                <w:color w:val="auto"/>
              </w:rPr>
            </w:pPr>
            <w:r>
              <w:rPr>
                <w:rFonts w:ascii="Arial" w:cs="Arial" w:eastAsia="Arial" w:hAnsi="Arial"/>
                <w:sz w:val="18"/>
                <w:szCs w:val="18"/>
                <w:color w:val="auto"/>
              </w:rPr>
              <w:t>End of period</w:t>
            </w:r>
          </w:p>
        </w:tc>
        <w:tc>
          <w:tcPr>
            <w:tcW w:w="150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1,050</w:t>
            </w:r>
          </w:p>
        </w:tc>
        <w:tc>
          <w:tcPr>
            <w:tcW w:w="120" w:type="dxa"/>
            <w:vAlign w:val="bottom"/>
          </w:tcPr>
          <w:p>
            <w:pPr>
              <w:spacing w:after="0"/>
              <w:rPr>
                <w:sz w:val="20"/>
                <w:szCs w:val="20"/>
                <w:color w:val="auto"/>
              </w:rPr>
            </w:pPr>
          </w:p>
        </w:tc>
        <w:tc>
          <w:tcPr>
            <w:tcW w:w="150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319</w:t>
            </w:r>
          </w:p>
        </w:tc>
        <w:tc>
          <w:tcPr>
            <w:tcW w:w="120" w:type="dxa"/>
            <w:vAlign w:val="bottom"/>
          </w:tcPr>
          <w:p>
            <w:pPr>
              <w:spacing w:after="0"/>
              <w:rPr>
                <w:sz w:val="20"/>
                <w:szCs w:val="20"/>
                <w:color w:val="auto"/>
              </w:rPr>
            </w:pPr>
          </w:p>
        </w:tc>
        <w:tc>
          <w:tcPr>
            <w:tcW w:w="1480" w:type="dxa"/>
            <w:vAlign w:val="bottom"/>
            <w:tcBorders>
              <w:top w:val="single" w:sz="8" w:color="auto"/>
            </w:tcBorders>
          </w:tcPr>
          <w:p>
            <w:pPr>
              <w:ind w:left="1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1,369</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3540" w:type="dxa"/>
            <w:vAlign w:val="bottom"/>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gridSpan w:val="6"/>
          </w:tcPr>
          <w:p>
            <w:pPr>
              <w:ind w:left="1080"/>
              <w:spacing w:after="0"/>
              <w:rPr>
                <w:sz w:val="20"/>
                <w:szCs w:val="20"/>
                <w:color w:val="auto"/>
              </w:rPr>
            </w:pPr>
            <w:r>
              <w:rPr>
                <w:rFonts w:ascii="Arial" w:cs="Arial" w:eastAsia="Arial" w:hAnsi="Arial"/>
                <w:sz w:val="14"/>
                <w:szCs w:val="14"/>
                <w:b w:val="1"/>
                <w:bCs w:val="1"/>
                <w:color w:val="auto"/>
              </w:rPr>
              <w:t>Three Months Ended December 31, 2011</w:t>
            </w:r>
          </w:p>
        </w:tc>
        <w:tc>
          <w:tcPr>
            <w:tcW w:w="1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540" w:type="dxa"/>
            <w:vAlign w:val="bottom"/>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200" w:type="dxa"/>
            <w:vAlign w:val="bottom"/>
            <w:tcBorders>
              <w:bottom w:val="single" w:sz="8" w:color="auto"/>
            </w:tcBorders>
            <w:gridSpan w:val="4"/>
          </w:tcPr>
          <w:p>
            <w:pPr>
              <w:ind w:left="820"/>
              <w:spacing w:after="0"/>
              <w:rPr>
                <w:sz w:val="20"/>
                <w:szCs w:val="20"/>
                <w:color w:val="auto"/>
              </w:rPr>
            </w:pPr>
            <w:r>
              <w:rPr>
                <w:rFonts w:ascii="Arial" w:cs="Arial" w:eastAsia="Arial" w:hAnsi="Arial"/>
                <w:sz w:val="14"/>
                <w:szCs w:val="14"/>
                <w:b w:val="1"/>
                <w:bCs w:val="1"/>
                <w:color w:val="auto"/>
              </w:rPr>
              <w:t>Company-owned Stores</w:t>
            </w:r>
          </w:p>
        </w:tc>
        <w:tc>
          <w:tcPr>
            <w:tcW w:w="14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3540" w:type="dxa"/>
            <w:vAlign w:val="bottom"/>
          </w:tcPr>
          <w:p>
            <w:pPr>
              <w:spacing w:after="0"/>
              <w:rPr>
                <w:sz w:val="13"/>
                <w:szCs w:val="13"/>
                <w:color w:val="auto"/>
              </w:rPr>
            </w:pPr>
          </w:p>
        </w:tc>
        <w:tc>
          <w:tcPr>
            <w:tcW w:w="16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6"/>
              </w:rPr>
              <w:t>U.S. &amp;</w:t>
            </w:r>
          </w:p>
        </w:tc>
        <w:tc>
          <w:tcPr>
            <w:tcW w:w="16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rPr>
              <w:t>Latin</w:t>
            </w:r>
          </w:p>
        </w:tc>
        <w:tc>
          <w:tcPr>
            <w:tcW w:w="158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6"/>
              </w:rPr>
              <w:t>Other</w:t>
            </w:r>
          </w:p>
        </w:tc>
        <w:tc>
          <w:tcPr>
            <w:tcW w:w="158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Consolidated</w:t>
            </w:r>
          </w:p>
        </w:tc>
        <w:tc>
          <w:tcPr>
            <w:tcW w:w="148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Franchises</w:t>
            </w: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Canada</w:t>
            </w: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America</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7"/>
              </w:rPr>
              <w:t>International</w:t>
            </w:r>
          </w:p>
        </w:tc>
        <w:tc>
          <w:tcPr>
            <w:tcW w:w="1580" w:type="dxa"/>
            <w:vAlign w:val="bottom"/>
            <w:gridSpan w:val="2"/>
            <w:vMerge w:val="continue"/>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Stores in operation:</w:t>
            </w: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380"/>
              <w:spacing w:after="0"/>
              <w:rPr>
                <w:sz w:val="20"/>
                <w:szCs w:val="20"/>
                <w:color w:val="auto"/>
              </w:rPr>
            </w:pPr>
            <w:r>
              <w:rPr>
                <w:rFonts w:ascii="Arial" w:cs="Arial" w:eastAsia="Arial" w:hAnsi="Arial"/>
                <w:sz w:val="18"/>
                <w:szCs w:val="18"/>
                <w:color w:val="auto"/>
              </w:rPr>
              <w:t>Beginning of period</w:t>
            </w:r>
          </w:p>
        </w:tc>
        <w:tc>
          <w:tcPr>
            <w:tcW w:w="1500" w:type="dxa"/>
            <w:vAlign w:val="bottom"/>
          </w:tcPr>
          <w:p>
            <w:pPr>
              <w:jc w:val="right"/>
              <w:ind w:right="35"/>
              <w:spacing w:after="0"/>
              <w:rPr>
                <w:sz w:val="20"/>
                <w:szCs w:val="20"/>
                <w:color w:val="auto"/>
              </w:rPr>
            </w:pPr>
            <w:r>
              <w:rPr>
                <w:rFonts w:ascii="Arial" w:cs="Arial" w:eastAsia="Arial" w:hAnsi="Arial"/>
                <w:sz w:val="18"/>
                <w:szCs w:val="18"/>
                <w:color w:val="auto"/>
              </w:rPr>
              <w:t>933</w:t>
            </w:r>
          </w:p>
        </w:tc>
        <w:tc>
          <w:tcPr>
            <w:tcW w:w="120" w:type="dxa"/>
            <w:vAlign w:val="bottom"/>
          </w:tcPr>
          <w:p>
            <w:pPr>
              <w:spacing w:after="0"/>
              <w:rPr>
                <w:sz w:val="21"/>
                <w:szCs w:val="21"/>
                <w:color w:val="auto"/>
              </w:rPr>
            </w:pPr>
          </w:p>
        </w:tc>
        <w:tc>
          <w:tcPr>
            <w:tcW w:w="1500" w:type="dxa"/>
            <w:vAlign w:val="bottom"/>
          </w:tcPr>
          <w:p>
            <w:pPr>
              <w:jc w:val="right"/>
              <w:ind w:right="38"/>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21"/>
                <w:szCs w:val="21"/>
                <w:color w:val="auto"/>
              </w:rPr>
            </w:pPr>
          </w:p>
        </w:tc>
        <w:tc>
          <w:tcPr>
            <w:tcW w:w="158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1,111</w:t>
            </w:r>
          </w:p>
        </w:tc>
        <w:tc>
          <w:tcPr>
            <w:tcW w:w="10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620" w:type="dxa"/>
            <w:vAlign w:val="bottom"/>
            <w:gridSpan w:val="2"/>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 novo</w:t>
            </w: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40" w:type="dxa"/>
            <w:vAlign w:val="bottom"/>
          </w:tcPr>
          <w:p>
            <w:pPr>
              <w:ind w:left="380"/>
              <w:spacing w:after="0"/>
              <w:rPr>
                <w:sz w:val="20"/>
                <w:szCs w:val="20"/>
                <w:color w:val="auto"/>
              </w:rPr>
            </w:pPr>
            <w:r>
              <w:rPr>
                <w:rFonts w:ascii="Arial" w:cs="Arial" w:eastAsia="Arial" w:hAnsi="Arial"/>
                <w:sz w:val="18"/>
                <w:szCs w:val="18"/>
                <w:color w:val="auto"/>
              </w:rPr>
              <w:t>Acquired</w:t>
            </w:r>
          </w:p>
        </w:tc>
        <w:tc>
          <w:tcPr>
            <w:tcW w:w="1500" w:type="dxa"/>
            <w:vAlign w:val="bottom"/>
          </w:tcPr>
          <w:p>
            <w:pPr>
              <w:jc w:val="right"/>
              <w:ind w:right="35"/>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gridSpan w:val="2"/>
          </w:tcPr>
          <w:p>
            <w:pPr>
              <w:spacing w:after="0"/>
              <w:rPr>
                <w:sz w:val="2"/>
                <w:szCs w:val="2"/>
                <w:color w:val="auto"/>
              </w:rPr>
            </w:pPr>
          </w:p>
        </w:tc>
        <w:tc>
          <w:tcPr>
            <w:tcW w:w="1580" w:type="dxa"/>
            <w:vAlign w:val="bottom"/>
            <w:gridSpan w:val="2"/>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Sold, combined, or closed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3540" w:type="dxa"/>
            <w:vAlign w:val="bottom"/>
          </w:tcPr>
          <w:p>
            <w:pPr>
              <w:ind w:left="380"/>
              <w:spacing w:after="0"/>
              <w:rPr>
                <w:sz w:val="20"/>
                <w:szCs w:val="20"/>
                <w:color w:val="auto"/>
              </w:rPr>
            </w:pPr>
            <w:r>
              <w:rPr>
                <w:rFonts w:ascii="Arial" w:cs="Arial" w:eastAsia="Arial" w:hAnsi="Arial"/>
                <w:sz w:val="18"/>
                <w:szCs w:val="18"/>
                <w:color w:val="auto"/>
              </w:rPr>
              <w:t>End of period</w:t>
            </w:r>
          </w:p>
        </w:tc>
        <w:tc>
          <w:tcPr>
            <w:tcW w:w="150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950</w:t>
            </w:r>
          </w:p>
        </w:tc>
        <w:tc>
          <w:tcPr>
            <w:tcW w:w="120" w:type="dxa"/>
            <w:vAlign w:val="bottom"/>
          </w:tcPr>
          <w:p>
            <w:pPr>
              <w:spacing w:after="0"/>
              <w:rPr>
                <w:sz w:val="20"/>
                <w:szCs w:val="20"/>
                <w:color w:val="auto"/>
              </w:rPr>
            </w:pPr>
          </w:p>
        </w:tc>
        <w:tc>
          <w:tcPr>
            <w:tcW w:w="150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192</w:t>
            </w:r>
          </w:p>
        </w:tc>
        <w:tc>
          <w:tcPr>
            <w:tcW w:w="120" w:type="dxa"/>
            <w:vAlign w:val="bottom"/>
          </w:tcPr>
          <w:p>
            <w:pPr>
              <w:spacing w:after="0"/>
              <w:rPr>
                <w:sz w:val="20"/>
                <w:szCs w:val="20"/>
                <w:color w:val="auto"/>
              </w:rPr>
            </w:pPr>
          </w:p>
        </w:tc>
        <w:tc>
          <w:tcPr>
            <w:tcW w:w="1480" w:type="dxa"/>
            <w:vAlign w:val="bottom"/>
            <w:tcBorders>
              <w:top w:val="single" w:sz="8" w:color="auto"/>
            </w:tcBorders>
          </w:tcPr>
          <w:p>
            <w:pPr>
              <w:ind w:left="1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1,142</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Pawn and Retail Activities</w:t>
      </w:r>
    </w:p>
    <w:p>
      <w:pPr>
        <w:spacing w:after="0" w:line="90"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Our pawn stores make pawn loans, which are typically small, non-recourse loans collateralized by tangible personal property. At December 31, 2012 , we had an aggregate pawn loan principal balance of $162.1 million, and the average pawn loan was approximately $125. We earn pawn service charge revenue on our pawn lending. In the current quarter, pawn service charges accounted for approximately 24% of our total revenues and 38% of our net revenues.</w:t>
      </w:r>
    </w:p>
    <w:p>
      <w:pPr>
        <w:spacing w:after="0" w:line="12"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While allowable service charges vary by state and loan size, a majority of our U.S. pawn loans earn 20% per month. Our average U.S. pawn loan amount typically ranges between $135 to $145, but varies depending on the valuation of each item pawned. The total U.S. loan term ranges between 60 and 120 days, consisting of the primary term and grace period. In Mexico, pawn service charges range from 15% to 21% per month, including applicable taxes, with the majority of loans earning 21%. The total Mexico pawn loan term is 40 days, consisting of the primary term and grace period. Individual loans are made in Mexican pesos and vary depending on the valuation of each item pawned, but typically average $65 U.S. dollars.</w:t>
      </w:r>
    </w:p>
    <w:p>
      <w:pPr>
        <w:spacing w:after="0" w:line="119"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In our pawn and buy/sell stores, we acquire inventory for retail sales through pawn loan forfeitures, purchases of customers’ second hand merchandise or purchases of new or refurbished merchandise from third party vendors. The gross profit on sales of inventory depends primarily on our assessment of the loan or purchase value at the time the property is either accepted as loan collateral or purchased. Margins achieved upon sale of inventory are a function of the assessment of value at the time the pawn loan was originated or, in the case of purchased merchandise, the purchase price.</w:t>
      </w:r>
    </w:p>
    <w:p>
      <w:pPr>
        <w:spacing w:after="0" w:line="11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We record a valuation allowance for obsolete or slow-moving inventory based on the type and age of merchandise. We generally establish a higher allowance percentage on general merchandise, as it is more susceptible to obsolescence, and establish a lower allowance percentage on jewelry, as it generally has greater inherent commodity value. At December 31, 2012, our total allowance was 4.9% of gross inventory compared to 7.4% at December 31, 2011 and 4.9% at September 30, 2012. Changes in the valuation allowance are charged to merchandise cost of goods sold.</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2" w:right="239" w:bottom="1440" w:gutter="0" w:footer="0" w:header="0"/>
        </w:sectPr>
      </w:pPr>
    </w:p>
    <w:bookmarkStart w:id="38" w:name="page39"/>
    <w:bookmarkEnd w:id="3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Consumer Loan Activities</w:t>
      </w:r>
    </w:p>
    <w:p>
      <w:pPr>
        <w:spacing w:after="0" w:line="9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At December 31, 2012, our financial services stores and certain pawn stores in Texas offered credit services to customers seeking short-term consumer loans from unaffiliated lenders. We do not participate in any of the loans made by the lenders, but earn a fee for helping customers obtain credit and for enhancing customers’ creditworthiness by providing letters of credit to the unaffiliated lenders. Customers may obtain two types of consumer loans from the unaffiliated lenders. In all stores offering consumer loan credit services, customers can obtain single-payment unsecured consumer loans, with principal amounts up to $1,500 but averaging about $490. Terms of these loans are generally less than 30 days, averaging about 16 days, with due dates corresponding with the customers’ next payday. We typically earn a fee of 22% of the loan amount for our credit services offered in connection with single-payment loans. In the financial services stores offering credit services, customers can obtain longer-term unsecured multiple-payment loans from the unaffiliated lenders. There are two types of multiple-payment loans offered in connection with our credit services. All multiple-payment loans typically carry terms of about five months with ten equal installment payments, including principal amortization, due on customers’ paydays. Traditional multiple-payment loan principal amounts range from $1,525 to $3,000, but average about $2,420, and with each semi-monthly or bi-weekly installment payment, we earn a fee of 11% of the initial loan amount. Low dollar multiple-payment loan principal amounts range from $100 to $1,500, but average about $805. With each semi-monthly or bi-weekly installment payment, we earn a fee of 13-14% of the initial loan amount. At December 31, 2012, single-payment loans comprised 86% of the balance of signature loans brokered through our credit services, and multiple-payment loans comprised the remaining 14%.</w:t>
      </w:r>
    </w:p>
    <w:p>
      <w:pPr>
        <w:spacing w:after="0" w:line="121"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Outside of Texas, we earn loan fee revenue on our consumer loans. In our U.S. and Canada financial services stores and certain of our U.S. pawn stores, we offer single-payment loans subject to state or provincial law. The average single-payment loan amount is approximately $430 and the term is generally less than 30 days, averaging about 17 days. We typically charge a fee of 15% to 22% of the loan amount. In many of our U.S. financial services stores, we offer multiple-payment loans subject to state law. These multiple-payment loans carry a term of four to seven months, with a series of equal installment payments including principal amortization, due monthly, semi-monthly or on the customers’ paydays. Total interest and fees on these loans vary in accordance with state law and loan terms, but over the entire loan term, total approximately 45% to 130% of the original principal amount of the loan. Multiple-payment loan principal amounts range from $100 to $3,000, but average approximately $560.</w:t>
      </w:r>
    </w:p>
    <w:p>
      <w:pPr>
        <w:spacing w:after="0" w:line="12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At December 31, 2012, most of our U.S. financial services stores and certain of our U.S. pawn stores offered auto title loans or, in Texas, credit services to assist customers in obtaining auto title loans from unaffiliated lenders. Auto title loans are 30-day loans secured by the titles to customers’ automobiles. Loan principal amounts range from $100 to $10,000, but average about $925. We earn a fee of 12.5% to 25% of auto title loan amounts. In Texas, we assist customers in obtaining multiple-payment auto title loans from unaffiliated lenders. These loans typically carry terms of two to five months with up to ten payment. Multiple payment auto title loan principal amounts range from $100 to $10,000, but average about $1,040, and we earn a fee of 2% to 41% of the initial loan amount.</w:t>
      </w:r>
    </w:p>
    <w:p>
      <w:pPr>
        <w:spacing w:after="0" w:line="13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 Mexico, Crediamigo offers multiple-payment consumer loans with typical annual yields of around 27% and collects interest and principal through payroll deductions. The average loan is approximately $1,250 with a term of 32 months.</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In the U.K., Cash Genie offers unsecured single payment loans with a fixed fee of 30% of the loan amount. Loans are due within 28 days and can be renewed.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Principal loan amounts range from $125 to $833 but average $300.</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9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the current quarter, we acquired 12 pawn stores in the U.S. for $23.1 million and Go Cash, a U.S. online lender, for $50.7 million. As part of these two acquisitions, we began store operations in the state of Arizona and online operations in the state of Ohio, bringing the total number of states in which we operate to 26 at December 31, 2012. In the current quarter, we acquired a 51% interest in Renueva Comercial S.A. de C.V., a company headquartered in Mexico City and doing business under the name “TUYO.” TUYO owns and operates 20 buy/sell stores in Mexico City and the surrounding metropolitan area and is included in our current quarter results. In the current quarter, we increased our interest from 72% to 95% in Cash Genie, our online lending subsidiary in the U.K.</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Growth</w:t>
      </w:r>
    </w:p>
    <w:p>
      <w:pPr>
        <w:spacing w:after="0" w:line="9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With continued execution of the our geographic and product diversification strategy, nearly 22% of our consolidated segment contribution in the quarter was attributable to areas outside the United States, up from 11% a year earlier. Total revenue in the Latin America and Other International segments combined more than doubled, with combined segment contribution increasing 75%. These year-over year increases are the result of continued strength in our Empeño Fácil and Crediamigo businesses in Mexico, our Cash Genie business in the U.K.,the acquisition of controlling interests in TUYO, and our strategic investments in the United Kingdom and Australia.</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122" w:right="259" w:bottom="1440" w:gutter="0" w:footer="0" w:header="0"/>
        </w:sectPr>
      </w:pPr>
    </w:p>
    <w:bookmarkStart w:id="39" w:name="page40"/>
    <w:bookmarkEnd w:id="3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There have been no changes in critical accounting policies as described in our Annual Report on Form 10-K for the year ended September 30, 2012.</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Reclassifications</w:t>
      </w:r>
    </w:p>
    <w:p>
      <w:pPr>
        <w:spacing w:after="0" w:line="94"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Previously, we reported segment information based primarily on product offerings. Beginning with the second quarter of fiscal 2012, we redefined our reportable operating segments based on geography as our company is increasingly being organized and managed along geographic lines, with product offerings and channels based on local custom and regulation. For this reason, we concluded that segment reporting based on geography more closely aligns with our management organization and strategic direction. In connection with the new segment structure, we have changed the accountability for, and reporting of, certain items, including administrative expenses, depreciation and amortization, interest and our equity in the net income of unconsolidated affiliates. When practical, these items are allocated to segments. Interest is also allocated to operating segments when debt is incurred at the local country level and is non-recourse to EZCORP These items are now included in the segment’s measure of profit or loss (“segment contribution”). Expenses that cannot be allocated are included as corporate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Recently Issued Accounting Pronouncements</w:t>
      </w:r>
    </w:p>
    <w:p>
      <w:pPr>
        <w:spacing w:after="0" w:line="175"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 xml:space="preserve">In October 2012, the FASB ASU 2012-04, </w:t>
      </w:r>
      <w:r>
        <w:rPr>
          <w:rFonts w:ascii="Arial" w:cs="Arial" w:eastAsia="Arial" w:hAnsi="Arial"/>
          <w:sz w:val="17"/>
          <w:szCs w:val="17"/>
          <w:i w:val="1"/>
          <w:iCs w:val="1"/>
          <w:color w:val="auto"/>
        </w:rPr>
        <w:t>Technical Corrections and Improvements.</w:t>
      </w:r>
      <w:r>
        <w:rPr>
          <w:rFonts w:ascii="Arial" w:cs="Arial" w:eastAsia="Arial" w:hAnsi="Arial"/>
          <w:sz w:val="17"/>
          <w:szCs w:val="17"/>
          <w:color w:val="auto"/>
        </w:rPr>
        <w:t xml:space="preserve"> This update clarifies the Codification or corrects unintended application of guidance and includes amendments identifying when the use of fair value should be linked to the definition of fair value in Topic 820, Fair Value Measurement. Amendments to the Codification without transition guidance are effective upon issuance for both public and nonpublic entities. For public entities, amendments subject to transition guidance will be effective for fiscal periods beginning after December 15, 2012. We do not anticipate that the adoption of ASU 2012-04 will have a material effect on our financial position, results of operations or cash flows.</w:t>
      </w:r>
    </w:p>
    <w:p>
      <w:pPr>
        <w:spacing w:after="0" w:line="11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 xml:space="preserve">In December 2011, the FASB issued ASU 2011-11, </w:t>
      </w:r>
      <w:r>
        <w:rPr>
          <w:rFonts w:ascii="Arial" w:cs="Arial" w:eastAsia="Arial" w:hAnsi="Arial"/>
          <w:sz w:val="17"/>
          <w:szCs w:val="17"/>
          <w:i w:val="1"/>
          <w:iCs w:val="1"/>
          <w:color w:val="auto"/>
        </w:rPr>
        <w:t>Disclosures about Offsetting Assets and Liabilities.</w:t>
      </w:r>
      <w:r>
        <w:rPr>
          <w:rFonts w:ascii="Arial" w:cs="Arial" w:eastAsia="Arial" w:hAnsi="Arial"/>
          <w:sz w:val="17"/>
          <w:szCs w:val="17"/>
          <w:color w:val="auto"/>
        </w:rPr>
        <w:t xml:space="preserve"> This update, which amends FASB ASC 210 (Balance Sheet), requires entities to disclose information about offsetting and related arrangements and the effect of those arrangements on its financial position. The amendments in ASU 2011-11 enhance disclosures required by FASB ASC 210 by requiring improved information about financial instruments and derivative instruments that are either offset in accordance with FASB ASC 210-20-45 or 815-10-45 or are subject to an enforceable master netting arrangement or similar agreement. ASU 2011-11 is effective for interim and annual periods beginning on or after January 1, 2013. Disclosures are required retrospectively for all comparative periods presented. Currently, we do not enter into any right of offset arrangements and the adoption of ASU 2011-11will not have a material effect on our financial position, results of operations or cash flows.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Three Months Ended December 31, 2012 vs. Three Months Ended December 31, 2011</w:t>
      </w:r>
    </w:p>
    <w:p>
      <w:pPr>
        <w:spacing w:after="0" w:line="9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following table presents selected, unaudited, consolidated financial data for our three-month periods ended December 31, 2012 and 2011 (the “current quarter” and “prior year quarter," respectively):</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8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December 31,</w:t>
            </w:r>
          </w:p>
        </w:tc>
        <w:tc>
          <w:tcPr>
            <w:tcW w:w="160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71"/>
        </w:trPr>
        <w:tc>
          <w:tcPr>
            <w:tcW w:w="4240" w:type="dxa"/>
            <w:vAlign w:val="bottom"/>
          </w:tcPr>
          <w:p>
            <w:pPr>
              <w:spacing w:after="0"/>
              <w:rPr>
                <w:sz w:val="6"/>
                <w:szCs w:val="6"/>
                <w:color w:val="auto"/>
              </w:rPr>
            </w:pPr>
          </w:p>
        </w:tc>
        <w:tc>
          <w:tcPr>
            <w:tcW w:w="2420" w:type="dxa"/>
            <w:vAlign w:val="bottom"/>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1180" w:type="dxa"/>
            <w:vAlign w:val="bottom"/>
            <w:tcBorders>
              <w:top w:val="single" w:sz="8" w:color="auto"/>
            </w:tcBorders>
            <w:vMerge w:val="restart"/>
          </w:tcPr>
          <w:p>
            <w:pPr>
              <w:jc w:val="right"/>
              <w:ind w:right="494"/>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980" w:type="dxa"/>
            <w:vAlign w:val="bottom"/>
            <w:tcBorders>
              <w:top w:val="single" w:sz="8" w:color="auto"/>
            </w:tcBorders>
            <w:vMerge w:val="restart"/>
          </w:tcPr>
          <w:p>
            <w:pPr>
              <w:jc w:val="right"/>
              <w:ind w:right="512"/>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6"/>
                <w:szCs w:val="6"/>
                <w:color w:val="auto"/>
              </w:rPr>
            </w:pPr>
          </w:p>
        </w:tc>
        <w:tc>
          <w:tcPr>
            <w:tcW w:w="16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424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80" w:type="dxa"/>
            <w:vAlign w:val="bottom"/>
            <w:gridSpan w:val="3"/>
          </w:tcPr>
          <w:p>
            <w:pPr>
              <w:jc w:val="right"/>
              <w:ind w:right="30"/>
              <w:spacing w:after="0"/>
              <w:rPr>
                <w:sz w:val="20"/>
                <w:szCs w:val="20"/>
                <w:color w:val="auto"/>
              </w:rPr>
            </w:pPr>
            <w:r>
              <w:rPr>
                <w:rFonts w:ascii="Arial" w:cs="Arial" w:eastAsia="Arial" w:hAnsi="Arial"/>
                <w:sz w:val="14"/>
                <w:szCs w:val="14"/>
                <w:i w:val="1"/>
                <w:iCs w:val="1"/>
                <w:color w:val="auto"/>
              </w:rPr>
              <w:t>(in thousands)</w:t>
            </w: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24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380"/>
              <w:spacing w:after="0"/>
              <w:rPr>
                <w:sz w:val="20"/>
                <w:szCs w:val="20"/>
                <w:color w:val="auto"/>
              </w:rPr>
            </w:pPr>
            <w:r>
              <w:rPr>
                <w:rFonts w:ascii="Arial" w:cs="Arial" w:eastAsia="Arial" w:hAnsi="Arial"/>
                <w:sz w:val="18"/>
                <w:szCs w:val="18"/>
                <w:color w:val="auto"/>
              </w:rPr>
              <w:t>Sales</w:t>
            </w:r>
          </w:p>
        </w:tc>
        <w:tc>
          <w:tcPr>
            <w:tcW w:w="27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141,507</w:t>
            </w:r>
          </w:p>
        </w:tc>
        <w:tc>
          <w:tcPr>
            <w:tcW w:w="120" w:type="dxa"/>
            <w:vAlign w:val="bottom"/>
          </w:tcPr>
          <w:p>
            <w:pPr>
              <w:spacing w:after="0"/>
              <w:rPr>
                <w:sz w:val="21"/>
                <w:szCs w:val="21"/>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143,297</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Pawn service charges</w:t>
            </w:r>
          </w:p>
        </w:tc>
        <w:tc>
          <w:tcPr>
            <w:tcW w:w="24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66,024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59,792</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10.4 %</w:t>
            </w:r>
          </w:p>
        </w:tc>
        <w:tc>
          <w:tcPr>
            <w:tcW w:w="0" w:type="dxa"/>
            <w:vAlign w:val="bottom"/>
          </w:tcPr>
          <w:p>
            <w:pPr>
              <w:spacing w:after="0"/>
              <w:rPr>
                <w:sz w:val="1"/>
                <w:szCs w:val="1"/>
                <w:color w:val="auto"/>
              </w:rPr>
            </w:pPr>
          </w:p>
        </w:tc>
      </w:tr>
      <w:tr>
        <w:trPr>
          <w:trHeight w:val="243"/>
        </w:trPr>
        <w:tc>
          <w:tcPr>
            <w:tcW w:w="4240" w:type="dxa"/>
            <w:vAlign w:val="bottom"/>
          </w:tcPr>
          <w:p>
            <w:pPr>
              <w:ind w:left="380"/>
              <w:spacing w:after="0"/>
              <w:rPr>
                <w:sz w:val="20"/>
                <w:szCs w:val="20"/>
                <w:color w:val="auto"/>
              </w:rPr>
            </w:pPr>
            <w:r>
              <w:rPr>
                <w:rFonts w:ascii="Arial" w:cs="Arial" w:eastAsia="Arial" w:hAnsi="Arial"/>
                <w:sz w:val="18"/>
                <w:szCs w:val="18"/>
                <w:color w:val="auto"/>
              </w:rPr>
              <w:t>Consumer loan fees</w:t>
            </w:r>
          </w:p>
        </w:tc>
        <w:tc>
          <w:tcPr>
            <w:tcW w:w="2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64,765</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45,088</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43.6 %</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24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4,830</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696</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594.0 %</w:t>
            </w:r>
          </w:p>
        </w:tc>
        <w:tc>
          <w:tcPr>
            <w:tcW w:w="0" w:type="dxa"/>
            <w:vAlign w:val="bottom"/>
          </w:tcPr>
          <w:p>
            <w:pPr>
              <w:spacing w:after="0"/>
              <w:rPr>
                <w:sz w:val="1"/>
                <w:szCs w:val="1"/>
                <w:color w:val="auto"/>
              </w:rPr>
            </w:pPr>
          </w:p>
        </w:tc>
      </w:tr>
      <w:tr>
        <w:trPr>
          <w:trHeight w:val="237"/>
        </w:trPr>
        <w:tc>
          <w:tcPr>
            <w:tcW w:w="4240" w:type="dxa"/>
            <w:vAlign w:val="bottom"/>
          </w:tcPr>
          <w:p>
            <w:pPr>
              <w:ind w:left="720"/>
              <w:spacing w:after="0"/>
              <w:rPr>
                <w:sz w:val="20"/>
                <w:szCs w:val="20"/>
                <w:color w:val="auto"/>
              </w:rPr>
            </w:pPr>
            <w:r>
              <w:rPr>
                <w:rFonts w:ascii="Arial" w:cs="Arial" w:eastAsia="Arial" w:hAnsi="Arial"/>
                <w:sz w:val="18"/>
                <w:szCs w:val="18"/>
                <w:color w:val="auto"/>
              </w:rPr>
              <w:t>Total revenues</w:t>
            </w:r>
          </w:p>
        </w:tc>
        <w:tc>
          <w:tcPr>
            <w:tcW w:w="24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277,126</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248,873</w:t>
            </w:r>
          </w:p>
        </w:tc>
        <w:tc>
          <w:tcPr>
            <w:tcW w:w="120" w:type="dxa"/>
            <w:vAlign w:val="bottom"/>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11.4 %</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goods sold</w:t>
            </w:r>
          </w:p>
        </w:tc>
        <w:tc>
          <w:tcPr>
            <w:tcW w:w="24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87,700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83,820</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4.6 %</w:t>
            </w:r>
          </w:p>
        </w:tc>
        <w:tc>
          <w:tcPr>
            <w:tcW w:w="0" w:type="dxa"/>
            <w:vAlign w:val="bottom"/>
          </w:tcPr>
          <w:p>
            <w:pPr>
              <w:spacing w:after="0"/>
              <w:rPr>
                <w:sz w:val="1"/>
                <w:szCs w:val="1"/>
                <w:color w:val="auto"/>
              </w:rPr>
            </w:pPr>
          </w:p>
        </w:tc>
      </w:tr>
      <w:tr>
        <w:trPr>
          <w:trHeight w:val="243"/>
        </w:trPr>
        <w:tc>
          <w:tcPr>
            <w:tcW w:w="4240" w:type="dxa"/>
            <w:vAlign w:val="bottom"/>
          </w:tcPr>
          <w:p>
            <w:pPr>
              <w:ind w:left="380"/>
              <w:spacing w:after="0"/>
              <w:rPr>
                <w:sz w:val="20"/>
                <w:szCs w:val="20"/>
                <w:color w:val="auto"/>
              </w:rPr>
            </w:pPr>
            <w:r>
              <w:rPr>
                <w:rFonts w:ascii="Arial" w:cs="Arial" w:eastAsia="Arial" w:hAnsi="Arial"/>
                <w:sz w:val="18"/>
                <w:szCs w:val="18"/>
                <w:color w:val="auto"/>
              </w:rPr>
              <w:t>Consumer loan bad debt</w:t>
            </w:r>
          </w:p>
        </w:tc>
        <w:tc>
          <w:tcPr>
            <w:tcW w:w="2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14,074</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11,025</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27.7 %</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24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2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revenues</w:t>
            </w:r>
          </w:p>
        </w:tc>
        <w:tc>
          <w:tcPr>
            <w:tcW w:w="24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175,352</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154,028</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13.8 %</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Net income attributable to EZCORP</w:t>
            </w:r>
          </w:p>
        </w:tc>
        <w:tc>
          <w:tcPr>
            <w:tcW w:w="24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240" w:type="dxa"/>
            <w:vAlign w:val="bottom"/>
            <w:vMerge w:val="continue"/>
          </w:tcPr>
          <w:p>
            <w:pPr>
              <w:spacing w:after="0"/>
              <w:rPr>
                <w:sz w:val="19"/>
                <w:szCs w:val="19"/>
                <w:color w:val="auto"/>
              </w:rPr>
            </w:pPr>
          </w:p>
        </w:tc>
        <w:tc>
          <w:tcPr>
            <w:tcW w:w="27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30,717</w:t>
            </w:r>
          </w:p>
        </w:tc>
        <w:tc>
          <w:tcPr>
            <w:tcW w:w="12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39,352</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420" w:type="dxa"/>
            <w:vAlign w:val="bottom"/>
            <w:vMerge w:val="restart"/>
          </w:tcPr>
          <w:p>
            <w:pPr>
              <w:jc w:val="right"/>
              <w:ind w:right="770"/>
              <w:spacing w:after="0"/>
              <w:rPr>
                <w:sz w:val="20"/>
                <w:szCs w:val="20"/>
                <w:color w:val="auto"/>
              </w:rPr>
            </w:pPr>
            <w:r>
              <w:rPr>
                <w:rFonts w:ascii="Arial" w:cs="Arial" w:eastAsia="Arial" w:hAnsi="Arial"/>
                <w:sz w:val="18"/>
                <w:szCs w:val="18"/>
                <w:color w:val="auto"/>
              </w:rPr>
              <w:t>38</w:t>
            </w: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420" w:type="dxa"/>
            <w:vAlign w:val="bottom"/>
            <w:vMerge w:val="continue"/>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240" w:type="dxa"/>
            <w:vAlign w:val="bottom"/>
          </w:tcPr>
          <w:p>
            <w:pPr>
              <w:spacing w:after="0"/>
              <w:rPr>
                <w:sz w:val="24"/>
                <w:szCs w:val="24"/>
                <w:color w:val="auto"/>
              </w:rPr>
            </w:pPr>
          </w:p>
        </w:tc>
        <w:tc>
          <w:tcPr>
            <w:tcW w:w="24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40" w:name="page41"/>
    <w:bookmarkEnd w:id="4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Three Months Ended December 31, 2012 vs. Three Months Ended December 31, 2011</w:t>
      </w:r>
    </w:p>
    <w:p>
      <w:pPr>
        <w:spacing w:after="0" w:line="9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discussion compares our results of operations for the quarter ended December 31, 2012 to the quarter ended December 31, 2011. It should be read with the accompanying unaudited financial statements and related notes.</w:t>
      </w:r>
    </w:p>
    <w:p>
      <w:pPr>
        <w:spacing w:after="0" w:line="1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the current quarter, consolidated total revenues increased 11%, or $28.3 million, to $277.1 million, compared to the prior year quarter. The increase was primarily driven by a 10% increase in pawn service charges, a 44% increase in consumer loan fees and an 10% increase in merchandise sales, partially offset by a 19% decrease in jewelry scrapping sales. Other revenue increased $4.1 million in the current quarter compared to the prior year quarter. Net revenues of $175.4 million, increased $21.3 million, or 14%, and operations expense increased $24.7 million or 30%. Administrative expenses of $13.7 million increased $2.0 million, or 17%. After a $2.4 million increase in depreciation and amortization, a $3.1 million increase in net interest expense, a $3.7 million decrease in income tax expense and the $1.4 million in net income attributable to the noncontrolling interest, net income attributable to EZCORP decreased $8.6 million, or 22%, to $30.7 million.</w:t>
      </w: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60"/>
          </w:cols>
          <w:pgMar w:left="240" w:top="122" w:right="299" w:bottom="1440" w:gutter="0" w:footer="0" w:header="0"/>
        </w:sectPr>
      </w:pPr>
    </w:p>
    <w:bookmarkStart w:id="41" w:name="page42"/>
    <w:bookmarkEnd w:id="4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68"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U.S. &amp; Canada</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financial data for the U.S. &amp; Canada segment:</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411"/>
              <w:spacing w:after="0"/>
              <w:rPr>
                <w:sz w:val="20"/>
                <w:szCs w:val="20"/>
                <w:color w:val="auto"/>
              </w:rPr>
            </w:pPr>
            <w:r>
              <w:rPr>
                <w:rFonts w:ascii="Arial" w:cs="Arial" w:eastAsia="Arial" w:hAnsi="Arial"/>
                <w:sz w:val="14"/>
                <w:szCs w:val="14"/>
                <w:b w:val="1"/>
                <w:bCs w:val="1"/>
                <w:color w:val="auto"/>
              </w:rPr>
              <w:t>Three Months Ended December 31,</w:t>
            </w:r>
          </w:p>
        </w:tc>
      </w:tr>
      <w:tr>
        <w:trPr>
          <w:trHeight w:val="264"/>
        </w:trPr>
        <w:tc>
          <w:tcPr>
            <w:tcW w:w="82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2011</w:t>
            </w:r>
          </w:p>
        </w:tc>
      </w:tr>
      <w:tr>
        <w:trPr>
          <w:trHeight w:val="196"/>
        </w:trPr>
        <w:tc>
          <w:tcPr>
            <w:tcW w:w="8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60" w:type="dxa"/>
            <w:vAlign w:val="bottom"/>
            <w:gridSpan w:val="3"/>
          </w:tcPr>
          <w:p>
            <w:pPr>
              <w:jc w:val="right"/>
              <w:ind w:right="50"/>
              <w:spacing w:after="0"/>
              <w:rPr>
                <w:sz w:val="20"/>
                <w:szCs w:val="20"/>
                <w:color w:val="auto"/>
              </w:rPr>
            </w:pPr>
            <w:r>
              <w:rPr>
                <w:rFonts w:ascii="Arial" w:cs="Arial" w:eastAsia="Arial" w:hAnsi="Arial"/>
                <w:sz w:val="14"/>
                <w:szCs w:val="14"/>
                <w:i w:val="1"/>
                <w:iCs w:val="1"/>
                <w:color w:val="auto"/>
              </w:rPr>
              <w:t>(in thousands)</w:t>
            </w:r>
          </w:p>
        </w:tc>
        <w:tc>
          <w:tcPr>
            <w:tcW w:w="1040" w:type="dxa"/>
            <w:vAlign w:val="bottom"/>
          </w:tcPr>
          <w:p>
            <w:pPr>
              <w:spacing w:after="0"/>
              <w:rPr>
                <w:sz w:val="17"/>
                <w:szCs w:val="17"/>
                <w:color w:val="auto"/>
              </w:rPr>
            </w:pPr>
          </w:p>
        </w:tc>
      </w:tr>
      <w:tr>
        <w:trPr>
          <w:trHeight w:val="256"/>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r>
      <w:tr>
        <w:trPr>
          <w:trHeight w:val="243"/>
        </w:trPr>
        <w:tc>
          <w:tcPr>
            <w:tcW w:w="8200" w:type="dxa"/>
            <w:vAlign w:val="bottom"/>
          </w:tcPr>
          <w:p>
            <w:pPr>
              <w:ind w:left="380"/>
              <w:spacing w:after="0"/>
              <w:rPr>
                <w:sz w:val="20"/>
                <w:szCs w:val="20"/>
                <w:color w:val="auto"/>
              </w:rPr>
            </w:pPr>
            <w:r>
              <w:rPr>
                <w:rFonts w:ascii="Arial" w:cs="Arial" w:eastAsia="Arial" w:hAnsi="Arial"/>
                <w:sz w:val="18"/>
                <w:szCs w:val="18"/>
                <w:color w:val="auto"/>
              </w:rPr>
              <w:t>Merchandise sales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92"/>
              <w:spacing w:after="0"/>
              <w:rPr>
                <w:sz w:val="20"/>
                <w:szCs w:val="20"/>
                <w:color w:val="auto"/>
              </w:rPr>
            </w:pPr>
            <w:r>
              <w:rPr>
                <w:rFonts w:ascii="Arial" w:cs="Arial" w:eastAsia="Arial" w:hAnsi="Arial"/>
                <w:sz w:val="18"/>
                <w:szCs w:val="18"/>
                <w:color w:val="auto"/>
              </w:rPr>
              <w:t>80,465</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76,552</w:t>
            </w:r>
          </w:p>
        </w:tc>
      </w:tr>
      <w:tr>
        <w:trPr>
          <w:trHeight w:val="27"/>
        </w:trPr>
        <w:tc>
          <w:tcPr>
            <w:tcW w:w="8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Jewelry scrapping sales</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42,142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52,866</w:t>
            </w:r>
          </w:p>
        </w:tc>
      </w:tr>
      <w:tr>
        <w:trPr>
          <w:trHeight w:val="243"/>
        </w:trPr>
        <w:tc>
          <w:tcPr>
            <w:tcW w:w="8200" w:type="dxa"/>
            <w:vAlign w:val="bottom"/>
          </w:tcPr>
          <w:p>
            <w:pPr>
              <w:ind w:left="380"/>
              <w:spacing w:after="0"/>
              <w:rPr>
                <w:sz w:val="20"/>
                <w:szCs w:val="20"/>
                <w:color w:val="auto"/>
              </w:rPr>
            </w:pPr>
            <w:r>
              <w:rPr>
                <w:rFonts w:ascii="Arial" w:cs="Arial" w:eastAsia="Arial" w:hAnsi="Arial"/>
                <w:sz w:val="18"/>
                <w:szCs w:val="18"/>
                <w:color w:val="auto"/>
              </w:rPr>
              <w:t>Pawn service charges</w:t>
            </w:r>
          </w:p>
        </w:tc>
        <w:tc>
          <w:tcPr>
            <w:tcW w:w="320" w:type="dxa"/>
            <w:vAlign w:val="bottom"/>
          </w:tcPr>
          <w:p>
            <w:pPr>
              <w:spacing w:after="0"/>
              <w:rPr>
                <w:sz w:val="21"/>
                <w:szCs w:val="21"/>
                <w:color w:val="auto"/>
              </w:rPr>
            </w:pPr>
          </w:p>
        </w:tc>
        <w:tc>
          <w:tcPr>
            <w:tcW w:w="1240" w:type="dxa"/>
            <w:vAlign w:val="bottom"/>
          </w:tcPr>
          <w:p>
            <w:pPr>
              <w:jc w:val="right"/>
              <w:ind w:right="92"/>
              <w:spacing w:after="0"/>
              <w:rPr>
                <w:sz w:val="20"/>
                <w:szCs w:val="20"/>
                <w:color w:val="auto"/>
              </w:rPr>
            </w:pPr>
            <w:r>
              <w:rPr>
                <w:rFonts w:ascii="Arial" w:cs="Arial" w:eastAsia="Arial" w:hAnsi="Arial"/>
                <w:sz w:val="18"/>
                <w:szCs w:val="18"/>
                <w:color w:val="auto"/>
              </w:rPr>
              <w:t>58,210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54,370</w:t>
            </w:r>
          </w:p>
        </w:tc>
      </w:tr>
      <w:tr>
        <w:trPr>
          <w:trHeight w:val="27"/>
        </w:trPr>
        <w:tc>
          <w:tcPr>
            <w:tcW w:w="8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Consumer loan fees</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45,959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45,012</w:t>
            </w:r>
          </w:p>
        </w:tc>
      </w:tr>
      <w:tr>
        <w:trPr>
          <w:trHeight w:val="243"/>
        </w:trPr>
        <w:tc>
          <w:tcPr>
            <w:tcW w:w="8200" w:type="dxa"/>
            <w:vAlign w:val="bottom"/>
          </w:tcPr>
          <w:p>
            <w:pPr>
              <w:ind w:left="380"/>
              <w:spacing w:after="0"/>
              <w:rPr>
                <w:sz w:val="20"/>
                <w:szCs w:val="20"/>
                <w:color w:val="auto"/>
              </w:rPr>
            </w:pPr>
            <w:r>
              <w:rPr>
                <w:rFonts w:ascii="Arial" w:cs="Arial" w:eastAsia="Arial" w:hAnsi="Arial"/>
                <w:sz w:val="18"/>
                <w:szCs w:val="18"/>
                <w:color w:val="auto"/>
              </w:rPr>
              <w:t>Other revenues</w:t>
            </w:r>
          </w:p>
        </w:tc>
        <w:tc>
          <w:tcPr>
            <w:tcW w:w="320" w:type="dxa"/>
            <w:vAlign w:val="bottom"/>
          </w:tcPr>
          <w:p>
            <w:pPr>
              <w:spacing w:after="0"/>
              <w:rPr>
                <w:sz w:val="21"/>
                <w:szCs w:val="21"/>
                <w:color w:val="auto"/>
              </w:rPr>
            </w:pP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2,794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576</w:t>
            </w:r>
          </w:p>
        </w:tc>
      </w:tr>
      <w:tr>
        <w:trPr>
          <w:trHeight w:val="27"/>
        </w:trPr>
        <w:tc>
          <w:tcPr>
            <w:tcW w:w="8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2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revenues</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229,570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229,376</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Merchandise cost of goods sold</w:t>
            </w:r>
          </w:p>
        </w:tc>
        <w:tc>
          <w:tcPr>
            <w:tcW w:w="320" w:type="dxa"/>
            <w:vAlign w:val="bottom"/>
          </w:tcPr>
          <w:p>
            <w:pPr>
              <w:spacing w:after="0"/>
              <w:rPr>
                <w:sz w:val="21"/>
                <w:szCs w:val="21"/>
                <w:color w:val="auto"/>
              </w:rPr>
            </w:pPr>
          </w:p>
        </w:tc>
        <w:tc>
          <w:tcPr>
            <w:tcW w:w="1240" w:type="dxa"/>
            <w:vAlign w:val="bottom"/>
          </w:tcPr>
          <w:p>
            <w:pPr>
              <w:jc w:val="right"/>
              <w:ind w:right="92"/>
              <w:spacing w:after="0"/>
              <w:rPr>
                <w:sz w:val="20"/>
                <w:szCs w:val="20"/>
                <w:color w:val="auto"/>
              </w:rPr>
            </w:pPr>
            <w:r>
              <w:rPr>
                <w:rFonts w:ascii="Arial" w:cs="Arial" w:eastAsia="Arial" w:hAnsi="Arial"/>
                <w:sz w:val="18"/>
                <w:szCs w:val="18"/>
                <w:color w:val="auto"/>
              </w:rPr>
              <w:t>46,732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43,451</w:t>
            </w:r>
          </w:p>
        </w:tc>
      </w:tr>
      <w:tr>
        <w:trPr>
          <w:trHeight w:val="27"/>
        </w:trPr>
        <w:tc>
          <w:tcPr>
            <w:tcW w:w="8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Jewelry scrapping cost of goods sold</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29,157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33,150</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Consumer loan bad debt</w:t>
            </w:r>
          </w:p>
        </w:tc>
        <w:tc>
          <w:tcPr>
            <w:tcW w:w="320" w:type="dxa"/>
            <w:vAlign w:val="bottom"/>
          </w:tcPr>
          <w:p>
            <w:pPr>
              <w:spacing w:after="0"/>
              <w:rPr>
                <w:sz w:val="21"/>
                <w:szCs w:val="21"/>
                <w:color w:val="auto"/>
              </w:rPr>
            </w:pP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11,481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10,890</w:t>
            </w:r>
          </w:p>
        </w:tc>
      </w:tr>
      <w:tr>
        <w:trPr>
          <w:trHeight w:val="27"/>
        </w:trPr>
        <w:tc>
          <w:tcPr>
            <w:tcW w:w="8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2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Net revenues</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142,200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141,885</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Segment expenses:</w:t>
            </w:r>
          </w:p>
        </w:tc>
        <w:tc>
          <w:tcPr>
            <w:tcW w:w="3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87,443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74,994</w:t>
            </w:r>
          </w:p>
        </w:tc>
      </w:tr>
      <w:tr>
        <w:trPr>
          <w:trHeight w:val="243"/>
        </w:trPr>
        <w:tc>
          <w:tcPr>
            <w:tcW w:w="820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4,102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3,223</w:t>
            </w:r>
          </w:p>
        </w:tc>
      </w:tr>
      <w:tr>
        <w:trPr>
          <w:trHeight w:val="27"/>
        </w:trPr>
        <w:tc>
          <w:tcPr>
            <w:tcW w:w="8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 loss on sale or disposal of assets</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(200)</w:t>
            </w:r>
          </w:p>
        </w:tc>
      </w:tr>
      <w:tr>
        <w:trPr>
          <w:trHeight w:val="243"/>
        </w:trPr>
        <w:tc>
          <w:tcPr>
            <w:tcW w:w="820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21"/>
                <w:szCs w:val="21"/>
                <w:color w:val="auto"/>
              </w:rPr>
            </w:pP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4</w:t>
            </w:r>
          </w:p>
        </w:tc>
      </w:tr>
      <w:tr>
        <w:trPr>
          <w:trHeight w:val="27"/>
        </w:trPr>
        <w:tc>
          <w:tcPr>
            <w:tcW w:w="8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income</w:t>
            </w:r>
          </w:p>
        </w:tc>
        <w:tc>
          <w:tcPr>
            <w:tcW w:w="3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(1,060)</w:t>
            </w:r>
          </w:p>
        </w:tc>
      </w:tr>
      <w:tr>
        <w:trPr>
          <w:trHeight w:val="237"/>
        </w:trPr>
        <w:tc>
          <w:tcPr>
            <w:tcW w:w="8200" w:type="dxa"/>
            <w:vAlign w:val="bottom"/>
          </w:tcPr>
          <w:p>
            <w:pPr>
              <w:ind w:left="40"/>
              <w:spacing w:after="0"/>
              <w:rPr>
                <w:sz w:val="20"/>
                <w:szCs w:val="20"/>
                <w:color w:val="auto"/>
              </w:rPr>
            </w:pPr>
            <w:r>
              <w:rPr>
                <w:rFonts w:ascii="Arial" w:cs="Arial" w:eastAsia="Arial" w:hAnsi="Arial"/>
                <w:sz w:val="18"/>
                <w:szCs w:val="18"/>
                <w:color w:val="auto"/>
              </w:rPr>
              <w:t>Segment contribution</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50,613</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64,924</w:t>
            </w:r>
          </w:p>
        </w:tc>
      </w:tr>
      <w:tr>
        <w:trPr>
          <w:trHeight w:val="67"/>
        </w:trPr>
        <w:tc>
          <w:tcPr>
            <w:tcW w:w="82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r>
      <w:tr>
        <w:trPr>
          <w:trHeight w:val="231"/>
        </w:trPr>
        <w:tc>
          <w:tcPr>
            <w:tcW w:w="82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Other data:</w:t>
            </w:r>
          </w:p>
        </w:tc>
        <w:tc>
          <w:tcPr>
            <w:tcW w:w="3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43"/>
        </w:trPr>
        <w:tc>
          <w:tcPr>
            <w:tcW w:w="8200" w:type="dxa"/>
            <w:vAlign w:val="bottom"/>
          </w:tcPr>
          <w:p>
            <w:pPr>
              <w:ind w:left="380"/>
              <w:spacing w:after="0"/>
              <w:rPr>
                <w:sz w:val="20"/>
                <w:szCs w:val="20"/>
                <w:color w:val="auto"/>
              </w:rPr>
            </w:pPr>
            <w:r>
              <w:rPr>
                <w:rFonts w:ascii="Arial" w:cs="Arial" w:eastAsia="Arial" w:hAnsi="Arial"/>
                <w:sz w:val="18"/>
                <w:szCs w:val="18"/>
                <w:color w:val="auto"/>
              </w:rPr>
              <w:t>Gross margin on merchandise sales</w:t>
            </w: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41.9%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43.2%</w:t>
            </w:r>
          </w:p>
        </w:tc>
      </w:tr>
      <w:tr>
        <w:trPr>
          <w:trHeight w:val="27"/>
        </w:trPr>
        <w:tc>
          <w:tcPr>
            <w:tcW w:w="8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Gross margin on jewelry scrapping sales</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w:t>
            </w:r>
          </w:p>
        </w:tc>
      </w:tr>
      <w:tr>
        <w:trPr>
          <w:trHeight w:val="243"/>
        </w:trPr>
        <w:tc>
          <w:tcPr>
            <w:tcW w:w="8200" w:type="dxa"/>
            <w:vAlign w:val="bottom"/>
          </w:tcPr>
          <w:p>
            <w:pPr>
              <w:ind w:left="380"/>
              <w:spacing w:after="0"/>
              <w:rPr>
                <w:sz w:val="20"/>
                <w:szCs w:val="20"/>
                <w:color w:val="auto"/>
              </w:rPr>
            </w:pPr>
            <w:r>
              <w:rPr>
                <w:rFonts w:ascii="Arial" w:cs="Arial" w:eastAsia="Arial" w:hAnsi="Arial"/>
                <w:sz w:val="18"/>
                <w:szCs w:val="18"/>
                <w:color w:val="auto"/>
              </w:rPr>
              <w:t>Gross margin on total sales</w:t>
            </w: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40.8%</w:t>
            </w:r>
          </w:p>
        </w:tc>
      </w:tr>
      <w:tr>
        <w:trPr>
          <w:trHeight w:val="27"/>
        </w:trPr>
        <w:tc>
          <w:tcPr>
            <w:tcW w:w="8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Average pawn loan balance per pawn store at period end</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308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307</w:t>
            </w:r>
          </w:p>
        </w:tc>
      </w:tr>
      <w:tr>
        <w:trPr>
          <w:trHeight w:val="243"/>
        </w:trPr>
        <w:tc>
          <w:tcPr>
            <w:tcW w:w="8200" w:type="dxa"/>
            <w:vAlign w:val="bottom"/>
          </w:tcPr>
          <w:p>
            <w:pPr>
              <w:ind w:left="380"/>
              <w:spacing w:after="0"/>
              <w:rPr>
                <w:sz w:val="20"/>
                <w:szCs w:val="20"/>
                <w:color w:val="auto"/>
              </w:rPr>
            </w:pPr>
            <w:r>
              <w:rPr>
                <w:rFonts w:ascii="Arial" w:cs="Arial" w:eastAsia="Arial" w:hAnsi="Arial"/>
                <w:sz w:val="18"/>
                <w:szCs w:val="18"/>
                <w:color w:val="auto"/>
              </w:rPr>
              <w:t>Average yield on pawn loan portfolio (a)</w:t>
            </w: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158%</w:t>
            </w:r>
          </w:p>
        </w:tc>
      </w:tr>
      <w:tr>
        <w:trPr>
          <w:trHeight w:val="27"/>
        </w:trPr>
        <w:tc>
          <w:tcPr>
            <w:tcW w:w="8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Pawn loan redemption rate</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43"/>
        </w:trPr>
        <w:tc>
          <w:tcPr>
            <w:tcW w:w="8200" w:type="dxa"/>
            <w:vAlign w:val="bottom"/>
          </w:tcPr>
          <w:p>
            <w:pPr>
              <w:ind w:left="380"/>
              <w:spacing w:after="0"/>
              <w:rPr>
                <w:sz w:val="20"/>
                <w:szCs w:val="20"/>
                <w:color w:val="auto"/>
              </w:rPr>
            </w:pPr>
            <w:r>
              <w:rPr>
                <w:rFonts w:ascii="Arial" w:cs="Arial" w:eastAsia="Arial" w:hAnsi="Arial"/>
                <w:sz w:val="18"/>
                <w:szCs w:val="18"/>
                <w:color w:val="auto"/>
              </w:rPr>
              <w:t>Consumer loan bad debt as a percentage of consumer loan fees</w:t>
            </w: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24.2%</w:t>
            </w:r>
          </w:p>
        </w:tc>
      </w:tr>
    </w:tbl>
    <w:p>
      <w:pPr>
        <w:spacing w:after="0" w:line="229" w:lineRule="exact"/>
        <w:rPr>
          <w:sz w:val="20"/>
          <w:szCs w:val="20"/>
          <w:color w:val="auto"/>
        </w:rPr>
      </w:pPr>
    </w:p>
    <w:p>
      <w:pPr>
        <w:ind w:left="340" w:right="200" w:hanging="332"/>
        <w:spacing w:after="0" w:line="277"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Average yield on pawn loan portfolio is calculated as pawn service charge revenues for the period divided by the average pawn loan balance during the period.</w:t>
      </w:r>
    </w:p>
    <w:p>
      <w:pPr>
        <w:spacing w:after="0" w:line="170"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U.S. &amp; Canada segment total revenues stayed relatively constant compared to the prior year quarter at $229.6 million. Same store total revenues decreased $13.3 million, or 6%, and new and acquired stores net of closed stores contributed $13.5 million. In the current quarter, we acquired 12 pawn stores in the U.S. for $23.1 million and Go Cash, a U.S. online lender for $50.7 million. As part of these acquisitions, we began store operations in the state of Arizona and online operations in the state of Ohio, bringing the total number of states in which we operate to 26 at December 31, 2012. In the current quarter we opened 51 de novo locations bringing our total number of stores in the U.S. &amp; Canada to 1,050, an 11% increase over the prior year quarter.</w:t>
      </w:r>
    </w:p>
    <w:p>
      <w:pPr>
        <w:spacing w:after="0" w:line="104"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Our current quarter pawn service charge revenue increased 7%, or $3.8 million, from the prior year quarter to $58.2 million. The overall increase was due to a higher average loan balance for the period, $147.1 million at quarter end, a 5% increase in total and 1% decrease on a same store basis. Same store pawn service charges increased $2.1 million, or 4%, with new and acquired stores net of closed stores contributing $1.7 million. The same store improvement was due to a 5 percentage point improvement in yield, driven primarily by rate increases in Nevada and operational improvements in Texas.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2" w:right="239" w:bottom="1440" w:gutter="0" w:footer="0" w:header="0"/>
        </w:sectPr>
      </w:pPr>
    </w:p>
    <w:bookmarkStart w:id="42" w:name="page43"/>
    <w:bookmarkEnd w:id="4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ind w:right="120"/>
        <w:spacing w:after="0" w:line="312" w:lineRule="auto"/>
        <w:rPr>
          <w:sz w:val="20"/>
          <w:szCs w:val="20"/>
          <w:color w:val="auto"/>
        </w:rPr>
      </w:pPr>
      <w:r>
        <w:rPr>
          <w:rFonts w:ascii="Arial" w:cs="Arial" w:eastAsia="Arial" w:hAnsi="Arial"/>
          <w:sz w:val="16"/>
          <w:szCs w:val="16"/>
          <w:color w:val="auto"/>
        </w:rPr>
        <w:t>The current quarter merchandise sales gross profit increased $0.6 million, or 2%, from the prior year quarter to $33.7 million. Same store merchandise sales were flat and new and acquired stores net of closed stores contributed $3.8 million. The 1.3 percentage point decrease in gross margin was due to a one-time inventory reserve adjustment in the prior year quarter. Excluding the effect of that adjustment, gross margin increased 1.4 percentage points.</w:t>
      </w:r>
    </w:p>
    <w:p>
      <w:pPr>
        <w:spacing w:after="0" w:line="93"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Gross profit on jewelry scrapping sales decreased $6.7 million, or 34%, from the prior year quarter to $13.0 million. Jewelry scrapping revenues decreased $10.7 million, or 20%, due to a 28% decrease in gold volume partially offset by a 5% increase in proceeds realized per gram of gold jewelry scrapped. Same store jewelry scrapping sales decreased $13.4 million, or 25%, and new and acquired stores contributed $2.7 million. Jewelry scrapping sales include the sale of approximately $3.3 million of loose diamonds removed from scrap jewelry in the current quarter and $1.7 million in the prior year quarter. Scrap cost of goods decreased $4.0 million, or 12%, as a result of the decrease in volume, partially offset by a 16% increase average cost per gram of jewelry scrapped. The decrease in scrap sales and increase in cost is a function of a very competitive marketplace and our intention to gain market share.</w:t>
      </w:r>
    </w:p>
    <w:p>
      <w:pPr>
        <w:spacing w:after="0" w:line="11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current quarter’s consumer loan fees increased $0.9 million, or 2% to $46.0 million, over the prior year quarter. Consumer loan bad debt as a percentage of fees was 25% in the current quarter compared to 24% in the prior year quarter, mostly due to the higher mix of new stores. In the current quarter, the profitability of the financial services business was negatively impacted as a result of ordinances enacted in Dallas and Austin. Other Texas cities have adopted or are considering lending ordinances. We are actively supporting the enactment of consistent statewide regulation and expect the Texas Legislature to consider such a measure in the near future.</w:t>
      </w:r>
    </w:p>
    <w:p>
      <w:pPr>
        <w:spacing w:after="0" w:line="134" w:lineRule="exact"/>
        <w:rPr>
          <w:sz w:val="20"/>
          <w:szCs w:val="20"/>
          <w:color w:val="auto"/>
        </w:rPr>
      </w:pPr>
    </w:p>
    <w:p>
      <w:pPr>
        <w:jc w:val="both"/>
        <w:ind w:right="320"/>
        <w:spacing w:after="0" w:line="286" w:lineRule="auto"/>
        <w:rPr>
          <w:sz w:val="20"/>
          <w:szCs w:val="20"/>
          <w:color w:val="auto"/>
        </w:rPr>
      </w:pPr>
      <w:r>
        <w:rPr>
          <w:rFonts w:ascii="Arial" w:cs="Arial" w:eastAsia="Arial" w:hAnsi="Arial"/>
          <w:sz w:val="17"/>
          <w:szCs w:val="17"/>
          <w:color w:val="auto"/>
        </w:rPr>
        <w:t>The current quarter's other revenues increased $2.2 million, over the prior year quarter to $2.8 million. The increase is mainly due to $2.2 million of fees related to the Western Union agreement. In the current quarter we began offering Western Union money transfer, money order and consumer bill payment services at certain locations and expect to expand to all stores in the U.S. and Canada during the remaining of fiscal 2013.</w:t>
      </w:r>
    </w:p>
    <w:p>
      <w:pPr>
        <w:spacing w:after="0" w:line="11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Operations expense increased to $87.4 million (38% of revenues) in the current quarter from $75.0 million (33% of revenues) in the prior year quarter. The increase is due to higher operating costs resulting from new and acquired stores, as well as the costs associated with various business unit growth initiatives, which were recorded as operations expense. Depreciation and amortization increased 27%, or $0.9 million, from the prior year quarter to $4.1 million, mainly due to assets placed in service at new and acquired stores. The $1.1 million decrease in other income is due to a prior year gain on a gold hedging instrument.</w:t>
      </w:r>
    </w:p>
    <w:p>
      <w:pPr>
        <w:spacing w:after="0" w:line="100"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In the current quarter, U.S. &amp; Canada delivered a segment contribution of $50.6 million, a $14.3 million decrease compared to the prior year quarter, driven by the challenges related to jewelry merchandise sales and gold scrap sales. In the current quarter, the U.S. &amp; Canada segment's contribution represents 78% of consolidated segment contribution compared to 89% in the prior year. Our expansion outside of the U.S. &amp; Canada segment, both through de novo and acquisitions, continues to diversify the revenues and earnings composition of EZCORP. While the U.S. &amp; Canada segment has experienced some challenges related to jewelry merchandise sales and gold scrap sales, the core elements of our business have continued to show strength. We believe that our year over year contribution performance will improve each quarter and that we will return to contribution growth in the second half of fiscal 2013.</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122" w:right="259" w:bottom="1440" w:gutter="0" w:footer="0" w:header="0"/>
        </w:sectPr>
      </w:pPr>
    </w:p>
    <w:bookmarkStart w:id="43" w:name="page44"/>
    <w:bookmarkEnd w:id="4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Latin America</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presents selected financial data for the Latin America segment after translation to U.S. dollars from its functional currency of the Mexican peso:</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431"/>
              <w:spacing w:after="0"/>
              <w:rPr>
                <w:sz w:val="20"/>
                <w:szCs w:val="20"/>
                <w:color w:val="auto"/>
              </w:rPr>
            </w:pPr>
            <w:r>
              <w:rPr>
                <w:rFonts w:ascii="Arial" w:cs="Arial" w:eastAsia="Arial" w:hAnsi="Arial"/>
                <w:sz w:val="14"/>
                <w:szCs w:val="14"/>
                <w:b w:val="1"/>
                <w:bCs w:val="1"/>
                <w:color w:val="auto"/>
              </w:rPr>
              <w:t>Three Months Ended December 31,</w:t>
            </w:r>
          </w:p>
        </w:tc>
      </w:tr>
      <w:tr>
        <w:trPr>
          <w:trHeight w:val="264"/>
        </w:trPr>
        <w:tc>
          <w:tcPr>
            <w:tcW w:w="81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2011</w:t>
            </w:r>
          </w:p>
        </w:tc>
      </w:tr>
      <w:tr>
        <w:trPr>
          <w:trHeight w:val="196"/>
        </w:trPr>
        <w:tc>
          <w:tcPr>
            <w:tcW w:w="8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60" w:type="dxa"/>
            <w:vAlign w:val="bottom"/>
            <w:gridSpan w:val="3"/>
          </w:tcPr>
          <w:p>
            <w:pPr>
              <w:jc w:val="right"/>
              <w:ind w:right="50"/>
              <w:spacing w:after="0"/>
              <w:rPr>
                <w:sz w:val="20"/>
                <w:szCs w:val="20"/>
                <w:color w:val="auto"/>
              </w:rPr>
            </w:pPr>
            <w:r>
              <w:rPr>
                <w:rFonts w:ascii="Arial" w:cs="Arial" w:eastAsia="Arial" w:hAnsi="Arial"/>
                <w:sz w:val="14"/>
                <w:szCs w:val="14"/>
                <w:i w:val="1"/>
                <w:iCs w:val="1"/>
                <w:color w:val="auto"/>
              </w:rPr>
              <w:t>(in thousands)</w:t>
            </w:r>
          </w:p>
        </w:tc>
        <w:tc>
          <w:tcPr>
            <w:tcW w:w="1060" w:type="dxa"/>
            <w:vAlign w:val="bottom"/>
          </w:tcPr>
          <w:p>
            <w:pPr>
              <w:spacing w:after="0"/>
              <w:rPr>
                <w:sz w:val="17"/>
                <w:szCs w:val="17"/>
                <w:color w:val="auto"/>
              </w:rPr>
            </w:pPr>
          </w:p>
        </w:tc>
      </w:tr>
      <w:tr>
        <w:trPr>
          <w:trHeight w:val="256"/>
        </w:trPr>
        <w:tc>
          <w:tcPr>
            <w:tcW w:w="8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r>
      <w:tr>
        <w:trPr>
          <w:trHeight w:val="243"/>
        </w:trPr>
        <w:tc>
          <w:tcPr>
            <w:tcW w:w="8180" w:type="dxa"/>
            <w:vAlign w:val="bottom"/>
          </w:tcPr>
          <w:p>
            <w:pPr>
              <w:ind w:left="380"/>
              <w:spacing w:after="0"/>
              <w:rPr>
                <w:sz w:val="20"/>
                <w:szCs w:val="20"/>
                <w:color w:val="auto"/>
              </w:rPr>
            </w:pPr>
            <w:r>
              <w:rPr>
                <w:rFonts w:ascii="Arial" w:cs="Arial" w:eastAsia="Arial" w:hAnsi="Arial"/>
                <w:sz w:val="18"/>
                <w:szCs w:val="18"/>
                <w:color w:val="auto"/>
              </w:rPr>
              <w:t>Merchandise sales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72"/>
              <w:spacing w:after="0"/>
              <w:rPr>
                <w:sz w:val="20"/>
                <w:szCs w:val="20"/>
                <w:color w:val="auto"/>
              </w:rPr>
            </w:pPr>
            <w:r>
              <w:rPr>
                <w:rFonts w:ascii="Arial" w:cs="Arial" w:eastAsia="Arial" w:hAnsi="Arial"/>
                <w:sz w:val="18"/>
                <w:szCs w:val="18"/>
                <w:color w:val="auto"/>
              </w:rPr>
              <w:t>15,117</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10,342</w:t>
            </w:r>
          </w:p>
        </w:tc>
      </w:tr>
      <w:tr>
        <w:trPr>
          <w:trHeight w:val="27"/>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Jewelry scrapping sales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3,783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3,537</w:t>
            </w:r>
          </w:p>
        </w:tc>
      </w:tr>
      <w:tr>
        <w:trPr>
          <w:trHeight w:val="243"/>
        </w:trPr>
        <w:tc>
          <w:tcPr>
            <w:tcW w:w="8180" w:type="dxa"/>
            <w:vAlign w:val="bottom"/>
          </w:tcPr>
          <w:p>
            <w:pPr>
              <w:ind w:left="380"/>
              <w:spacing w:after="0"/>
              <w:rPr>
                <w:sz w:val="20"/>
                <w:szCs w:val="20"/>
                <w:color w:val="auto"/>
              </w:rPr>
            </w:pPr>
            <w:r>
              <w:rPr>
                <w:rFonts w:ascii="Arial" w:cs="Arial" w:eastAsia="Arial" w:hAnsi="Arial"/>
                <w:sz w:val="18"/>
                <w:szCs w:val="18"/>
                <w:color w:val="auto"/>
              </w:rPr>
              <w:t>Pawn service charges</w:t>
            </w:r>
          </w:p>
        </w:tc>
        <w:tc>
          <w:tcPr>
            <w:tcW w:w="320" w:type="dxa"/>
            <w:vAlign w:val="bottom"/>
          </w:tcPr>
          <w:p>
            <w:pPr>
              <w:spacing w:after="0"/>
              <w:rPr>
                <w:sz w:val="21"/>
                <w:szCs w:val="21"/>
                <w:color w:val="auto"/>
              </w:rPr>
            </w:pPr>
          </w:p>
        </w:tc>
        <w:tc>
          <w:tcPr>
            <w:tcW w:w="1280" w:type="dxa"/>
            <w:vAlign w:val="bottom"/>
          </w:tcPr>
          <w:p>
            <w:pPr>
              <w:jc w:val="right"/>
              <w:ind w:right="172"/>
              <w:spacing w:after="0"/>
              <w:rPr>
                <w:sz w:val="20"/>
                <w:szCs w:val="20"/>
                <w:color w:val="auto"/>
              </w:rPr>
            </w:pPr>
            <w:r>
              <w:rPr>
                <w:rFonts w:ascii="Arial" w:cs="Arial" w:eastAsia="Arial" w:hAnsi="Arial"/>
                <w:sz w:val="18"/>
                <w:szCs w:val="18"/>
                <w:color w:val="auto"/>
              </w:rPr>
              <w:t>7,814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5,422</w:t>
            </w:r>
          </w:p>
        </w:tc>
      </w:tr>
      <w:tr>
        <w:trPr>
          <w:trHeight w:val="27"/>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Consumer loan fees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11,877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r>
      <w:tr>
        <w:trPr>
          <w:trHeight w:val="243"/>
        </w:trPr>
        <w:tc>
          <w:tcPr>
            <w:tcW w:w="8180" w:type="dxa"/>
            <w:vAlign w:val="bottom"/>
          </w:tcPr>
          <w:p>
            <w:pPr>
              <w:ind w:left="380"/>
              <w:spacing w:after="0"/>
              <w:rPr>
                <w:sz w:val="20"/>
                <w:szCs w:val="20"/>
                <w:color w:val="auto"/>
              </w:rPr>
            </w:pPr>
            <w:r>
              <w:rPr>
                <w:rFonts w:ascii="Arial" w:cs="Arial" w:eastAsia="Arial" w:hAnsi="Arial"/>
                <w:sz w:val="18"/>
                <w:szCs w:val="18"/>
                <w:color w:val="auto"/>
              </w:rPr>
              <w:t>Other revenues</w:t>
            </w:r>
          </w:p>
        </w:tc>
        <w:tc>
          <w:tcPr>
            <w:tcW w:w="320" w:type="dxa"/>
            <w:vAlign w:val="bottom"/>
          </w:tcPr>
          <w:p>
            <w:pPr>
              <w:spacing w:after="0"/>
              <w:rPr>
                <w:sz w:val="21"/>
                <w:szCs w:val="21"/>
                <w:color w:val="auto"/>
              </w:rPr>
            </w:pPr>
          </w:p>
        </w:tc>
        <w:tc>
          <w:tcPr>
            <w:tcW w:w="1280" w:type="dxa"/>
            <w:vAlign w:val="bottom"/>
          </w:tcPr>
          <w:p>
            <w:pPr>
              <w:jc w:val="right"/>
              <w:ind w:right="172"/>
              <w:spacing w:after="0"/>
              <w:rPr>
                <w:sz w:val="20"/>
                <w:szCs w:val="20"/>
                <w:color w:val="auto"/>
              </w:rPr>
            </w:pPr>
            <w:r>
              <w:rPr>
                <w:rFonts w:ascii="Arial" w:cs="Arial" w:eastAsia="Arial" w:hAnsi="Arial"/>
                <w:sz w:val="18"/>
                <w:szCs w:val="18"/>
                <w:color w:val="auto"/>
              </w:rPr>
              <w:t>1,654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120</w:t>
            </w:r>
          </w:p>
        </w:tc>
      </w:tr>
      <w:tr>
        <w:trPr>
          <w:trHeight w:val="27"/>
        </w:trPr>
        <w:tc>
          <w:tcPr>
            <w:tcW w:w="81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1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revenues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40,245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19,421</w:t>
            </w:r>
          </w:p>
        </w:tc>
      </w:tr>
      <w:tr>
        <w:trPr>
          <w:trHeight w:val="243"/>
        </w:trPr>
        <w:tc>
          <w:tcPr>
            <w:tcW w:w="8180" w:type="dxa"/>
            <w:vAlign w:val="bottom"/>
          </w:tcPr>
          <w:p>
            <w:pPr>
              <w:ind w:left="40"/>
              <w:spacing w:after="0"/>
              <w:rPr>
                <w:sz w:val="20"/>
                <w:szCs w:val="20"/>
                <w:color w:val="auto"/>
              </w:rPr>
            </w:pPr>
            <w:r>
              <w:rPr>
                <w:rFonts w:ascii="Arial" w:cs="Arial" w:eastAsia="Arial" w:hAnsi="Arial"/>
                <w:sz w:val="18"/>
                <w:szCs w:val="18"/>
                <w:color w:val="auto"/>
              </w:rPr>
              <w:t>Merchandise cost of goods sold</w:t>
            </w:r>
          </w:p>
        </w:tc>
        <w:tc>
          <w:tcPr>
            <w:tcW w:w="320" w:type="dxa"/>
            <w:vAlign w:val="bottom"/>
          </w:tcPr>
          <w:p>
            <w:pPr>
              <w:spacing w:after="0"/>
              <w:rPr>
                <w:sz w:val="21"/>
                <w:szCs w:val="21"/>
                <w:color w:val="auto"/>
              </w:rPr>
            </w:pPr>
          </w:p>
        </w:tc>
        <w:tc>
          <w:tcPr>
            <w:tcW w:w="1280" w:type="dxa"/>
            <w:vAlign w:val="bottom"/>
          </w:tcPr>
          <w:p>
            <w:pPr>
              <w:jc w:val="right"/>
              <w:ind w:right="172"/>
              <w:spacing w:after="0"/>
              <w:rPr>
                <w:sz w:val="20"/>
                <w:szCs w:val="20"/>
                <w:color w:val="auto"/>
              </w:rPr>
            </w:pPr>
            <w:r>
              <w:rPr>
                <w:rFonts w:ascii="Arial" w:cs="Arial" w:eastAsia="Arial" w:hAnsi="Arial"/>
                <w:sz w:val="18"/>
                <w:szCs w:val="18"/>
                <w:color w:val="auto"/>
              </w:rPr>
              <w:t>8,769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4,945</w:t>
            </w:r>
          </w:p>
        </w:tc>
      </w:tr>
      <w:tr>
        <w:trPr>
          <w:trHeight w:val="27"/>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Jewelry scrapping cost of goods sold</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3,042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2,274</w:t>
            </w:r>
          </w:p>
        </w:tc>
      </w:tr>
      <w:tr>
        <w:trPr>
          <w:trHeight w:val="243"/>
        </w:trPr>
        <w:tc>
          <w:tcPr>
            <w:tcW w:w="8180" w:type="dxa"/>
            <w:vAlign w:val="bottom"/>
          </w:tcPr>
          <w:p>
            <w:pPr>
              <w:ind w:left="40"/>
              <w:spacing w:after="0"/>
              <w:rPr>
                <w:sz w:val="20"/>
                <w:szCs w:val="20"/>
                <w:color w:val="auto"/>
              </w:rPr>
            </w:pPr>
            <w:r>
              <w:rPr>
                <w:rFonts w:ascii="Arial" w:cs="Arial" w:eastAsia="Arial" w:hAnsi="Arial"/>
                <w:sz w:val="18"/>
                <w:szCs w:val="18"/>
                <w:color w:val="auto"/>
              </w:rPr>
              <w:t>Consumer loan bad debt</w:t>
            </w:r>
          </w:p>
        </w:tc>
        <w:tc>
          <w:tcPr>
            <w:tcW w:w="320" w:type="dxa"/>
            <w:vAlign w:val="bottom"/>
          </w:tcPr>
          <w:p>
            <w:pPr>
              <w:spacing w:after="0"/>
              <w:rPr>
                <w:sz w:val="21"/>
                <w:szCs w:val="21"/>
                <w:color w:val="auto"/>
              </w:rPr>
            </w:pPr>
          </w:p>
        </w:tc>
        <w:tc>
          <w:tcPr>
            <w:tcW w:w="1280" w:type="dxa"/>
            <w:vAlign w:val="bottom"/>
          </w:tcPr>
          <w:p>
            <w:pPr>
              <w:jc w:val="right"/>
              <w:ind w:right="112"/>
              <w:spacing w:after="0"/>
              <w:rPr>
                <w:sz w:val="20"/>
                <w:szCs w:val="20"/>
                <w:color w:val="auto"/>
              </w:rPr>
            </w:pPr>
            <w:r>
              <w:rPr>
                <w:rFonts w:ascii="Arial" w:cs="Arial" w:eastAsia="Arial" w:hAnsi="Arial"/>
                <w:sz w:val="18"/>
                <w:szCs w:val="18"/>
                <w:color w:val="auto"/>
              </w:rPr>
              <w:t>(1,048)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w:t>
            </w:r>
          </w:p>
        </w:tc>
      </w:tr>
      <w:tr>
        <w:trPr>
          <w:trHeight w:val="27"/>
        </w:trPr>
        <w:tc>
          <w:tcPr>
            <w:tcW w:w="81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1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revenues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29,482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12,202</w:t>
            </w:r>
          </w:p>
        </w:tc>
      </w:tr>
      <w:tr>
        <w:trPr>
          <w:trHeight w:val="243"/>
        </w:trPr>
        <w:tc>
          <w:tcPr>
            <w:tcW w:w="8180" w:type="dxa"/>
            <w:vAlign w:val="bottom"/>
          </w:tcPr>
          <w:p>
            <w:pPr>
              <w:ind w:left="40"/>
              <w:spacing w:after="0"/>
              <w:rPr>
                <w:sz w:val="20"/>
                <w:szCs w:val="20"/>
                <w:color w:val="auto"/>
              </w:rPr>
            </w:pPr>
            <w:r>
              <w:rPr>
                <w:rFonts w:ascii="Arial" w:cs="Arial" w:eastAsia="Arial" w:hAnsi="Arial"/>
                <w:sz w:val="18"/>
                <w:szCs w:val="18"/>
                <w:color w:val="auto"/>
              </w:rPr>
              <w:t>Segment expenses:</w:t>
            </w: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15,741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6,966</w:t>
            </w:r>
          </w:p>
        </w:tc>
      </w:tr>
      <w:tr>
        <w:trPr>
          <w:trHeight w:val="243"/>
        </w:trPr>
        <w:tc>
          <w:tcPr>
            <w:tcW w:w="818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1280" w:type="dxa"/>
            <w:vAlign w:val="bottom"/>
          </w:tcPr>
          <w:p>
            <w:pPr>
              <w:jc w:val="right"/>
              <w:ind w:right="172"/>
              <w:spacing w:after="0"/>
              <w:rPr>
                <w:sz w:val="20"/>
                <w:szCs w:val="20"/>
                <w:color w:val="auto"/>
              </w:rPr>
            </w:pPr>
            <w:r>
              <w:rPr>
                <w:rFonts w:ascii="Arial" w:cs="Arial" w:eastAsia="Arial" w:hAnsi="Arial"/>
                <w:sz w:val="18"/>
                <w:szCs w:val="18"/>
                <w:color w:val="auto"/>
              </w:rPr>
              <w:t>1,675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770</w:t>
            </w:r>
          </w:p>
        </w:tc>
      </w:tr>
      <w:tr>
        <w:trPr>
          <w:trHeight w:val="27"/>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 on sale or disposal of assets</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r>
      <w:tr>
        <w:trPr>
          <w:trHeight w:val="243"/>
        </w:trPr>
        <w:tc>
          <w:tcPr>
            <w:tcW w:w="8180" w:type="dxa"/>
            <w:vAlign w:val="bottom"/>
          </w:tcPr>
          <w:p>
            <w:pPr>
              <w:ind w:left="380"/>
              <w:spacing w:after="0"/>
              <w:rPr>
                <w:sz w:val="20"/>
                <w:szCs w:val="20"/>
                <w:color w:val="auto"/>
              </w:rPr>
            </w:pPr>
            <w:r>
              <w:rPr>
                <w:rFonts w:ascii="Arial" w:cs="Arial" w:eastAsia="Arial" w:hAnsi="Arial"/>
                <w:sz w:val="18"/>
                <w:szCs w:val="18"/>
                <w:color w:val="auto"/>
              </w:rPr>
              <w:t>Interest (income) expense</w:t>
            </w:r>
          </w:p>
        </w:tc>
        <w:tc>
          <w:tcPr>
            <w:tcW w:w="320" w:type="dxa"/>
            <w:vAlign w:val="bottom"/>
          </w:tcPr>
          <w:p>
            <w:pPr>
              <w:spacing w:after="0"/>
              <w:rPr>
                <w:sz w:val="21"/>
                <w:szCs w:val="21"/>
                <w:color w:val="auto"/>
              </w:rPr>
            </w:pPr>
          </w:p>
        </w:tc>
        <w:tc>
          <w:tcPr>
            <w:tcW w:w="1280" w:type="dxa"/>
            <w:vAlign w:val="bottom"/>
          </w:tcPr>
          <w:p>
            <w:pPr>
              <w:jc w:val="right"/>
              <w:ind w:right="172"/>
              <w:spacing w:after="0"/>
              <w:rPr>
                <w:sz w:val="20"/>
                <w:szCs w:val="20"/>
                <w:color w:val="auto"/>
              </w:rPr>
            </w:pPr>
            <w:r>
              <w:rPr>
                <w:rFonts w:ascii="Arial" w:cs="Arial" w:eastAsia="Arial" w:hAnsi="Arial"/>
                <w:sz w:val="18"/>
                <w:szCs w:val="18"/>
                <w:color w:val="auto"/>
              </w:rPr>
              <w:t>2,613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(36)</w:t>
            </w:r>
          </w:p>
        </w:tc>
      </w:tr>
      <w:tr>
        <w:trPr>
          <w:trHeight w:val="27"/>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w:t>
            </w:r>
          </w:p>
        </w:tc>
      </w:tr>
      <w:tr>
        <w:trPr>
          <w:trHeight w:val="237"/>
        </w:trPr>
        <w:tc>
          <w:tcPr>
            <w:tcW w:w="8180" w:type="dxa"/>
            <w:vAlign w:val="bottom"/>
          </w:tcPr>
          <w:p>
            <w:pPr>
              <w:ind w:left="40"/>
              <w:spacing w:after="0"/>
              <w:rPr>
                <w:sz w:val="20"/>
                <w:szCs w:val="20"/>
                <w:color w:val="auto"/>
              </w:rPr>
            </w:pPr>
            <w:r>
              <w:rPr>
                <w:rFonts w:ascii="Arial" w:cs="Arial" w:eastAsia="Arial" w:hAnsi="Arial"/>
                <w:sz w:val="18"/>
                <w:szCs w:val="18"/>
                <w:color w:val="auto"/>
              </w:rPr>
              <w:t>Segment contribution</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72"/>
              <w:spacing w:after="0"/>
              <w:rPr>
                <w:sz w:val="20"/>
                <w:szCs w:val="20"/>
                <w:color w:val="auto"/>
              </w:rPr>
            </w:pPr>
            <w:r>
              <w:rPr>
                <w:rFonts w:ascii="Arial" w:cs="Arial" w:eastAsia="Arial" w:hAnsi="Arial"/>
                <w:sz w:val="18"/>
                <w:szCs w:val="18"/>
                <w:color w:val="auto"/>
              </w:rPr>
              <w:t>9,433</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4,500</w:t>
            </w:r>
          </w:p>
        </w:tc>
      </w:tr>
      <w:tr>
        <w:trPr>
          <w:trHeight w:val="67"/>
        </w:trPr>
        <w:tc>
          <w:tcPr>
            <w:tcW w:w="818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231"/>
        </w:trPr>
        <w:tc>
          <w:tcPr>
            <w:tcW w:w="81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Other data:</w:t>
            </w:r>
          </w:p>
        </w:tc>
        <w:tc>
          <w:tcPr>
            <w:tcW w:w="3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43"/>
        </w:trPr>
        <w:tc>
          <w:tcPr>
            <w:tcW w:w="8180" w:type="dxa"/>
            <w:vAlign w:val="bottom"/>
          </w:tcPr>
          <w:p>
            <w:pPr>
              <w:ind w:left="380"/>
              <w:spacing w:after="0"/>
              <w:rPr>
                <w:sz w:val="20"/>
                <w:szCs w:val="20"/>
                <w:color w:val="auto"/>
              </w:rPr>
            </w:pPr>
            <w:r>
              <w:rPr>
                <w:rFonts w:ascii="Arial" w:cs="Arial" w:eastAsia="Arial" w:hAnsi="Arial"/>
                <w:sz w:val="18"/>
                <w:szCs w:val="18"/>
                <w:color w:val="auto"/>
              </w:rPr>
              <w:t>Gross margin on merchandise sales</w:t>
            </w: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42.0 %</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52.2%</w:t>
            </w:r>
          </w:p>
        </w:tc>
      </w:tr>
      <w:tr>
        <w:trPr>
          <w:trHeight w:val="27"/>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Gross margin on jewelry scrapping sales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19.6 %</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w:t>
            </w:r>
          </w:p>
        </w:tc>
      </w:tr>
      <w:tr>
        <w:trPr>
          <w:trHeight w:val="243"/>
        </w:trPr>
        <w:tc>
          <w:tcPr>
            <w:tcW w:w="8180" w:type="dxa"/>
            <w:vAlign w:val="bottom"/>
          </w:tcPr>
          <w:p>
            <w:pPr>
              <w:ind w:left="380"/>
              <w:spacing w:after="0"/>
              <w:rPr>
                <w:sz w:val="20"/>
                <w:szCs w:val="20"/>
                <w:color w:val="auto"/>
              </w:rPr>
            </w:pPr>
            <w:r>
              <w:rPr>
                <w:rFonts w:ascii="Arial" w:cs="Arial" w:eastAsia="Arial" w:hAnsi="Arial"/>
                <w:sz w:val="18"/>
                <w:szCs w:val="18"/>
                <w:color w:val="auto"/>
              </w:rPr>
              <w:t>Gross margin on total sales</w:t>
            </w: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37.5 %</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48.0%</w:t>
            </w:r>
          </w:p>
        </w:tc>
      </w:tr>
      <w:tr>
        <w:trPr>
          <w:trHeight w:val="27"/>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Average pawn loan balance per pawn store at period end</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50</w:t>
            </w:r>
          </w:p>
        </w:tc>
      </w:tr>
      <w:tr>
        <w:trPr>
          <w:trHeight w:val="243"/>
        </w:trPr>
        <w:tc>
          <w:tcPr>
            <w:tcW w:w="8180" w:type="dxa"/>
            <w:vAlign w:val="bottom"/>
          </w:tcPr>
          <w:p>
            <w:pPr>
              <w:ind w:left="380"/>
              <w:spacing w:after="0"/>
              <w:rPr>
                <w:sz w:val="20"/>
                <w:szCs w:val="20"/>
                <w:color w:val="auto"/>
              </w:rPr>
            </w:pPr>
            <w:r>
              <w:rPr>
                <w:rFonts w:ascii="Arial" w:cs="Arial" w:eastAsia="Arial" w:hAnsi="Arial"/>
                <w:sz w:val="18"/>
                <w:szCs w:val="18"/>
                <w:color w:val="auto"/>
              </w:rPr>
              <w:t>Average yield on pawn loan portfolio (a)</w:t>
            </w: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190 %</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201%</w:t>
            </w:r>
          </w:p>
        </w:tc>
      </w:tr>
      <w:tr>
        <w:trPr>
          <w:trHeight w:val="27"/>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Pawn loan redemption rate</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76 %</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43"/>
        </w:trPr>
        <w:tc>
          <w:tcPr>
            <w:tcW w:w="8180" w:type="dxa"/>
            <w:vAlign w:val="bottom"/>
          </w:tcPr>
          <w:p>
            <w:pPr>
              <w:ind w:left="380"/>
              <w:spacing w:after="0"/>
              <w:rPr>
                <w:sz w:val="20"/>
                <w:szCs w:val="20"/>
                <w:color w:val="auto"/>
              </w:rPr>
            </w:pPr>
            <w:r>
              <w:rPr>
                <w:rFonts w:ascii="Arial" w:cs="Arial" w:eastAsia="Arial" w:hAnsi="Arial"/>
                <w:sz w:val="18"/>
                <w:szCs w:val="18"/>
                <w:color w:val="auto"/>
              </w:rPr>
              <w:t>Consumer loan bad debt as a percentage of consumer loan fees</w:t>
            </w: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N/A</w:t>
            </w:r>
          </w:p>
        </w:tc>
      </w:tr>
    </w:tbl>
    <w:p>
      <w:pPr>
        <w:spacing w:after="0" w:line="229" w:lineRule="exact"/>
        <w:rPr>
          <w:sz w:val="20"/>
          <w:szCs w:val="20"/>
          <w:color w:val="auto"/>
        </w:rPr>
      </w:pPr>
    </w:p>
    <w:p>
      <w:pPr>
        <w:ind w:left="340" w:right="200" w:hanging="332"/>
        <w:spacing w:after="0" w:line="277"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Average yield on pawn loan portfolio is calculated as pawn service charge revenues for the period divided by the average pawn loan balance during the period.</w:t>
      </w:r>
    </w:p>
    <w:p>
      <w:pPr>
        <w:spacing w:after="0" w:line="116"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average exchange rate used to translate Latin America’s current quarter results from Mexican pesos to U.S. dollars was 12.9 to 1, 5% stronger than the prior year quarter’s rate of 13.6 to 1. Total revenues increased 107% in U.S. dollars and 97% in peso terms. Total segment operating expenses increased 160% in U.S. dollars and 148% increase in peso terms. In the current quarter, we opened 24 de novo stores, and on November 1, 2012, we acquired a 51% interest in Renueva Comercial S.A. de C.V., a company headquartered in Mexico City and doing business under the name “TUYO.” TUYO owns and operates 20 buy/sell stores in Mexico City and the surrounding metropolitan area and is included in our current quarter results.</w:t>
      </w:r>
    </w:p>
    <w:p>
      <w:pPr>
        <w:spacing w:after="0" w:line="158"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The Latin America segment's total revenues increased $20.8 million, or 107%, in the current quarter to $40.2 million. Same store total revenues increased 15% to $22.4 million, and new and acquired stores contributed $17.8 million. The overall increase in total revenues was partly due to the inclusion of Crediamigo's $12.7 million in total revenues. Excluding Crediamigo, total revenues increased $8.1 million due to a $5.0 million increase in merchandise and jewelry scrapping sales, a $2.4 million increase in pawn service charges and a $0.7 million increase in other revenues.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2" w:right="239" w:bottom="1440" w:gutter="0" w:footer="0" w:header="0"/>
        </w:sectPr>
      </w:pPr>
    </w:p>
    <w:bookmarkStart w:id="44" w:name="page45"/>
    <w:bookmarkEnd w:id="4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Latin America’s pawn service charge revenues increased $2.4 million, or 44%, in the current quarter to $7.8 million. Same store pawn service charges increased 25% to $6.8 million and new and acquired stores contributed $1.0 million. The increase was due to a 51% total and 28% same store increase in the average outstanding pawn loan balance during the period.</w:t>
      </w:r>
    </w:p>
    <w:p>
      <w:pPr>
        <w:spacing w:after="0" w:line="127"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Merchandise gross profit increased $1.0 million, or 18%, from the prior year quarter to $6.3 million. The increase was due to a $2.1 million, or 20%, same store sales increase and $2.7 million in sales from new and acquired stores offset by a 10.2 percentage point decrease in gross margin to 42%. The decrease in margin was due to a one-time inventory reserve adjustment in the prior year quarter and more aggressive pricing during the holiday season.</w:t>
      </w:r>
    </w:p>
    <w:p>
      <w:pPr>
        <w:spacing w:after="0" w:line="93"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Gross profit on jewelry scrapping sales decreased $0.5 million, or 41%, as the 7% increase in jewelry scrapping revenues was offset by the $0.8 million, or 34%, increase in jewelry scrapping cost of goods sold. The 2% increase in proceeds realized per gram of gold jewelry scrapped was offset by the 23% increase in cost per gram processed. Same store jewelry scrapping sales decreased $0.5 million, or 13%, and new and acquired stores contributed $0.7 million.</w:t>
      </w:r>
    </w:p>
    <w:p>
      <w:pPr>
        <w:spacing w:after="0" w:line="13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Crediamigo acquisition in the second quarter of fiscal 2012 marked our initial entry into the non-secured loan business in Mexico. In the current quarter, Crediamigo contributed consumer loan fees of $11.9 million and other revenues of $0.8 million, with a benefit in bad debt, due to the sale of past due loans and recoveries of loans previously written off to bad debt expense.</w:t>
      </w:r>
    </w:p>
    <w:p>
      <w:pPr>
        <w:spacing w:after="0" w:line="127"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Operations expense increased to $15.7 million (39% of revenues) in the current quarter from $7.0 million (36% of revenues) in the prior year quarter. The increase is due to higher operating costs resulting from the addition of 62 Empeño Fácil stores since the prior year quarter, the inclusion Crediamigo and TUYO's expenses and other growth initiatives. Depreciation and amortization increased 118%, or $0.9 million from the prior year quarter to $1.7 million, mainly due to new assets placed in service at new stores and acquisition related assets.</w:t>
      </w:r>
    </w:p>
    <w:p>
      <w:pPr>
        <w:spacing w:after="0" w:line="11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$2.6 million interest expense is due to debt acquired as part of the Crediamigo acquisition. At December 31, 2012 Crediamigo had $92.9 million third-party debt outstanding at a weighted average interest rate of 11%, compared to an 18% weighted average interest rate at acquisition. The decrease in the interest rate is due to the refinancing of various debt instruments.</w:t>
      </w:r>
    </w:p>
    <w:p>
      <w:pPr>
        <w:spacing w:after="0" w:line="127"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In the current quarter, the $17.3 million increase in net revenues was partially offset by the $12.4 million higher expenses, resulting in a $4.9 million increase in contribution for the Latin America segment. For the current quarter Latin America's segment contribution represented 15% of consolidated segment contribution compared to 6% a year ago, this 9 percentage point increase makes Latin America our fastest growing segment.</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121" w:right="279" w:bottom="1440" w:gutter="0" w:footer="0" w:header="0"/>
        </w:sectPr>
      </w:pPr>
    </w:p>
    <w:bookmarkStart w:id="45" w:name="page46"/>
    <w:bookmarkEnd w:id="4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14"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Other International</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financial data for the Other International segment:</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411"/>
              <w:spacing w:after="0"/>
              <w:rPr>
                <w:sz w:val="20"/>
                <w:szCs w:val="20"/>
                <w:color w:val="auto"/>
              </w:rPr>
            </w:pPr>
            <w:r>
              <w:rPr>
                <w:rFonts w:ascii="Arial" w:cs="Arial" w:eastAsia="Arial" w:hAnsi="Arial"/>
                <w:sz w:val="14"/>
                <w:szCs w:val="14"/>
                <w:b w:val="1"/>
                <w:bCs w:val="1"/>
                <w:color w:val="auto"/>
              </w:rPr>
              <w:t>Three Months Ended December 31,</w:t>
            </w:r>
          </w:p>
        </w:tc>
        <w:tc>
          <w:tcPr>
            <w:tcW w:w="0" w:type="dxa"/>
            <w:vAlign w:val="bottom"/>
          </w:tcPr>
          <w:p>
            <w:pPr>
              <w:spacing w:after="0"/>
              <w:rPr>
                <w:sz w:val="1"/>
                <w:szCs w:val="1"/>
                <w:color w:val="auto"/>
              </w:rPr>
            </w:pPr>
          </w:p>
        </w:tc>
      </w:tr>
      <w:tr>
        <w:trPr>
          <w:trHeight w:val="264"/>
        </w:trPr>
        <w:tc>
          <w:tcPr>
            <w:tcW w:w="82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196"/>
        </w:trPr>
        <w:tc>
          <w:tcPr>
            <w:tcW w:w="8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60" w:type="dxa"/>
            <w:vAlign w:val="bottom"/>
            <w:gridSpan w:val="3"/>
          </w:tcPr>
          <w:p>
            <w:pPr>
              <w:jc w:val="right"/>
              <w:ind w:right="50"/>
              <w:spacing w:after="0"/>
              <w:rPr>
                <w:sz w:val="20"/>
                <w:szCs w:val="20"/>
                <w:color w:val="auto"/>
              </w:rPr>
            </w:pPr>
            <w:r>
              <w:rPr>
                <w:rFonts w:ascii="Arial" w:cs="Arial" w:eastAsia="Arial" w:hAnsi="Arial"/>
                <w:sz w:val="14"/>
                <w:szCs w:val="14"/>
                <w:i w:val="1"/>
                <w:iCs w:val="1"/>
                <w:color w:val="auto"/>
              </w:rPr>
              <w:t>(in thousands)</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Consumer loan fees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6,929</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Other revenues</w:t>
            </w:r>
          </w:p>
        </w:tc>
        <w:tc>
          <w:tcPr>
            <w:tcW w:w="320" w:type="dxa"/>
            <w:vAlign w:val="bottom"/>
          </w:tcPr>
          <w:p>
            <w:pPr>
              <w:spacing w:after="0"/>
              <w:rPr>
                <w:sz w:val="21"/>
                <w:szCs w:val="21"/>
                <w:color w:val="auto"/>
              </w:rPr>
            </w:pPr>
          </w:p>
        </w:tc>
        <w:tc>
          <w:tcPr>
            <w:tcW w:w="1240" w:type="dxa"/>
            <w:vAlign w:val="bottom"/>
          </w:tcPr>
          <w:p>
            <w:pPr>
              <w:jc w:val="right"/>
              <w:ind w:right="114"/>
              <w:spacing w:after="0"/>
              <w:rPr>
                <w:sz w:val="20"/>
                <w:szCs w:val="20"/>
                <w:color w:val="auto"/>
              </w:rPr>
            </w:pPr>
            <w:r>
              <w:rPr>
                <w:rFonts w:ascii="Arial" w:cs="Arial" w:eastAsia="Arial" w:hAnsi="Arial"/>
                <w:sz w:val="18"/>
                <w:szCs w:val="18"/>
                <w:color w:val="auto"/>
              </w:rPr>
              <w:t>382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revenues</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7,311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Consumer loan bad debt</w:t>
            </w:r>
          </w:p>
        </w:tc>
        <w:tc>
          <w:tcPr>
            <w:tcW w:w="320" w:type="dxa"/>
            <w:vAlign w:val="bottom"/>
          </w:tcPr>
          <w:p>
            <w:pPr>
              <w:spacing w:after="0"/>
              <w:rPr>
                <w:sz w:val="21"/>
                <w:szCs w:val="21"/>
                <w:color w:val="auto"/>
              </w:rPr>
            </w:pPr>
          </w:p>
        </w:tc>
        <w:tc>
          <w:tcPr>
            <w:tcW w:w="1240" w:type="dxa"/>
            <w:vAlign w:val="bottom"/>
          </w:tcPr>
          <w:p>
            <w:pPr>
              <w:jc w:val="right"/>
              <w:ind w:right="114"/>
              <w:spacing w:after="0"/>
              <w:rPr>
                <w:sz w:val="20"/>
                <w:szCs w:val="20"/>
                <w:color w:val="auto"/>
              </w:rPr>
            </w:pPr>
            <w:r>
              <w:rPr>
                <w:rFonts w:ascii="Arial" w:cs="Arial" w:eastAsia="Arial" w:hAnsi="Arial"/>
                <w:sz w:val="18"/>
                <w:szCs w:val="18"/>
                <w:color w:val="auto"/>
              </w:rPr>
              <w:t>3,641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7"/>
        </w:trPr>
        <w:tc>
          <w:tcPr>
            <w:tcW w:w="8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revenues</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3,670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Segment expenses:</w:t>
            </w:r>
          </w:p>
        </w:tc>
        <w:tc>
          <w:tcPr>
            <w:tcW w:w="3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4,078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43"/>
        </w:trPr>
        <w:tc>
          <w:tcPr>
            <w:tcW w:w="820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1240" w:type="dxa"/>
            <w:vAlign w:val="bottom"/>
          </w:tcPr>
          <w:p>
            <w:pPr>
              <w:jc w:val="right"/>
              <w:ind w:right="114"/>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in net income of unconsolidated affiliates</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(5,038)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(4,161)</w:t>
            </w:r>
          </w:p>
        </w:tc>
        <w:tc>
          <w:tcPr>
            <w:tcW w:w="0" w:type="dxa"/>
            <w:vAlign w:val="bottom"/>
          </w:tcPr>
          <w:p>
            <w:pPr>
              <w:spacing w:after="0"/>
              <w:rPr>
                <w:sz w:val="1"/>
                <w:szCs w:val="1"/>
                <w:color w:val="auto"/>
              </w:rPr>
            </w:pPr>
          </w:p>
        </w:tc>
      </w:tr>
      <w:tr>
        <w:trPr>
          <w:trHeight w:val="243"/>
        </w:trPr>
        <w:tc>
          <w:tcPr>
            <w:tcW w:w="8200" w:type="dxa"/>
            <w:vAlign w:val="bottom"/>
          </w:tcPr>
          <w:p>
            <w:pPr>
              <w:ind w:left="380"/>
              <w:spacing w:after="0"/>
              <w:rPr>
                <w:sz w:val="20"/>
                <w:szCs w:val="20"/>
                <w:color w:val="auto"/>
              </w:rPr>
            </w:pPr>
            <w:r>
              <w:rPr>
                <w:rFonts w:ascii="Arial" w:cs="Arial" w:eastAsia="Arial" w:hAnsi="Arial"/>
                <w:sz w:val="18"/>
                <w:szCs w:val="18"/>
                <w:color w:val="auto"/>
              </w:rPr>
              <w:t>Other income</w:t>
            </w:r>
          </w:p>
        </w:tc>
        <w:tc>
          <w:tcPr>
            <w:tcW w:w="320" w:type="dxa"/>
            <w:vAlign w:val="bottom"/>
          </w:tcPr>
          <w:p>
            <w:pPr>
              <w:spacing w:after="0"/>
              <w:rPr>
                <w:sz w:val="21"/>
                <w:szCs w:val="21"/>
                <w:color w:val="auto"/>
              </w:rPr>
            </w:pPr>
          </w:p>
        </w:tc>
        <w:tc>
          <w:tcPr>
            <w:tcW w:w="1240" w:type="dxa"/>
            <w:vAlign w:val="bottom"/>
          </w:tcPr>
          <w:p>
            <w:pPr>
              <w:jc w:val="right"/>
              <w:ind w:right="54"/>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7"/>
        </w:trPr>
        <w:tc>
          <w:tcPr>
            <w:tcW w:w="8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contribution</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4,623</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3,546</w:t>
            </w:r>
          </w:p>
        </w:tc>
        <w:tc>
          <w:tcPr>
            <w:tcW w:w="0" w:type="dxa"/>
            <w:vAlign w:val="bottom"/>
          </w:tcPr>
          <w:p>
            <w:pPr>
              <w:spacing w:after="0"/>
              <w:rPr>
                <w:sz w:val="1"/>
                <w:szCs w:val="1"/>
                <w:color w:val="auto"/>
              </w:rPr>
            </w:pPr>
          </w:p>
        </w:tc>
      </w:tr>
      <w:tr>
        <w:trPr>
          <w:trHeight w:val="20"/>
        </w:trPr>
        <w:tc>
          <w:tcPr>
            <w:tcW w:w="82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Other data:</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2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82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Consumer loan bad debt as a percent of consumer loan fees</w:t>
            </w:r>
          </w:p>
        </w:tc>
        <w:tc>
          <w:tcPr>
            <w:tcW w:w="3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7"/>
        </w:trPr>
        <w:tc>
          <w:tcPr>
            <w:tcW w:w="82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 April 14, 2012, we acquired a 72% interest in Cash Genie, an online lending business in the U.K., and on November 14, 2012, we acquired an additional 23% of their ordinary shares outstanding, increasing our ownership percentage from 72% to 95%, with the remaining 5% held by local management. In the current quarter, Cash Genie's consumer loan fees were $6.9 million, with bad debt as a percentage of fees at 53%. Cash Genie's operations expense during the current quarter was $4.1 million with depreciation and amortization at $0.1 million.</w:t>
      </w:r>
    </w:p>
    <w:p>
      <w:pPr>
        <w:spacing w:after="0" w:line="133"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Our equity in the net income of unconsolidated affiliates increased $0.9 million, or 21%, from prior year to $5.0 million. This increase is due to strong performance by Cash Converters International and a slight increase by Albemarle &amp; Bond. In the current quarter, in order to maintain our ownership percentage of approximately 33%, we acquired an additional 12,430,000 ordinary shares of Cash Converters International as part of a share placement. We expect the new funds to be used to finance expansion and drive future earnings growth.</w:t>
      </w:r>
    </w:p>
    <w:p>
      <w:pPr>
        <w:spacing w:after="0" w:line="133" w:lineRule="exact"/>
        <w:rPr>
          <w:sz w:val="20"/>
          <w:szCs w:val="20"/>
          <w:color w:val="auto"/>
        </w:rPr>
      </w:pPr>
    </w:p>
    <w:p>
      <w:pPr>
        <w:ind w:right="440"/>
        <w:spacing w:after="0" w:line="312" w:lineRule="auto"/>
        <w:rPr>
          <w:sz w:val="20"/>
          <w:szCs w:val="20"/>
          <w:color w:val="auto"/>
        </w:rPr>
      </w:pPr>
      <w:r>
        <w:rPr>
          <w:rFonts w:ascii="Arial" w:cs="Arial" w:eastAsia="Arial" w:hAnsi="Arial"/>
          <w:sz w:val="16"/>
          <w:szCs w:val="16"/>
          <w:color w:val="auto"/>
        </w:rPr>
        <w:t>In the current quarter, the $3.7 million increase in net revenues and the $0.9 million million increase in our equity in the net income of unconsolidated affiliates were mostly offset by a $3.5 million increase in operations expense. Segment contribution from the Other International segment increased $1.1 million to $4.6 million. For the current quarter, the segment's contribution represents 7% of total contribution compared to 5% in the prior year quarter.</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2" w:right="239" w:bottom="1440" w:gutter="0" w:footer="0" w:header="0"/>
        </w:sectPr>
      </w:pPr>
    </w:p>
    <w:bookmarkStart w:id="46" w:name="page47"/>
    <w:bookmarkEnd w:id="4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Items</w:t>
      </w:r>
    </w:p>
    <w:p>
      <w:pPr>
        <w:spacing w:after="0" w:line="17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table reconciles our consolidated store operating income discussed above to net income, including items that affect our consolidated financial results but are not allocated among segments: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080" w:type="dxa"/>
            <w:vAlign w:val="bottom"/>
            <w:tcBorders>
              <w:bottom w:val="single" w:sz="8" w:color="auto"/>
            </w:tcBorders>
            <w:gridSpan w:val="5"/>
          </w:tcPr>
          <w:p>
            <w:pPr>
              <w:jc w:val="right"/>
              <w:ind w:right="352"/>
              <w:spacing w:after="0"/>
              <w:rPr>
                <w:sz w:val="20"/>
                <w:szCs w:val="20"/>
                <w:color w:val="auto"/>
              </w:rPr>
            </w:pPr>
            <w:r>
              <w:rPr>
                <w:rFonts w:ascii="Arial" w:cs="Arial" w:eastAsia="Arial" w:hAnsi="Arial"/>
                <w:sz w:val="14"/>
                <w:szCs w:val="14"/>
                <w:b w:val="1"/>
                <w:bCs w:val="1"/>
                <w:color w:val="auto"/>
              </w:rPr>
              <w:t>Three Months Ended December 31,</w:t>
            </w:r>
          </w:p>
        </w:tc>
      </w:tr>
      <w:tr>
        <w:trPr>
          <w:trHeight w:val="264"/>
        </w:trPr>
        <w:tc>
          <w:tcPr>
            <w:tcW w:w="834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2011</w:t>
            </w:r>
          </w:p>
        </w:tc>
      </w:tr>
      <w:tr>
        <w:trPr>
          <w:trHeight w:val="196"/>
        </w:trPr>
        <w:tc>
          <w:tcPr>
            <w:tcW w:w="8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80" w:type="dxa"/>
            <w:vAlign w:val="bottom"/>
            <w:gridSpan w:val="3"/>
          </w:tcPr>
          <w:p>
            <w:pPr>
              <w:jc w:val="right"/>
              <w:ind w:right="30"/>
              <w:spacing w:after="0"/>
              <w:rPr>
                <w:sz w:val="20"/>
                <w:szCs w:val="20"/>
                <w:color w:val="auto"/>
              </w:rPr>
            </w:pPr>
            <w:r>
              <w:rPr>
                <w:rFonts w:ascii="Arial" w:cs="Arial" w:eastAsia="Arial" w:hAnsi="Arial"/>
                <w:sz w:val="14"/>
                <w:szCs w:val="14"/>
                <w:i w:val="1"/>
                <w:iCs w:val="1"/>
                <w:color w:val="auto"/>
              </w:rPr>
              <w:t>(in thousands)</w:t>
            </w:r>
          </w:p>
        </w:tc>
        <w:tc>
          <w:tcPr>
            <w:tcW w:w="1000" w:type="dxa"/>
            <w:vAlign w:val="bottom"/>
          </w:tcPr>
          <w:p>
            <w:pPr>
              <w:spacing w:after="0"/>
              <w:rPr>
                <w:sz w:val="17"/>
                <w:szCs w:val="17"/>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contribution</w:t>
            </w:r>
          </w:p>
        </w:tc>
        <w:tc>
          <w:tcPr>
            <w:tcW w:w="90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87"/>
              </w:rPr>
              <w:t>64,669</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72,970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Corporate expenses:</w:t>
            </w:r>
          </w:p>
        </w:tc>
        <w:tc>
          <w:tcPr>
            <w:tcW w:w="9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Administrative expenses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87"/>
              </w:rPr>
              <w:t>13,671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11,654</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900" w:type="dxa"/>
            <w:vAlign w:val="bottom"/>
          </w:tcPr>
          <w:p>
            <w:pPr>
              <w:spacing w:after="0"/>
              <w:rPr>
                <w:sz w:val="21"/>
                <w:szCs w:val="21"/>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1,799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1,240</w:t>
            </w: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net</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583</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Other (income) expense</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w:t>
            </w: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Consolidated income before income taxes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87"/>
              </w:rPr>
              <w:t>48,640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59,491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900" w:type="dxa"/>
            <w:vAlign w:val="bottom"/>
          </w:tcPr>
          <w:p>
            <w:pPr>
              <w:spacing w:after="0"/>
              <w:rPr>
                <w:sz w:val="21"/>
                <w:szCs w:val="21"/>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w w:val="87"/>
              </w:rPr>
              <w:t>16,485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20,139</w:t>
            </w: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87"/>
              </w:rPr>
              <w:t>32,155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39,352</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Net income attributable to noncontrolling interest</w:t>
            </w:r>
          </w:p>
        </w:tc>
        <w:tc>
          <w:tcPr>
            <w:tcW w:w="900" w:type="dxa"/>
            <w:vAlign w:val="bottom"/>
          </w:tcPr>
          <w:p>
            <w:pPr>
              <w:spacing w:after="0"/>
              <w:rPr>
                <w:sz w:val="21"/>
                <w:szCs w:val="21"/>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1,438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attributable to EZCORP, Inc.</w:t>
            </w:r>
          </w:p>
        </w:tc>
        <w:tc>
          <w:tcPr>
            <w:tcW w:w="90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87"/>
              </w:rPr>
              <w:t>30,717</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39,352</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220"/>
        <w:spacing w:after="0" w:line="334" w:lineRule="auto"/>
        <w:rPr>
          <w:sz w:val="20"/>
          <w:szCs w:val="20"/>
          <w:color w:val="auto"/>
        </w:rPr>
      </w:pPr>
      <w:r>
        <w:rPr>
          <w:rFonts w:ascii="Arial" w:cs="Arial" w:eastAsia="Arial" w:hAnsi="Arial"/>
          <w:sz w:val="17"/>
          <w:szCs w:val="17"/>
          <w:color w:val="auto"/>
        </w:rPr>
        <w:t>Administrative expenses increased $2.0 million, or 17%, due to continued investment in growth, profitability initiatives and infrastructure to support the efficient management of a larger, more complex global company. Interest expense increased $0.4 million, or 73%, due to greater utilization of our revolver. Depreciation and amortization increased $0.6 million, or 45%, due to new assets placed in service as a result of investment in infrastructure to support our globalization strategy. The $0.4 million other income was due to foreign currency transaction gains.</w:t>
      </w:r>
    </w:p>
    <w:p>
      <w:pPr>
        <w:spacing w:after="0" w:line="87"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Consolidated income before taxes decreased $10.9 million, or 18%, to $48.6 million due to a $4.9 million and $1.1 million increase in contribution from the Latin America and Other International segments respectively, offset by a $14.3 million decrease in contribution from the U.S. &amp; Canada segment and a $2.6 million increase in corporate expenses. The $14.3 million decrease in contribution from the U.S. &amp; Canada segment was due to a combination of reduced gross profit on jewelry scrapped and an increase in operating costs to support a rapidly growing store base.</w:t>
      </w:r>
    </w:p>
    <w:p>
      <w:pPr>
        <w:spacing w:after="0" w:line="11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Income tax expense was $16.5 million, 33.9% of pre-tax income. The effective tax rate remained flat when compared to the prior year quarter primarily due to the undistributed foreign earnings for which no U.S. taxes are provided because such earnings are intended to be permanently reinvested outside the United States.</w:t>
      </w:r>
    </w:p>
    <w:p>
      <w:pPr>
        <w:spacing w:after="0" w:line="12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 the current quarter, net income attributable to EZCORP decreased $8.6 million, or 22%, to $30.7 million, after the $1.4 million of net income attributable to the noncontrolling interest.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9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the current quarter, our $30.5 million cash flow from operations consisted of (i) net income plus several non-cash items, aggregating to $45.9 million, $1.5 million in dividends from Cash Converters International, net of (ii) $17.0 million of normal, recurring changes in operating assets and liabilities. In the prior year quarter, our $45.6 million cash flow from operations consisted of (i) net income plus several non-cash items, aggregating to $46.1 million, $2.2 million in dividends from Cash Converters International, net of (ii) $2.7 million of normal, recurring changes in operating assets and liabilities. The primary differences in cash flow from operations between the current and prior years were the decrease in net income, the increase in inventory and the increase in our prepaid expenses and other current assets. The increase in prepaid expenses and other current assets is due to proceeds on our sales of scrapped inventory received subsequent to December 31, 2012.</w:t>
      </w:r>
    </w:p>
    <w:p>
      <w:pPr>
        <w:spacing w:after="0" w:line="13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$47.8 million of net cash used in investing activities during the current current was funded by cash flow from operations, cash on hand and borrowings on our line of credit facility. We invested $11.0 million in Cash Converters International as part of a share placement. We invested $12.3 million in cash to acquire 12 pawn stores in the U.S. and to acquire a 51% interest in TUYO. Other significant investments in the period were the $8.9 million in additions of property and equipment and the $15.6 million of loans made in excess of customer loan repayments and the recovery of principal through the sale of forfeited pawn loan collateral.</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2" w:right="239" w:bottom="1440" w:gutter="0" w:footer="0" w:header="0"/>
        </w:sectPr>
      </w:pPr>
    </w:p>
    <w:bookmarkStart w:id="47" w:name="page48"/>
    <w:bookmarkEnd w:id="4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The net effect of these and other smaller cash flows was a $1.8 million decrease in cash on hand, providing a $46.7 million ending cash balance.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our cash needs to meet future aggregate contractual obligations: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b w:val="1"/>
                <w:bCs w:val="1"/>
                <w:color w:val="auto"/>
              </w:rPr>
              <w:t>Payments due by Period</w:t>
            </w: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7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Contractual Obligations</w:t>
            </w:r>
          </w:p>
        </w:tc>
        <w:tc>
          <w:tcPr>
            <w:tcW w:w="300" w:type="dxa"/>
            <w:vAlign w:val="bottom"/>
          </w:tcPr>
          <w:p>
            <w:pPr>
              <w:spacing w:after="0"/>
              <w:rPr>
                <w:sz w:val="13"/>
                <w:szCs w:val="13"/>
                <w:color w:val="auto"/>
              </w:rPr>
            </w:pPr>
          </w:p>
        </w:tc>
        <w:tc>
          <w:tcPr>
            <w:tcW w:w="10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3"/>
                <w:szCs w:val="13"/>
                <w:color w:val="auto"/>
              </w:rPr>
            </w:pPr>
          </w:p>
        </w:tc>
        <w:tc>
          <w:tcPr>
            <w:tcW w:w="114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1"/>
              </w:rPr>
              <w:t>Less than</w:t>
            </w:r>
          </w:p>
        </w:tc>
        <w:tc>
          <w:tcPr>
            <w:tcW w:w="160" w:type="dxa"/>
            <w:vAlign w:val="bottom"/>
          </w:tcPr>
          <w:p>
            <w:pPr>
              <w:spacing w:after="0"/>
              <w:rPr>
                <w:sz w:val="13"/>
                <w:szCs w:val="13"/>
                <w:color w:val="auto"/>
              </w:rPr>
            </w:pPr>
          </w:p>
        </w:tc>
        <w:tc>
          <w:tcPr>
            <w:tcW w:w="12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1-3 years</w:t>
            </w:r>
          </w:p>
        </w:tc>
        <w:tc>
          <w:tcPr>
            <w:tcW w:w="240" w:type="dxa"/>
            <w:vAlign w:val="bottom"/>
          </w:tcPr>
          <w:p>
            <w:pPr>
              <w:spacing w:after="0"/>
              <w:rPr>
                <w:sz w:val="13"/>
                <w:szCs w:val="13"/>
                <w:color w:val="auto"/>
              </w:rPr>
            </w:pPr>
          </w:p>
        </w:tc>
        <w:tc>
          <w:tcPr>
            <w:tcW w:w="11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3-5 years</w:t>
            </w:r>
          </w:p>
        </w:tc>
        <w:tc>
          <w:tcPr>
            <w:tcW w:w="220" w:type="dxa"/>
            <w:vAlign w:val="bottom"/>
          </w:tcPr>
          <w:p>
            <w:pPr>
              <w:spacing w:after="0"/>
              <w:rPr>
                <w:sz w:val="13"/>
                <w:szCs w:val="13"/>
                <w:color w:val="auto"/>
              </w:rPr>
            </w:pPr>
          </w:p>
        </w:tc>
        <w:tc>
          <w:tcPr>
            <w:tcW w:w="1040" w:type="dxa"/>
            <w:vAlign w:val="bottom"/>
          </w:tcPr>
          <w:p>
            <w:pPr>
              <w:jc w:val="right"/>
              <w:ind w:right="215"/>
              <w:spacing w:after="0" w:line="153" w:lineRule="exact"/>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58"/>
        </w:trPr>
        <w:tc>
          <w:tcPr>
            <w:tcW w:w="470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88"/>
              </w:rPr>
              <w:t>1 year</w:t>
            </w:r>
          </w:p>
        </w:tc>
        <w:tc>
          <w:tcPr>
            <w:tcW w:w="16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jc w:val="right"/>
              <w:ind w:right="335"/>
              <w:spacing w:after="0" w:line="158" w:lineRule="exact"/>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480" w:type="dxa"/>
            <w:vAlign w:val="bottom"/>
            <w:tcBorders>
              <w:top w:val="single" w:sz="8" w:color="auto"/>
            </w:tcBorders>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i w:val="1"/>
                <w:iCs w:val="1"/>
                <w:color w:val="auto"/>
                <w:w w:val="92"/>
              </w:rPr>
              <w:t>(in thousands)</w:t>
            </w: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Long-term debt obligations*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233,776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25,765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173,545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34,466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Interest on long-term debt obligations**</w:t>
            </w: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35,983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13,400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7"/>
              <w:spacing w:after="0"/>
              <w:rPr>
                <w:sz w:val="20"/>
                <w:szCs w:val="20"/>
                <w:color w:val="auto"/>
              </w:rPr>
            </w:pPr>
            <w:r>
              <w:rPr>
                <w:rFonts w:ascii="Arial" w:cs="Arial" w:eastAsia="Arial" w:hAnsi="Arial"/>
                <w:sz w:val="18"/>
                <w:szCs w:val="18"/>
                <w:color w:val="auto"/>
              </w:rPr>
              <w:t>18,181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4,402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lease obligations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233,241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56,235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88,132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48,419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40,455</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Capital lease obligations</w:t>
            </w: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1,464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613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7"/>
              <w:spacing w:after="0"/>
              <w:rPr>
                <w:sz w:val="20"/>
                <w:szCs w:val="20"/>
                <w:color w:val="auto"/>
              </w:rPr>
            </w:pPr>
            <w:r>
              <w:rPr>
                <w:rFonts w:ascii="Arial" w:cs="Arial" w:eastAsia="Arial" w:hAnsi="Arial"/>
                <w:sz w:val="18"/>
                <w:szCs w:val="18"/>
                <w:color w:val="auto"/>
              </w:rPr>
              <w:t>851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504,464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96,013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280,709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87,287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40,455</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Arial" w:cs="Arial" w:eastAsia="Arial" w:hAnsi="Arial"/>
                <w:sz w:val="14"/>
                <w:szCs w:val="14"/>
                <w:color w:val="auto"/>
              </w:rPr>
              <w:t>* Excludes debt premium related to Crediamigo</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470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15" w:lineRule="exact"/>
        <w:rPr>
          <w:sz w:val="20"/>
          <w:szCs w:val="20"/>
          <w:color w:val="auto"/>
        </w:rPr>
      </w:pPr>
    </w:p>
    <w:p>
      <w:pPr>
        <w:ind w:left="40"/>
        <w:spacing w:after="0"/>
        <w:rPr>
          <w:sz w:val="20"/>
          <w:szCs w:val="20"/>
          <w:color w:val="auto"/>
        </w:rPr>
      </w:pPr>
      <w:r>
        <w:rPr>
          <w:rFonts w:ascii="Arial" w:cs="Arial" w:eastAsia="Arial" w:hAnsi="Arial"/>
          <w:sz w:val="14"/>
          <w:szCs w:val="14"/>
          <w:color w:val="auto"/>
        </w:rPr>
        <w:t>** Future interest on long-term obligations calculated on interest rates effective at the balance sheet date</w:t>
      </w:r>
    </w:p>
    <w:p>
      <w:pPr>
        <w:spacing w:after="0" w:line="181" w:lineRule="exact"/>
        <w:rPr>
          <w:sz w:val="20"/>
          <w:szCs w:val="20"/>
          <w:color w:val="auto"/>
        </w:rPr>
      </w:pPr>
    </w:p>
    <w:p>
      <w:pPr>
        <w:jc w:val="both"/>
        <w:ind w:right="180"/>
        <w:spacing w:after="0" w:line="312" w:lineRule="auto"/>
        <w:rPr>
          <w:sz w:val="20"/>
          <w:szCs w:val="20"/>
          <w:color w:val="auto"/>
        </w:rPr>
      </w:pPr>
      <w:r>
        <w:rPr>
          <w:rFonts w:ascii="Arial" w:cs="Arial" w:eastAsia="Arial" w:hAnsi="Arial"/>
          <w:sz w:val="16"/>
          <w:szCs w:val="16"/>
          <w:color w:val="auto"/>
        </w:rPr>
        <w:t>In addition to the contractual obligations in the table above, we are obligated under letters of credit issued to unaffiliated lenders as part of our credit service operations. At December 31, 2012, our maximum exposure for losses on letters of credit, if all brokered loans defaulted and none were collected, was $33.1 million. Of that total, $9.0 million was secured by titles to customers’ automobiles. These amounts include principal, interest and insufficient funds fees.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In addition to the operating lease obligations in the table above, we are responsible for the maintenance, property taxes and insurance at most of our locations.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 the fiscal year ended September 30, 2012, these collectively amounted to $17.9 million.</w:t>
      </w:r>
    </w:p>
    <w:p>
      <w:pPr>
        <w:spacing w:after="0" w:line="15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operating lease obligations in the table above include expected rent for all our store locations through the end of their current lease terms. Of the 486 U.S. EZMONEY financial services stores, 203 adjoin an EZPAWN store. The lease agreements at approximately 93% of the remaining 283 free-standing EZMONEY stores contain provisions that limit our exposure for additional rent to only a few months if laws were enacted that had a significant negative effect on our operations at these stores.</w:t>
      </w:r>
    </w:p>
    <w:p>
      <w:pPr>
        <w:spacing w:after="0" w:line="13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the remaining nine months of the fiscal year ending September 30, 2013, we plan to open 10 to 15 pawn stores in the U.S., 55 to 65 pawn stores in Mexico and 25 to 35 financial services stores in the U.S. (most of which will follow our store-within-a-store format). The aggregate investment for this de novo activity is expected to be $16.4 million of capital expenditures plus the funding of working capital and start-up losses. We believe new stores will create a drag on earnings and liquidity until their second year of operations.</w:t>
      </w:r>
    </w:p>
    <w:p>
      <w:pPr>
        <w:spacing w:after="0" w:line="13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May 10, 2011, we entered into a new senior secured credit agreement with a syndication of five banks, replacing our previous credit agreement. Among other things, the new credit agreement provides for a four year $175 million revolving credit facility that we may, under the terms of the agreement, request to be increased to a total of $225 million. Upon entering the new credit agreement, we repaid and retired all other outstanding debt. The new credit facility increases our available credit and provides greater flexibility to make investments and acquisitions both domestically and internationally. Terms of the credit agreement require, among other things, that we meet certain financial covenants. We were in compliance with all covenants at December 31, 2012 and expect to remain in compliance based on our expected future performance. At December 31, 2012, we had borrowed $142.6 million, leaving $32.4 available on the facility.</w:t>
      </w:r>
    </w:p>
    <w:p>
      <w:pPr>
        <w:spacing w:after="0" w:line="13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We anticipate that cash flow from operations, cash on hand and availability under our revolving credit facility will be adequate to fund our contractual obligations, planned store growth, capital expenditures and working capital requirements during the coming year.</w:t>
      </w:r>
    </w:p>
    <w:p>
      <w:pPr>
        <w:spacing w:after="0" w:line="11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At the beginning of the current quarter, we had an effective “shelf” Registration Statement on Form S-4 covering an aggregate of 2.0 million shares of our Class A Common Stock that we may offer from time to time in connection with future acquisitions of businesses, assets or securities, with 1.2 million shares remaining for issuance. During the quarter, we issued all the remaining shares in connection with the acquisition of 12 pawn stores in Arizona, and as of the end of the quarter, have no remaining shares covered by the registration statement.</w:t>
      </w:r>
    </w:p>
    <w:p>
      <w:pPr>
        <w:spacing w:after="0" w:line="13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February 3, 2012, we filed with the United States Securities and Exchange Commission a “shelf” registration statement on Form S-3 registering the offer and sale of an indeterminate amount of a variety of securities, including debt securities (and related guarantees), equity securities, warrants to purchase debt or equity securities, stock purchase contracts and stock purchase units. The proceeds of any offering and sale under that registration statement will be used for general corporate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2" w:right="239" w:bottom="1440" w:gutter="0" w:footer="0" w:header="0"/>
        </w:sectPr>
      </w:pPr>
    </w:p>
    <w:bookmarkStart w:id="48" w:name="page49"/>
    <w:bookmarkEnd w:id="4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purposes, including debt reduction or refinancing, acquisitions, capital expenditures and working capital. Unless otherwise indicated in connection with a particular offering of debt securities, each of our domestic subsidiaries will fully and unconditionally guarantee on a joint and several basis our payment obligations under such debt securities. As of December 31, 2012, we had not issued any securities under this registration statement.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9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issue letters of credit (“LOCs”) to enhance the creditworthiness of our credit service customers seeking signature loans and auto title loans from unaffiliated lenders. The LOCs assure the lenders that if borrowers default on the loans, we will pay the lenders, upon demand, the principal and accrued interest owed them by the borrowers plus any insufficient funds fees or late fees. We do not record on our balance sheet the loans related to our credit services as the loans are made by unaffiliated lenders. We do not consolidate the unaffiliated lenders’ results with our results as we do not have any ownership interest in the lenders, do not exercise control over them and do not otherwise meet the criteria for consolidation as prescribed by FASB ASC 810-10-25 regarding variable interest entities.</w:t>
      </w:r>
    </w:p>
    <w:p>
      <w:pPr>
        <w:spacing w:after="0" w:line="13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We include an allowance for Expected LOC Losses in “Accounts payable and other accrued expenses” on our balance sheet. At December 31, 2012, the allowance for Expected LOC Losses was $2.4 million. At that date, our maximum exposure for losses on letters of credit, if all brokered loans defaulted and none were collected, was $33.1 million. This amount includes principal, interest and insufficient funds fees.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We have no other off-balance sheet arrangements.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171"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Historically, pawn service charges are highest in our fourth fiscal quarter (July through September) due to a higher average loan balance during the summer lending season. Merchandise sales are highest in the first and second fiscal quarters (October through March) due to the holiday season, jewelry sales surrounding Valentine’s Day and the impact of tax refunds in the United States. Jewelry scrapping sales are heavily influenced by the timing of decisions to scrap excess jewelry inventory. Jewelry scrapping sales generally are greatest during our fourth fiscal quarter (July through September). This results from relatively low jewelry merchandise sales in that quarter and the higher loan balance, leading to a higher dollar amount of loan forfeitures in the summer lending season providing more inventory available for sale.</w:t>
      </w:r>
    </w:p>
    <w:p>
      <w:pPr>
        <w:spacing w:after="0" w:line="13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Consumer loan fees are generally highest in our fourth and first fiscal quarters (July through December) due to a higher need for cash during the holiday season. Consumer loan bad debt, both in dollar terms and as a percentage of related fees, is highest in the fourth fiscal quarter and lowest in the second fiscal quarter due primarily to the impact of tax refunds in the U.S.</w:t>
      </w:r>
    </w:p>
    <w:p>
      <w:pPr>
        <w:spacing w:after="0" w:line="12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payroll withholding lending business is less impacted by seasonality, with the exception of the summer months when new loan originations tend to moderate.</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The net effect of these factors is that net revenues and net income typically are strongest in the fourth fiscal quarter and weakest in the third fiscal quarter.</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 and Assumptions</w:t>
      </w:r>
    </w:p>
    <w:p>
      <w:pPr>
        <w:spacing w:after="0" w:line="90"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Management’s Discussion and Analysis of Financial Condition and Results of Operations is based upon our condensed consolidated financial statements, which have been prepared according to accounting principles generally accepted in the United States for interim financial information. The preparation of these financial statements requires us to make estimates and assumptions that affect the reported amounts of assets, liabilities, revenues and expenses and related disclosure of contingent assets and liabilities. On an on-going basis, we evaluate our estimates and judgments, including those related to revenue recognition, inventory, loan loss allowances, long-lived and intangible assets, income taxes, contingencies and litigation. We base our estimates on historical experience, observable trends and various other assumptions that we believe are reasonable under the circumstances. We use this information to make judgments about the carrying values of assets and liabilities that are not readily apparent from other sources. Actual results may differ materially from the estimates under different assumptions or conditions.</w:t>
      </w: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122" w:right="259" w:bottom="1440" w:gutter="0" w:footer="0" w:header="0"/>
        </w:sectPr>
      </w:pPr>
    </w:p>
    <w:bookmarkStart w:id="49" w:name="page50"/>
    <w:bookmarkEnd w:id="4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We are exposed to market risk related to interest rates, gold values and changes in foreign currency exchange rates.</w:t>
      </w:r>
    </w:p>
    <w:p>
      <w:pPr>
        <w:spacing w:after="0" w:line="171" w:lineRule="exact"/>
        <w:rPr>
          <w:sz w:val="20"/>
          <w:szCs w:val="20"/>
          <w:color w:val="auto"/>
        </w:rPr>
      </w:pPr>
    </w:p>
    <w:p>
      <w:pPr>
        <w:jc w:val="both"/>
        <w:ind w:right="280"/>
        <w:spacing w:after="0" w:line="312" w:lineRule="auto"/>
        <w:rPr>
          <w:sz w:val="20"/>
          <w:szCs w:val="20"/>
          <w:color w:val="auto"/>
        </w:rPr>
      </w:pPr>
      <w:r>
        <w:rPr>
          <w:rFonts w:ascii="Arial" w:cs="Arial" w:eastAsia="Arial" w:hAnsi="Arial"/>
          <w:sz w:val="16"/>
          <w:szCs w:val="16"/>
          <w:color w:val="auto"/>
        </w:rPr>
        <w:t>Our earnings are affected by changes in interest rates as some of our debt has a variable rate. If interest rates average 50 basis points more than our current rate in the remaining three months of the fiscal year ending September 30, 2013, our interest expense during that period would increase by approximately $700,000. This amount is determined by considering the impact of the hypothetical interest rate change on our variable-rate debt at December 31, 2012.</w:t>
      </w:r>
    </w:p>
    <w:p>
      <w:pPr>
        <w:spacing w:after="0" w:line="9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earnings and financial position are affected by changes in gold values and the resulting impact on pawn lending, jewelry sales and jewelry cost of goods sold. The proceeds of scrap sales and our ability to sell jewelry inventory at an acceptable margin depend on gold values. The impact on our financial position and results of operations of a hypothetical change in gold values cannot be reasonably estimated.</w:t>
      </w:r>
    </w:p>
    <w:p>
      <w:pPr>
        <w:spacing w:after="0" w:line="127"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Our earnings and financial position are affected by foreign exchange rate fluctuations related to our equity investments in Albemarle &amp; Bond and Cash Converters International, our Empeño Fácil pawn operations, TUYO retail operations and Crediamigo operations in Mexico, our operations in Canada and our Cash Genie operations in the U.K. Albemarle &amp; Bond and Cash Genie's functional currency is the British pound, Cash Converters’ International functional currency is the Australian dollar, Empeño Fácil and Crediamigo’s functional currency is the Mexican peso and our Canada operations’ functional currency is the Canadian dollar. The impact on our results of operations and financial position of hypothetical changes in foreign currency exchange rates cannot be reasonably estimated due to the interrelationship of operating results and exchange rates.</w:t>
      </w:r>
    </w:p>
    <w:p>
      <w:pPr>
        <w:spacing w:after="0" w:line="12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translation adjustment from Albemarle &amp; Bond representing the strengthening in the British pound during the quarter ended September 30, 2012 (included in our December 31, 2012 results on a three-month lag) was a $0.9 million increase to stockholders’ equity. The translation adjustment from Cash Genie also represents the weakening in the British pound, was an immaterial decrease to stockholders' equity. On December 31, 2012, the British pound weakened to £1.00 to $1.6153 U.S. from $1.6164 at September 30, 2012</w:t>
      </w:r>
    </w:p>
    <w:p>
      <w:pPr>
        <w:spacing w:after="0" w:line="13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translation adjustment from Cash Converters International representing the strengthening in the Australian dollar during the quarter ended September 30, 2012 (included in our December 31, 2012 results on a three-month lag) was a $2.8 million increase to stockholders’ equity. On December 31, 2012, the Australian dollar weakened to $1.00 Australian dollar to $1.0371 U.S. from $1.0377 at September 30, 2012</w:t>
      </w:r>
    </w:p>
    <w:p>
      <w:pPr>
        <w:spacing w:after="0" w:line="127" w:lineRule="exact"/>
        <w:rPr>
          <w:sz w:val="20"/>
          <w:szCs w:val="20"/>
          <w:color w:val="auto"/>
        </w:rPr>
      </w:pPr>
    </w:p>
    <w:p>
      <w:pPr>
        <w:jc w:val="both"/>
        <w:ind w:right="320"/>
        <w:spacing w:after="0" w:line="279" w:lineRule="auto"/>
        <w:rPr>
          <w:sz w:val="20"/>
          <w:szCs w:val="20"/>
          <w:color w:val="auto"/>
        </w:rPr>
      </w:pPr>
      <w:r>
        <w:rPr>
          <w:rFonts w:ascii="Arial" w:cs="Arial" w:eastAsia="Arial" w:hAnsi="Arial"/>
          <w:sz w:val="17"/>
          <w:szCs w:val="17"/>
          <w:color w:val="auto"/>
        </w:rPr>
        <w:t>The translation adjustment from Latin America representing the weakening of the Mexican peso during the quarter ended December 31, 2012 was a $1.4 million decrease to stockholders’ equity. We have currently assumed permanent reinvestment of earnings and capital in Mexico. Accumulated translation gains or losses related to any future repatriation of earnings or capital would impact our earnings in the period of repatriation. On December 31, 2012, the peso weakened to $1.00 Mexican peso to $0.0770 U.S. from $0.0778 at September 30, 2012.</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translation adjustment from our Canadian operations representing the weakening of the Canadian dollar during the quarter ended December 31, 2012 was a $0.2 million decrease to stockholders' equity. On December 31, 2012, the Canadian dollar weakened to $1.00 Canadian dollar to $1.0031 U.S. from $1.0164 at September 30, 2012.</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color w:val="auto"/>
        </w:rPr>
        <w:t>We cannot predict the future valuation of foreign currencies or how further movements in them could affect our future earnings or financial position.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Information</w:t>
      </w:r>
    </w:p>
    <w:p>
      <w:pPr>
        <w:spacing w:after="0" w:line="90"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This Quarterly Report on Form 10-Q, including Management’s Discussion and Analysis of Financial Condition and Results of Operations, includes "forward-looking statements" within the meaning of Section 27A of the Securities Act of 1933 and Section 21E of the Securities Exchange Act of 1934. We intend that all forward-looking statements be subject to the safe harbors created by these laws. All statements, other than statements of historical facts, regarding our strategy, future operations, financial position, future revenues, projected costs, prospects, plans and objectives are forward-looking statements. These statements are often, but not always, made with words or phrases like “may,” “should,” “could,” “will,” “predict,” “anticipate,” “believe,” “estimate,” “expect,” “intend,” “plan,” “projection” and similar expressions. Such statements are only predictions of the outcome and timing of future events based on our current expectations and currently available information and, accordingly, are subject to substantial risks, uncertainties and assumptions. Actual results could differ materially from those expressed in the forward-looking statements due to a number of risks and uncertainties, many of which are beyond our control. In addition, we cannot predict all of the risks and uncertainties that could cause our actual results to differ from those expressed in the forward-</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122" w:right="259" w:bottom="1440" w:gutter="0" w:footer="0" w:header="0"/>
        </w:sectPr>
      </w:pPr>
    </w:p>
    <w:bookmarkStart w:id="50" w:name="page51"/>
    <w:bookmarkEnd w:id="5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2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looking statements. Accordingly, you should not regard any forward-looking statements as a representation that the expected results will be achieved. Important risk factors that could cause results or events to differ from current expectations are identified and described in “Part II, Item 1A—Risk Factors” of this Quarterly Report and “Part I, Item 1A—Risk Factors” of our Annual Report on Form 10-K for the year ended September 30, 2012.</w:t>
      </w:r>
    </w:p>
    <w:p>
      <w:pPr>
        <w:spacing w:after="0" w:line="11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We specifically disclaim any responsibility to publicly update any information contained in a forward-looking statement except as required by law. All forward-looking statements attributable to us are expressly qualified in their entirety by this cautionary statement.</w:t>
      </w:r>
    </w:p>
    <w:p>
      <w:pPr>
        <w:spacing w:after="0" w:line="200" w:lineRule="exact"/>
        <w:rPr>
          <w:sz w:val="20"/>
          <w:szCs w:val="20"/>
          <w:color w:val="auto"/>
        </w:rPr>
      </w:pPr>
    </w:p>
    <w:p>
      <w:pPr>
        <w:spacing w:after="0" w:line="37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60"/>
          </w:cols>
          <w:pgMar w:left="240" w:top="122" w:right="299" w:bottom="1440" w:gutter="0" w:footer="0" w:header="0"/>
        </w:sectPr>
      </w:pPr>
    </w:p>
    <w:bookmarkStart w:id="51" w:name="page52"/>
    <w:bookmarkEnd w:id="5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4. Controls and Procedures</w:t>
      </w:r>
    </w:p>
    <w:p>
      <w:pPr>
        <w:spacing w:after="0" w:line="90"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This report includes the certifications of our Chief Executive Officer and Chief Financial Officer required by Rule 13a-14 of the Securities Exchange Act of 1934 (the “Exchange Act). See Exhibits 31.1 and 31.2. This Item 4 includes information concerning the controls and control evaluations referred to in those certifications.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90" w:lineRule="exact"/>
        <w:rPr>
          <w:sz w:val="20"/>
          <w:szCs w:val="20"/>
          <w:color w:val="auto"/>
        </w:rPr>
      </w:pPr>
    </w:p>
    <w:p>
      <w:pPr>
        <w:ind w:right="280"/>
        <w:spacing w:after="0" w:line="272" w:lineRule="auto"/>
        <w:rPr>
          <w:sz w:val="20"/>
          <w:szCs w:val="20"/>
          <w:color w:val="auto"/>
        </w:rPr>
      </w:pPr>
      <w:r>
        <w:rPr>
          <w:rFonts w:ascii="Arial" w:cs="Arial" w:eastAsia="Arial" w:hAnsi="Arial"/>
          <w:sz w:val="17"/>
          <w:szCs w:val="17"/>
          <w:color w:val="auto"/>
        </w:rPr>
        <w:t>Disclosure controls and procedures (as defined in Rules 13a-15(e) and 15d-15(e) under the Securities Exchange Act of 1934) are designed to ensure that information required to be disclosed in the reports we file or submit under the Securities Exchange Act is recorded, processed, summarized and reported within the time periods specified in SEC rules and forms and that such information is accumulated and communicated to our management, including our Chief Executive Officer and Chief Financial Officer, to allow timely decisions regarding required disclosures. Under the supervision and with the participation of our Chief Executive Officer and Chief Financial Officer, our management evaluated the effectiveness of the design and operation of our disclosure controls and procedures as of December 31, 2012. Based on that evaluation, our Chief Executive Officer and Chief Financial Officer concluded that our disclosure controls and procedures were effective as of December 31, 2012.</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9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first quarter of fiscal 2013 that have materially affected, or are reasonably likely to materially affect, our internal control over financial reporting.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Inherent Limitations on Internal Controls</w:t>
      </w:r>
    </w:p>
    <w:p>
      <w:pPr>
        <w:spacing w:after="0" w:line="90"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Notwithstanding the foregoing, management does not expect that our disclosure controls and procedures or our internal control over financial reporting will prevent or detect all errors and all fraud. A control system, no matter how well designed and operated, can provide only reasonable, not absolute, assurance that the objectives of the control system will be met. Limitations inherent in any control system include the following:</w:t>
      </w:r>
    </w:p>
    <w:p>
      <w:pPr>
        <w:spacing w:after="0" w:line="57" w:lineRule="exact"/>
        <w:rPr>
          <w:sz w:val="20"/>
          <w:szCs w:val="20"/>
          <w:color w:val="auto"/>
        </w:rPr>
      </w:pPr>
    </w:p>
    <w:p>
      <w:pPr>
        <w:ind w:left="660" w:hanging="490"/>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Judgments in decision-making can be faulty, and control and process breakdowns can occur because of simple errors or mistakes.</w:t>
      </w:r>
    </w:p>
    <w:p>
      <w:pPr>
        <w:spacing w:after="0" w:line="225" w:lineRule="exact"/>
        <w:rPr>
          <w:rFonts w:ascii="Arial" w:cs="Arial" w:eastAsia="Arial" w:hAnsi="Arial"/>
          <w:sz w:val="18"/>
          <w:szCs w:val="18"/>
          <w:color w:val="auto"/>
        </w:rPr>
      </w:pPr>
    </w:p>
    <w:p>
      <w:pPr>
        <w:ind w:left="660" w:hanging="490"/>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Controls can be circumvented by individuals, acting alone or in collusion with others, or by management override.</w:t>
      </w:r>
    </w:p>
    <w:p>
      <w:pPr>
        <w:spacing w:after="0" w:line="225" w:lineRule="exact"/>
        <w:rPr>
          <w:rFonts w:ascii="Arial" w:cs="Arial" w:eastAsia="Arial" w:hAnsi="Arial"/>
          <w:sz w:val="18"/>
          <w:szCs w:val="18"/>
          <w:color w:val="auto"/>
        </w:rPr>
      </w:pPr>
    </w:p>
    <w:p>
      <w:pPr>
        <w:ind w:left="660" w:right="60" w:hanging="490"/>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design of any system of controls is based in part on certain assumptions about the likelihood of future events, and there can be no assurance that any design will succeed in achieving its stated goals under all potential future conditions.</w:t>
      </w:r>
    </w:p>
    <w:p>
      <w:pPr>
        <w:spacing w:after="0" w:line="170" w:lineRule="exact"/>
        <w:rPr>
          <w:rFonts w:ascii="Arial" w:cs="Arial" w:eastAsia="Arial" w:hAnsi="Arial"/>
          <w:sz w:val="18"/>
          <w:szCs w:val="18"/>
          <w:color w:val="auto"/>
        </w:rPr>
      </w:pPr>
    </w:p>
    <w:p>
      <w:pPr>
        <w:ind w:left="660" w:hanging="490"/>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Over time, controls may become inadequate because of changes in conditions or deterioration in the degree of compliance with associated policies or procedures.</w:t>
      </w:r>
    </w:p>
    <w:p>
      <w:pPr>
        <w:spacing w:after="0" w:line="170" w:lineRule="exact"/>
        <w:rPr>
          <w:rFonts w:ascii="Arial" w:cs="Arial" w:eastAsia="Arial" w:hAnsi="Arial"/>
          <w:sz w:val="18"/>
          <w:szCs w:val="18"/>
          <w:color w:val="auto"/>
        </w:rPr>
      </w:pPr>
    </w:p>
    <w:p>
      <w:pPr>
        <w:ind w:left="660" w:right="240" w:hanging="490"/>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design of a control system must reflect the fact that resources are constrained, and the benefits of controls must be considered relative to their costs.</w:t>
      </w:r>
    </w:p>
    <w:p>
      <w:pPr>
        <w:spacing w:after="0" w:line="22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Because of the inherent limitations in all control systems, no evaluation of controls can provide absolute assurance that all control issues and instances of fraud, if any, have been detected.</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122" w:right="259" w:bottom="1440" w:gutter="0" w:footer="0" w:header="0"/>
        </w:sectPr>
      </w:pPr>
    </w:p>
    <w:bookmarkStart w:id="52" w:name="page53"/>
    <w:bookmarkEnd w:id="5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 Legal Proceedings</w:t>
      </w:r>
    </w:p>
    <w:p>
      <w:pPr>
        <w:spacing w:after="0" w:line="9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Currently and from time to time, we are defendants in various legal and regulatory actions. While we cannot determine the ultimate outcome of these actions, we believe their resolution will not have a material adverse effect on our financial condition, results of operations or liquidity. However, we cannot give any assurance as to their ultimate outcome.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1A. Risk Factors</w:t>
      </w:r>
    </w:p>
    <w:p>
      <w:pPr>
        <w:spacing w:after="0" w:line="9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Important risk factors that could affect our operations and financial performance, or that could cause results or events to differ from current expectations, are described in Part I, Item 1A, “Risk Factors” of our Annual Report on Form 10-K for the year ended September 30, 2012. These factors are supplemented by those discussed under “Quantitative and Qualitative Disclosures about Market Risk” in Part I, Item 3 of this report and in Part II, Item 7A of our Annual Report on Form 10-K for the year ended September 30, 2012.</w:t>
      </w:r>
    </w:p>
    <w:p>
      <w:pPr>
        <w:spacing w:after="0" w:line="200" w:lineRule="exact"/>
        <w:rPr>
          <w:sz w:val="20"/>
          <w:szCs w:val="20"/>
          <w:color w:val="auto"/>
        </w:rPr>
      </w:pPr>
    </w:p>
    <w:p>
      <w:pPr>
        <w:spacing w:after="0" w:line="3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40"/>
          </w:cols>
          <w:pgMar w:left="240" w:top="122" w:right="319" w:bottom="1440" w:gutter="0" w:footer="0" w:header="0"/>
        </w:sectPr>
      </w:pPr>
    </w:p>
    <w:bookmarkStart w:id="53" w:name="page54"/>
    <w:bookmarkEnd w:id="5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6. Exhibits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400" w:type="dxa"/>
        <w:tblCellMar>
          <w:top w:w="0" w:type="dxa"/>
          <w:left w:w="0" w:type="dxa"/>
          <w:bottom w:w="0" w:type="dxa"/>
          <w:right w:w="0" w:type="dxa"/>
        </w:tblCellMar>
      </w:tblPr>
      <w:tr>
        <w:trPr>
          <w:trHeight w:val="186"/>
        </w:trPr>
        <w:tc>
          <w:tcPr>
            <w:tcW w:w="1000" w:type="dxa"/>
            <w:vAlign w:val="bottom"/>
          </w:tcPr>
          <w:p>
            <w:pPr>
              <w:jc w:val="right"/>
              <w:ind w:right="151"/>
              <w:spacing w:after="0"/>
              <w:rPr>
                <w:sz w:val="20"/>
                <w:szCs w:val="20"/>
                <w:color w:val="auto"/>
              </w:rPr>
            </w:pPr>
            <w:r>
              <w:rPr>
                <w:rFonts w:ascii="Arial" w:cs="Arial" w:eastAsia="Arial" w:hAnsi="Arial"/>
                <w:sz w:val="14"/>
                <w:szCs w:val="14"/>
                <w:b w:val="1"/>
                <w:bCs w:val="1"/>
                <w:color w:val="auto"/>
              </w:rPr>
              <w:t>Exhibit No.</w:t>
            </w:r>
          </w:p>
        </w:tc>
        <w:tc>
          <w:tcPr>
            <w:tcW w:w="9960" w:type="dxa"/>
            <w:vAlign w:val="bottom"/>
          </w:tcPr>
          <w:p>
            <w:pPr>
              <w:ind w:left="240"/>
              <w:spacing w:after="0"/>
              <w:rPr>
                <w:sz w:val="20"/>
                <w:szCs w:val="20"/>
                <w:color w:val="auto"/>
              </w:rPr>
            </w:pPr>
            <w:r>
              <w:rPr>
                <w:rFonts w:ascii="Arial" w:cs="Arial" w:eastAsia="Arial" w:hAnsi="Arial"/>
                <w:sz w:val="14"/>
                <w:szCs w:val="14"/>
                <w:b w:val="1"/>
                <w:bCs w:val="1"/>
                <w:color w:val="auto"/>
              </w:rPr>
              <w:t>Description of Exhibit</w:t>
            </w:r>
          </w:p>
        </w:tc>
      </w:tr>
      <w:tr>
        <w:trPr>
          <w:trHeight w:val="470"/>
        </w:trPr>
        <w:tc>
          <w:tcPr>
            <w:tcW w:w="1000" w:type="dxa"/>
            <w:vAlign w:val="bottom"/>
          </w:tcPr>
          <w:p>
            <w:pPr>
              <w:jc w:val="right"/>
              <w:ind w:right="151"/>
              <w:spacing w:after="0"/>
              <w:rPr>
                <w:sz w:val="20"/>
                <w:szCs w:val="20"/>
                <w:color w:val="auto"/>
              </w:rPr>
            </w:pPr>
            <w:r>
              <w:rPr>
                <w:rFonts w:ascii="Arial" w:cs="Arial" w:eastAsia="Arial" w:hAnsi="Arial"/>
                <w:sz w:val="18"/>
                <w:szCs w:val="18"/>
                <w:color w:val="auto"/>
              </w:rPr>
              <w:t>10.1</w:t>
            </w:r>
          </w:p>
        </w:tc>
        <w:tc>
          <w:tcPr>
            <w:tcW w:w="9960" w:type="dxa"/>
            <w:vAlign w:val="bottom"/>
          </w:tcPr>
          <w:p>
            <w:pPr>
              <w:ind w:left="240"/>
              <w:spacing w:after="0"/>
              <w:rPr>
                <w:sz w:val="20"/>
                <w:szCs w:val="20"/>
                <w:color w:val="auto"/>
              </w:rPr>
            </w:pPr>
            <w:r>
              <w:rPr>
                <w:rFonts w:ascii="Arial" w:cs="Arial" w:eastAsia="Arial" w:hAnsi="Arial"/>
                <w:sz w:val="18"/>
                <w:szCs w:val="18"/>
                <w:color w:val="auto"/>
                <w:w w:val="97"/>
              </w:rPr>
              <w:t>Advisory Services Agreement, dated as of October 1, 2012, between EZCORP, Inc. and Madison Park, LLC (incorporated by</w:t>
            </w:r>
          </w:p>
        </w:tc>
      </w:tr>
      <w:tr>
        <w:trPr>
          <w:trHeight w:val="216"/>
        </w:trPr>
        <w:tc>
          <w:tcPr>
            <w:tcW w:w="1000" w:type="dxa"/>
            <w:vAlign w:val="bottom"/>
          </w:tcPr>
          <w:p>
            <w:pPr>
              <w:spacing w:after="0"/>
              <w:rPr>
                <w:sz w:val="18"/>
                <w:szCs w:val="18"/>
                <w:color w:val="auto"/>
              </w:rPr>
            </w:pPr>
          </w:p>
        </w:tc>
        <w:tc>
          <w:tcPr>
            <w:tcW w:w="9960" w:type="dxa"/>
            <w:vAlign w:val="bottom"/>
          </w:tcPr>
          <w:p>
            <w:pPr>
              <w:ind w:left="240"/>
              <w:spacing w:after="0"/>
              <w:rPr>
                <w:sz w:val="20"/>
                <w:szCs w:val="20"/>
                <w:color w:val="auto"/>
              </w:rPr>
            </w:pPr>
            <w:r>
              <w:rPr>
                <w:rFonts w:ascii="Arial" w:cs="Arial" w:eastAsia="Arial" w:hAnsi="Arial"/>
                <w:sz w:val="18"/>
                <w:szCs w:val="18"/>
                <w:color w:val="auto"/>
                <w:w w:val="97"/>
              </w:rPr>
              <w:t>reference to Exhibit 10.1 to the Company’s Current Report on Form 8-K dated September 28, 2012 and filed October 4, 2012,</w:t>
            </w:r>
          </w:p>
        </w:tc>
      </w:tr>
      <w:tr>
        <w:trPr>
          <w:trHeight w:val="230"/>
        </w:trPr>
        <w:tc>
          <w:tcPr>
            <w:tcW w:w="1000" w:type="dxa"/>
            <w:vAlign w:val="bottom"/>
          </w:tcPr>
          <w:p>
            <w:pPr>
              <w:spacing w:after="0"/>
              <w:rPr>
                <w:sz w:val="20"/>
                <w:szCs w:val="20"/>
                <w:color w:val="auto"/>
              </w:rPr>
            </w:pPr>
          </w:p>
        </w:tc>
        <w:tc>
          <w:tcPr>
            <w:tcW w:w="9960" w:type="dxa"/>
            <w:vAlign w:val="bottom"/>
          </w:tcPr>
          <w:p>
            <w:pPr>
              <w:ind w:left="240"/>
              <w:spacing w:after="0"/>
              <w:rPr>
                <w:sz w:val="20"/>
                <w:szCs w:val="20"/>
                <w:color w:val="auto"/>
              </w:rPr>
            </w:pPr>
            <w:r>
              <w:rPr>
                <w:rFonts w:ascii="Arial" w:cs="Arial" w:eastAsia="Arial" w:hAnsi="Arial"/>
                <w:sz w:val="18"/>
                <w:szCs w:val="18"/>
                <w:color w:val="auto"/>
              </w:rPr>
              <w:t>Commission File No. 0-19424)</w:t>
            </w:r>
          </w:p>
        </w:tc>
      </w:tr>
      <w:tr>
        <w:trPr>
          <w:trHeight w:val="485"/>
        </w:trPr>
        <w:tc>
          <w:tcPr>
            <w:tcW w:w="1000" w:type="dxa"/>
            <w:vAlign w:val="bottom"/>
          </w:tcPr>
          <w:p>
            <w:pPr>
              <w:jc w:val="right"/>
              <w:ind w:right="151"/>
              <w:spacing w:after="0"/>
              <w:rPr>
                <w:sz w:val="20"/>
                <w:szCs w:val="20"/>
                <w:color w:val="auto"/>
              </w:rPr>
            </w:pPr>
            <w:r>
              <w:rPr>
                <w:rFonts w:ascii="Arial" w:cs="Arial" w:eastAsia="Arial" w:hAnsi="Arial"/>
                <w:sz w:val="18"/>
                <w:szCs w:val="18"/>
                <w:color w:val="auto"/>
              </w:rPr>
              <w:t>10.2</w:t>
            </w:r>
          </w:p>
        </w:tc>
        <w:tc>
          <w:tcPr>
            <w:tcW w:w="9960" w:type="dxa"/>
            <w:vAlign w:val="bottom"/>
          </w:tcPr>
          <w:p>
            <w:pPr>
              <w:ind w:left="240"/>
              <w:spacing w:after="0"/>
              <w:rPr>
                <w:sz w:val="20"/>
                <w:szCs w:val="20"/>
                <w:color w:val="auto"/>
              </w:rPr>
            </w:pPr>
            <w:r>
              <w:rPr>
                <w:rFonts w:ascii="Arial" w:cs="Arial" w:eastAsia="Arial" w:hAnsi="Arial"/>
                <w:sz w:val="18"/>
                <w:szCs w:val="18"/>
                <w:color w:val="auto"/>
                <w:w w:val="90"/>
              </w:rPr>
              <w:t>EZCORP, Inc. Incentive Compensation Plan (as amended) (incorporated by reference to Exhibit 10.2 to the Company's Current Report</w:t>
            </w:r>
          </w:p>
        </w:tc>
      </w:tr>
      <w:tr>
        <w:trPr>
          <w:trHeight w:val="230"/>
        </w:trPr>
        <w:tc>
          <w:tcPr>
            <w:tcW w:w="1000" w:type="dxa"/>
            <w:vAlign w:val="bottom"/>
          </w:tcPr>
          <w:p>
            <w:pPr>
              <w:spacing w:after="0"/>
              <w:rPr>
                <w:sz w:val="20"/>
                <w:szCs w:val="20"/>
                <w:color w:val="auto"/>
              </w:rPr>
            </w:pPr>
          </w:p>
        </w:tc>
        <w:tc>
          <w:tcPr>
            <w:tcW w:w="9960" w:type="dxa"/>
            <w:vAlign w:val="bottom"/>
          </w:tcPr>
          <w:p>
            <w:pPr>
              <w:ind w:left="240"/>
              <w:spacing w:after="0"/>
              <w:rPr>
                <w:sz w:val="20"/>
                <w:szCs w:val="20"/>
                <w:color w:val="auto"/>
              </w:rPr>
            </w:pPr>
            <w:r>
              <w:rPr>
                <w:rFonts w:ascii="Arial" w:cs="Arial" w:eastAsia="Arial" w:hAnsi="Arial"/>
                <w:sz w:val="18"/>
                <w:szCs w:val="18"/>
                <w:color w:val="auto"/>
              </w:rPr>
              <w:t>on Form 8-K dated September 28, 2012 and filed October 4, 2012, Commission File No. 0-19424)</w:t>
            </w:r>
          </w:p>
        </w:tc>
      </w:tr>
      <w:tr>
        <w:trPr>
          <w:trHeight w:val="485"/>
        </w:trPr>
        <w:tc>
          <w:tcPr>
            <w:tcW w:w="1000" w:type="dxa"/>
            <w:vAlign w:val="bottom"/>
          </w:tcPr>
          <w:p>
            <w:pPr>
              <w:jc w:val="right"/>
              <w:ind w:right="151"/>
              <w:spacing w:after="0"/>
              <w:rPr>
                <w:sz w:val="20"/>
                <w:szCs w:val="20"/>
                <w:color w:val="auto"/>
              </w:rPr>
            </w:pPr>
            <w:r>
              <w:rPr>
                <w:rFonts w:ascii="Arial" w:cs="Arial" w:eastAsia="Arial" w:hAnsi="Arial"/>
                <w:sz w:val="18"/>
                <w:szCs w:val="18"/>
                <w:color w:val="auto"/>
              </w:rPr>
              <w:t>10.3</w:t>
            </w:r>
          </w:p>
        </w:tc>
        <w:tc>
          <w:tcPr>
            <w:tcW w:w="9960" w:type="dxa"/>
            <w:vAlign w:val="bottom"/>
          </w:tcPr>
          <w:p>
            <w:pPr>
              <w:ind w:left="240"/>
              <w:spacing w:after="0"/>
              <w:rPr>
                <w:sz w:val="20"/>
                <w:szCs w:val="20"/>
                <w:color w:val="auto"/>
              </w:rPr>
            </w:pPr>
            <w:r>
              <w:rPr>
                <w:rFonts w:ascii="Arial" w:cs="Arial" w:eastAsia="Arial" w:hAnsi="Arial"/>
                <w:sz w:val="18"/>
                <w:szCs w:val="18"/>
                <w:color w:val="auto"/>
                <w:w w:val="90"/>
              </w:rPr>
              <w:t>Separation Agreement and Release, dated October 3, 2012, between EZCORP, Inc. and Stephen A. Stamp (incorporated by reference</w:t>
            </w:r>
          </w:p>
        </w:tc>
      </w:tr>
      <w:tr>
        <w:trPr>
          <w:trHeight w:val="216"/>
        </w:trPr>
        <w:tc>
          <w:tcPr>
            <w:tcW w:w="1000" w:type="dxa"/>
            <w:vAlign w:val="bottom"/>
          </w:tcPr>
          <w:p>
            <w:pPr>
              <w:spacing w:after="0"/>
              <w:rPr>
                <w:sz w:val="18"/>
                <w:szCs w:val="18"/>
                <w:color w:val="auto"/>
              </w:rPr>
            </w:pPr>
          </w:p>
        </w:tc>
        <w:tc>
          <w:tcPr>
            <w:tcW w:w="9960" w:type="dxa"/>
            <w:vAlign w:val="bottom"/>
          </w:tcPr>
          <w:p>
            <w:pPr>
              <w:ind w:left="240"/>
              <w:spacing w:after="0"/>
              <w:rPr>
                <w:sz w:val="20"/>
                <w:szCs w:val="20"/>
                <w:color w:val="auto"/>
              </w:rPr>
            </w:pPr>
            <w:r>
              <w:rPr>
                <w:rFonts w:ascii="Arial" w:cs="Arial" w:eastAsia="Arial" w:hAnsi="Arial"/>
                <w:sz w:val="18"/>
                <w:szCs w:val="18"/>
                <w:color w:val="auto"/>
                <w:w w:val="93"/>
              </w:rPr>
              <w:t>to Exhibit 99.1 to the Company's Current Report on Form 8-K dated October 24, 2012 and filed October 29, 2012, Commission File</w:t>
            </w:r>
          </w:p>
        </w:tc>
      </w:tr>
      <w:tr>
        <w:trPr>
          <w:trHeight w:val="230"/>
        </w:trPr>
        <w:tc>
          <w:tcPr>
            <w:tcW w:w="1000" w:type="dxa"/>
            <w:vAlign w:val="bottom"/>
          </w:tcPr>
          <w:p>
            <w:pPr>
              <w:spacing w:after="0"/>
              <w:rPr>
                <w:sz w:val="20"/>
                <w:szCs w:val="20"/>
                <w:color w:val="auto"/>
              </w:rPr>
            </w:pPr>
          </w:p>
        </w:tc>
        <w:tc>
          <w:tcPr>
            <w:tcW w:w="9960" w:type="dxa"/>
            <w:vAlign w:val="bottom"/>
          </w:tcPr>
          <w:p>
            <w:pPr>
              <w:ind w:left="240"/>
              <w:spacing w:after="0"/>
              <w:rPr>
                <w:sz w:val="20"/>
                <w:szCs w:val="20"/>
                <w:color w:val="auto"/>
              </w:rPr>
            </w:pPr>
            <w:r>
              <w:rPr>
                <w:rFonts w:ascii="Arial" w:cs="Arial" w:eastAsia="Arial" w:hAnsi="Arial"/>
                <w:sz w:val="18"/>
                <w:szCs w:val="18"/>
                <w:color w:val="auto"/>
              </w:rPr>
              <w:t>No. 0-19424)</w:t>
            </w:r>
          </w:p>
        </w:tc>
      </w:tr>
      <w:tr>
        <w:trPr>
          <w:trHeight w:val="485"/>
        </w:trPr>
        <w:tc>
          <w:tcPr>
            <w:tcW w:w="1000" w:type="dxa"/>
            <w:vAlign w:val="bottom"/>
          </w:tcPr>
          <w:p>
            <w:pPr>
              <w:jc w:val="right"/>
              <w:ind w:right="151"/>
              <w:spacing w:after="0"/>
              <w:rPr>
                <w:sz w:val="20"/>
                <w:szCs w:val="20"/>
                <w:color w:val="auto"/>
              </w:rPr>
            </w:pPr>
            <w:r>
              <w:rPr>
                <w:rFonts w:ascii="Arial" w:cs="Arial" w:eastAsia="Arial" w:hAnsi="Arial"/>
                <w:sz w:val="18"/>
                <w:szCs w:val="18"/>
                <w:color w:val="auto"/>
              </w:rPr>
              <w:t>10.4</w:t>
            </w:r>
          </w:p>
        </w:tc>
        <w:tc>
          <w:tcPr>
            <w:tcW w:w="9960" w:type="dxa"/>
            <w:vAlign w:val="bottom"/>
          </w:tcPr>
          <w:p>
            <w:pPr>
              <w:ind w:left="240"/>
              <w:spacing w:after="0"/>
              <w:rPr>
                <w:sz w:val="20"/>
                <w:szCs w:val="20"/>
                <w:color w:val="auto"/>
              </w:rPr>
            </w:pPr>
            <w:r>
              <w:rPr>
                <w:rFonts w:ascii="Arial" w:cs="Arial" w:eastAsia="Arial" w:hAnsi="Arial"/>
                <w:sz w:val="18"/>
                <w:szCs w:val="18"/>
                <w:color w:val="auto"/>
                <w:w w:val="93"/>
              </w:rPr>
              <w:t>Separation Agreement and Release between EZCORP, Inc. and William E. Fosse (incorporated by reference to Exhibit 99.1 to the</w:t>
            </w:r>
          </w:p>
        </w:tc>
      </w:tr>
      <w:tr>
        <w:trPr>
          <w:trHeight w:val="230"/>
        </w:trPr>
        <w:tc>
          <w:tcPr>
            <w:tcW w:w="1000" w:type="dxa"/>
            <w:vAlign w:val="bottom"/>
          </w:tcPr>
          <w:p>
            <w:pPr>
              <w:spacing w:after="0"/>
              <w:rPr>
                <w:sz w:val="20"/>
                <w:szCs w:val="20"/>
                <w:color w:val="auto"/>
              </w:rPr>
            </w:pPr>
          </w:p>
        </w:tc>
        <w:tc>
          <w:tcPr>
            <w:tcW w:w="9960" w:type="dxa"/>
            <w:vAlign w:val="bottom"/>
          </w:tcPr>
          <w:p>
            <w:pPr>
              <w:ind w:left="240"/>
              <w:spacing w:after="0"/>
              <w:rPr>
                <w:sz w:val="20"/>
                <w:szCs w:val="20"/>
                <w:color w:val="auto"/>
              </w:rPr>
            </w:pPr>
            <w:r>
              <w:rPr>
                <w:rFonts w:ascii="Arial" w:cs="Arial" w:eastAsia="Arial" w:hAnsi="Arial"/>
                <w:sz w:val="18"/>
                <w:szCs w:val="18"/>
                <w:color w:val="auto"/>
                <w:w w:val="95"/>
              </w:rPr>
              <w:t>Company's Current Report on Form 8-K dated December 14, 2012 and filed December 20, 2012, Commission File No. 0-19424)</w:t>
            </w:r>
          </w:p>
        </w:tc>
      </w:tr>
      <w:tr>
        <w:trPr>
          <w:trHeight w:val="485"/>
        </w:trPr>
        <w:tc>
          <w:tcPr>
            <w:tcW w:w="1000" w:type="dxa"/>
            <w:vAlign w:val="bottom"/>
          </w:tcPr>
          <w:p>
            <w:pPr>
              <w:jc w:val="right"/>
              <w:ind w:right="151"/>
              <w:spacing w:after="0"/>
              <w:rPr>
                <w:sz w:val="20"/>
                <w:szCs w:val="20"/>
                <w:color w:val="auto"/>
              </w:rPr>
            </w:pPr>
            <w:r>
              <w:rPr>
                <w:rFonts w:ascii="Arial" w:cs="Arial" w:eastAsia="Arial" w:hAnsi="Arial"/>
                <w:sz w:val="18"/>
                <w:szCs w:val="18"/>
                <w:color w:val="auto"/>
              </w:rPr>
              <w:t>10.5</w:t>
            </w:r>
          </w:p>
        </w:tc>
        <w:tc>
          <w:tcPr>
            <w:tcW w:w="9960" w:type="dxa"/>
            <w:vAlign w:val="bottom"/>
          </w:tcPr>
          <w:p>
            <w:pPr>
              <w:ind w:left="240"/>
              <w:spacing w:after="0"/>
              <w:rPr>
                <w:sz w:val="20"/>
                <w:szCs w:val="20"/>
                <w:color w:val="auto"/>
              </w:rPr>
            </w:pPr>
            <w:r>
              <w:rPr>
                <w:rFonts w:ascii="Arial" w:cs="Arial" w:eastAsia="Arial" w:hAnsi="Arial"/>
                <w:sz w:val="18"/>
                <w:szCs w:val="18"/>
                <w:color w:val="auto"/>
                <w:w w:val="89"/>
              </w:rPr>
              <w:t>Asset Purchase Agreement, dated November 20, 2012, by and among EZCORP, Inc. and EZCORP Online, Inc., as purchasers, and Go</w:t>
            </w:r>
          </w:p>
        </w:tc>
      </w:tr>
      <w:tr>
        <w:trPr>
          <w:trHeight w:val="216"/>
        </w:trPr>
        <w:tc>
          <w:tcPr>
            <w:tcW w:w="1000" w:type="dxa"/>
            <w:vAlign w:val="bottom"/>
          </w:tcPr>
          <w:p>
            <w:pPr>
              <w:spacing w:after="0"/>
              <w:rPr>
                <w:sz w:val="18"/>
                <w:szCs w:val="18"/>
                <w:color w:val="auto"/>
              </w:rPr>
            </w:pPr>
          </w:p>
        </w:tc>
        <w:tc>
          <w:tcPr>
            <w:tcW w:w="9960" w:type="dxa"/>
            <w:vAlign w:val="bottom"/>
          </w:tcPr>
          <w:p>
            <w:pPr>
              <w:ind w:left="240"/>
              <w:spacing w:after="0"/>
              <w:rPr>
                <w:sz w:val="20"/>
                <w:szCs w:val="20"/>
                <w:color w:val="auto"/>
              </w:rPr>
            </w:pPr>
            <w:r>
              <w:rPr>
                <w:rFonts w:ascii="Arial" w:cs="Arial" w:eastAsia="Arial" w:hAnsi="Arial"/>
                <w:sz w:val="18"/>
                <w:szCs w:val="18"/>
                <w:color w:val="auto"/>
                <w:w w:val="93"/>
              </w:rPr>
              <w:t>Cash, LLC and certain of its affiliates, as sellers (the “Asset Purchase Agreement”) (incorporated by reference to Exhibit 10.1 to the</w:t>
            </w:r>
          </w:p>
        </w:tc>
      </w:tr>
      <w:tr>
        <w:trPr>
          <w:trHeight w:val="230"/>
        </w:trPr>
        <w:tc>
          <w:tcPr>
            <w:tcW w:w="1000" w:type="dxa"/>
            <w:vAlign w:val="bottom"/>
          </w:tcPr>
          <w:p>
            <w:pPr>
              <w:spacing w:after="0"/>
              <w:rPr>
                <w:sz w:val="20"/>
                <w:szCs w:val="20"/>
                <w:color w:val="auto"/>
              </w:rPr>
            </w:pPr>
          </w:p>
        </w:tc>
        <w:tc>
          <w:tcPr>
            <w:tcW w:w="9960" w:type="dxa"/>
            <w:vAlign w:val="bottom"/>
          </w:tcPr>
          <w:p>
            <w:pPr>
              <w:ind w:left="240"/>
              <w:spacing w:after="0"/>
              <w:rPr>
                <w:sz w:val="20"/>
                <w:szCs w:val="20"/>
                <w:color w:val="auto"/>
              </w:rPr>
            </w:pPr>
            <w:r>
              <w:rPr>
                <w:rFonts w:ascii="Arial" w:cs="Arial" w:eastAsia="Arial" w:hAnsi="Arial"/>
                <w:sz w:val="18"/>
                <w:szCs w:val="18"/>
                <w:color w:val="auto"/>
                <w:w w:val="95"/>
              </w:rPr>
              <w:t>Company's Current Report on Form 8-K dated December 20, 2012 and filed December 20, 2012, Commission File No. 0-19424)</w:t>
            </w:r>
          </w:p>
        </w:tc>
      </w:tr>
      <w:tr>
        <w:trPr>
          <w:trHeight w:val="485"/>
        </w:trPr>
        <w:tc>
          <w:tcPr>
            <w:tcW w:w="1000" w:type="dxa"/>
            <w:vAlign w:val="bottom"/>
          </w:tcPr>
          <w:p>
            <w:pPr>
              <w:jc w:val="right"/>
              <w:ind w:right="151"/>
              <w:spacing w:after="0"/>
              <w:rPr>
                <w:sz w:val="20"/>
                <w:szCs w:val="20"/>
                <w:color w:val="auto"/>
              </w:rPr>
            </w:pPr>
            <w:r>
              <w:rPr>
                <w:rFonts w:ascii="Arial" w:cs="Arial" w:eastAsia="Arial" w:hAnsi="Arial"/>
                <w:sz w:val="18"/>
                <w:szCs w:val="18"/>
                <w:color w:val="auto"/>
              </w:rPr>
              <w:t>10.6</w:t>
            </w:r>
          </w:p>
        </w:tc>
        <w:tc>
          <w:tcPr>
            <w:tcW w:w="9960" w:type="dxa"/>
            <w:vAlign w:val="bottom"/>
          </w:tcPr>
          <w:p>
            <w:pPr>
              <w:ind w:left="240"/>
              <w:spacing w:after="0"/>
              <w:rPr>
                <w:sz w:val="20"/>
                <w:szCs w:val="20"/>
                <w:color w:val="auto"/>
              </w:rPr>
            </w:pPr>
            <w:r>
              <w:rPr>
                <w:rFonts w:ascii="Arial" w:cs="Arial" w:eastAsia="Arial" w:hAnsi="Arial"/>
                <w:sz w:val="18"/>
                <w:szCs w:val="18"/>
                <w:color w:val="auto"/>
                <w:w w:val="93"/>
              </w:rPr>
              <w:t>Amendment to Asset Purchase Agreement, dated December 12, 2012 (incorporated by reference to Exhibit 10.2 to the Company's</w:t>
            </w:r>
          </w:p>
        </w:tc>
      </w:tr>
      <w:tr>
        <w:trPr>
          <w:trHeight w:val="230"/>
        </w:trPr>
        <w:tc>
          <w:tcPr>
            <w:tcW w:w="1000" w:type="dxa"/>
            <w:vAlign w:val="bottom"/>
          </w:tcPr>
          <w:p>
            <w:pPr>
              <w:spacing w:after="0"/>
              <w:rPr>
                <w:sz w:val="20"/>
                <w:szCs w:val="20"/>
                <w:color w:val="auto"/>
              </w:rPr>
            </w:pPr>
          </w:p>
        </w:tc>
        <w:tc>
          <w:tcPr>
            <w:tcW w:w="9960" w:type="dxa"/>
            <w:vAlign w:val="bottom"/>
          </w:tcPr>
          <w:p>
            <w:pPr>
              <w:ind w:left="240"/>
              <w:spacing w:after="0"/>
              <w:rPr>
                <w:sz w:val="20"/>
                <w:szCs w:val="20"/>
                <w:color w:val="auto"/>
              </w:rPr>
            </w:pPr>
            <w:r>
              <w:rPr>
                <w:rFonts w:ascii="Arial" w:cs="Arial" w:eastAsia="Arial" w:hAnsi="Arial"/>
                <w:sz w:val="18"/>
                <w:szCs w:val="18"/>
                <w:color w:val="auto"/>
              </w:rPr>
              <w:t>Current Report on Form 8-K dated December 20, 2012 and filed December 20, 2012, Commission file No. 0-19424)</w:t>
            </w:r>
          </w:p>
        </w:tc>
      </w:tr>
      <w:tr>
        <w:trPr>
          <w:trHeight w:val="485"/>
        </w:trPr>
        <w:tc>
          <w:tcPr>
            <w:tcW w:w="1000" w:type="dxa"/>
            <w:vAlign w:val="bottom"/>
          </w:tcPr>
          <w:p>
            <w:pPr>
              <w:jc w:val="right"/>
              <w:ind w:right="151"/>
              <w:spacing w:after="0"/>
              <w:rPr>
                <w:sz w:val="20"/>
                <w:szCs w:val="20"/>
                <w:color w:val="auto"/>
              </w:rPr>
            </w:pPr>
            <w:r>
              <w:rPr>
                <w:rFonts w:ascii="Arial" w:cs="Arial" w:eastAsia="Arial" w:hAnsi="Arial"/>
                <w:sz w:val="18"/>
                <w:szCs w:val="18"/>
                <w:color w:val="auto"/>
              </w:rPr>
              <w:t>31.1</w:t>
            </w:r>
          </w:p>
        </w:tc>
        <w:tc>
          <w:tcPr>
            <w:tcW w:w="9960" w:type="dxa"/>
            <w:vAlign w:val="bottom"/>
          </w:tcPr>
          <w:p>
            <w:pPr>
              <w:ind w:left="240"/>
              <w:spacing w:after="0"/>
              <w:rPr>
                <w:sz w:val="20"/>
                <w:szCs w:val="20"/>
                <w:color w:val="auto"/>
              </w:rPr>
            </w:pPr>
            <w:r>
              <w:rPr>
                <w:rFonts w:ascii="Arial" w:cs="Arial" w:eastAsia="Arial" w:hAnsi="Arial"/>
                <w:sz w:val="18"/>
                <w:szCs w:val="18"/>
                <w:color w:val="auto"/>
                <w:w w:val="92"/>
              </w:rPr>
              <w:t>Certification of Paul E. Rothamel, Chief Executive Officer, pursuant to Rule 13a-14(a) under the Securities Exchange Act of 1934, as</w:t>
            </w:r>
          </w:p>
        </w:tc>
      </w:tr>
      <w:tr>
        <w:trPr>
          <w:trHeight w:val="230"/>
        </w:trPr>
        <w:tc>
          <w:tcPr>
            <w:tcW w:w="1000" w:type="dxa"/>
            <w:vAlign w:val="bottom"/>
          </w:tcPr>
          <w:p>
            <w:pPr>
              <w:spacing w:after="0"/>
              <w:rPr>
                <w:sz w:val="20"/>
                <w:szCs w:val="20"/>
                <w:color w:val="auto"/>
              </w:rPr>
            </w:pPr>
          </w:p>
        </w:tc>
        <w:tc>
          <w:tcPr>
            <w:tcW w:w="9960" w:type="dxa"/>
            <w:vAlign w:val="bottom"/>
          </w:tcPr>
          <w:p>
            <w:pPr>
              <w:ind w:left="240"/>
              <w:spacing w:after="0"/>
              <w:rPr>
                <w:sz w:val="20"/>
                <w:szCs w:val="20"/>
                <w:color w:val="auto"/>
              </w:rPr>
            </w:pPr>
            <w:r>
              <w:rPr>
                <w:rFonts w:ascii="Arial" w:cs="Arial" w:eastAsia="Arial" w:hAnsi="Arial"/>
                <w:sz w:val="18"/>
                <w:szCs w:val="18"/>
                <w:color w:val="auto"/>
              </w:rPr>
              <w:t>adopted pursuant to Section 302 of the Sarbanes-Oxley Act of 2002</w:t>
            </w:r>
          </w:p>
        </w:tc>
      </w:tr>
      <w:tr>
        <w:trPr>
          <w:trHeight w:val="485"/>
        </w:trPr>
        <w:tc>
          <w:tcPr>
            <w:tcW w:w="1000" w:type="dxa"/>
            <w:vAlign w:val="bottom"/>
          </w:tcPr>
          <w:p>
            <w:pPr>
              <w:jc w:val="right"/>
              <w:ind w:right="151"/>
              <w:spacing w:after="0"/>
              <w:rPr>
                <w:sz w:val="20"/>
                <w:szCs w:val="20"/>
                <w:color w:val="auto"/>
              </w:rPr>
            </w:pPr>
            <w:r>
              <w:rPr>
                <w:rFonts w:ascii="Arial" w:cs="Arial" w:eastAsia="Arial" w:hAnsi="Arial"/>
                <w:sz w:val="18"/>
                <w:szCs w:val="18"/>
                <w:color w:val="auto"/>
              </w:rPr>
              <w:t>31.2</w:t>
            </w:r>
          </w:p>
        </w:tc>
        <w:tc>
          <w:tcPr>
            <w:tcW w:w="9960" w:type="dxa"/>
            <w:vAlign w:val="bottom"/>
          </w:tcPr>
          <w:p>
            <w:pPr>
              <w:ind w:left="240"/>
              <w:spacing w:after="0"/>
              <w:rPr>
                <w:sz w:val="20"/>
                <w:szCs w:val="20"/>
                <w:color w:val="auto"/>
              </w:rPr>
            </w:pPr>
            <w:r>
              <w:rPr>
                <w:rFonts w:ascii="Arial" w:cs="Arial" w:eastAsia="Arial" w:hAnsi="Arial"/>
                <w:sz w:val="18"/>
                <w:szCs w:val="18"/>
                <w:color w:val="auto"/>
                <w:w w:val="91"/>
              </w:rPr>
              <w:t>Certification of Mark Kuchenrither, Chief Financial Officer, pursuant to Rule 13a-14(a) under the Securities Exchange Act of 1934, as</w:t>
            </w:r>
          </w:p>
        </w:tc>
      </w:tr>
      <w:tr>
        <w:trPr>
          <w:trHeight w:val="230"/>
        </w:trPr>
        <w:tc>
          <w:tcPr>
            <w:tcW w:w="1000" w:type="dxa"/>
            <w:vAlign w:val="bottom"/>
          </w:tcPr>
          <w:p>
            <w:pPr>
              <w:spacing w:after="0"/>
              <w:rPr>
                <w:sz w:val="20"/>
                <w:szCs w:val="20"/>
                <w:color w:val="auto"/>
              </w:rPr>
            </w:pPr>
          </w:p>
        </w:tc>
        <w:tc>
          <w:tcPr>
            <w:tcW w:w="9960" w:type="dxa"/>
            <w:vAlign w:val="bottom"/>
          </w:tcPr>
          <w:p>
            <w:pPr>
              <w:ind w:left="240"/>
              <w:spacing w:after="0"/>
              <w:rPr>
                <w:sz w:val="20"/>
                <w:szCs w:val="20"/>
                <w:color w:val="auto"/>
              </w:rPr>
            </w:pPr>
            <w:r>
              <w:rPr>
                <w:rFonts w:ascii="Arial" w:cs="Arial" w:eastAsia="Arial" w:hAnsi="Arial"/>
                <w:sz w:val="18"/>
                <w:szCs w:val="18"/>
                <w:color w:val="auto"/>
              </w:rPr>
              <w:t>adopted pursuant to Section 302 of the Sarbanes-Oxley Act of 2002</w:t>
            </w:r>
          </w:p>
        </w:tc>
      </w:tr>
      <w:tr>
        <w:trPr>
          <w:trHeight w:val="485"/>
        </w:trPr>
        <w:tc>
          <w:tcPr>
            <w:tcW w:w="1000" w:type="dxa"/>
            <w:vAlign w:val="bottom"/>
          </w:tcPr>
          <w:p>
            <w:pPr>
              <w:jc w:val="right"/>
              <w:ind w:right="151"/>
              <w:spacing w:after="0"/>
              <w:rPr>
                <w:sz w:val="20"/>
                <w:szCs w:val="20"/>
                <w:color w:val="auto"/>
              </w:rPr>
            </w:pPr>
            <w:r>
              <w:rPr>
                <w:rFonts w:ascii="Arial" w:cs="Arial" w:eastAsia="Arial" w:hAnsi="Arial"/>
                <w:sz w:val="18"/>
                <w:szCs w:val="18"/>
                <w:color w:val="auto"/>
              </w:rPr>
              <w:t>32.1</w:t>
            </w:r>
          </w:p>
        </w:tc>
        <w:tc>
          <w:tcPr>
            <w:tcW w:w="9960" w:type="dxa"/>
            <w:vAlign w:val="bottom"/>
          </w:tcPr>
          <w:p>
            <w:pPr>
              <w:ind w:left="240"/>
              <w:spacing w:after="0"/>
              <w:rPr>
                <w:sz w:val="20"/>
                <w:szCs w:val="20"/>
                <w:color w:val="auto"/>
              </w:rPr>
            </w:pPr>
            <w:r>
              <w:rPr>
                <w:rFonts w:ascii="Arial" w:cs="Arial" w:eastAsia="Arial" w:hAnsi="Arial"/>
                <w:sz w:val="18"/>
                <w:szCs w:val="18"/>
                <w:color w:val="auto"/>
                <w:w w:val="94"/>
              </w:rPr>
              <w:t>Certifications of Paul E. Rothamel, Chief Executive Officer, and Mark Kuchenrither, Chief Financial Officer , pursuant to 18 U.S.C.</w:t>
            </w:r>
          </w:p>
        </w:tc>
      </w:tr>
      <w:tr>
        <w:trPr>
          <w:trHeight w:val="230"/>
        </w:trPr>
        <w:tc>
          <w:tcPr>
            <w:tcW w:w="1000" w:type="dxa"/>
            <w:vAlign w:val="bottom"/>
          </w:tcPr>
          <w:p>
            <w:pPr>
              <w:spacing w:after="0"/>
              <w:rPr>
                <w:sz w:val="20"/>
                <w:szCs w:val="20"/>
                <w:color w:val="auto"/>
              </w:rPr>
            </w:pPr>
          </w:p>
        </w:tc>
        <w:tc>
          <w:tcPr>
            <w:tcW w:w="9960" w:type="dxa"/>
            <w:vAlign w:val="bottom"/>
          </w:tcPr>
          <w:p>
            <w:pPr>
              <w:ind w:left="240"/>
              <w:spacing w:after="0"/>
              <w:rPr>
                <w:sz w:val="20"/>
                <w:szCs w:val="20"/>
                <w:color w:val="auto"/>
              </w:rPr>
            </w:pPr>
            <w:r>
              <w:rPr>
                <w:rFonts w:ascii="Arial" w:cs="Arial" w:eastAsia="Arial" w:hAnsi="Arial"/>
                <w:sz w:val="18"/>
                <w:szCs w:val="18"/>
                <w:color w:val="auto"/>
              </w:rPr>
              <w:t>Section 1350, as adopted pursuant to Section 906 of the Sarbanes-Oxley Act of 2002</w:t>
            </w:r>
          </w:p>
        </w:tc>
      </w:tr>
      <w:tr>
        <w:trPr>
          <w:trHeight w:val="500"/>
        </w:trPr>
        <w:tc>
          <w:tcPr>
            <w:tcW w:w="1000" w:type="dxa"/>
            <w:vAlign w:val="bottom"/>
          </w:tcPr>
          <w:p>
            <w:pPr>
              <w:jc w:val="right"/>
              <w:ind w:right="151"/>
              <w:spacing w:after="0"/>
              <w:rPr>
                <w:sz w:val="20"/>
                <w:szCs w:val="20"/>
                <w:color w:val="auto"/>
              </w:rPr>
            </w:pPr>
            <w:r>
              <w:rPr>
                <w:rFonts w:ascii="Arial" w:cs="Arial" w:eastAsia="Arial" w:hAnsi="Arial"/>
                <w:sz w:val="18"/>
                <w:szCs w:val="18"/>
                <w:color w:val="auto"/>
              </w:rPr>
              <w:t>101.INS*</w:t>
            </w:r>
          </w:p>
        </w:tc>
        <w:tc>
          <w:tcPr>
            <w:tcW w:w="9960" w:type="dxa"/>
            <w:vAlign w:val="bottom"/>
          </w:tcPr>
          <w:p>
            <w:pPr>
              <w:ind w:left="240"/>
              <w:spacing w:after="0"/>
              <w:rPr>
                <w:sz w:val="20"/>
                <w:szCs w:val="20"/>
                <w:color w:val="auto"/>
              </w:rPr>
            </w:pPr>
            <w:r>
              <w:rPr>
                <w:rFonts w:ascii="Arial" w:cs="Arial" w:eastAsia="Arial" w:hAnsi="Arial"/>
                <w:sz w:val="18"/>
                <w:szCs w:val="18"/>
                <w:color w:val="auto"/>
              </w:rPr>
              <w:t>XBRL Instance Document</w:t>
            </w:r>
          </w:p>
        </w:tc>
      </w:tr>
      <w:tr>
        <w:trPr>
          <w:trHeight w:val="500"/>
        </w:trPr>
        <w:tc>
          <w:tcPr>
            <w:tcW w:w="1000" w:type="dxa"/>
            <w:vAlign w:val="bottom"/>
          </w:tcPr>
          <w:p>
            <w:pPr>
              <w:jc w:val="right"/>
              <w:ind w:right="151"/>
              <w:spacing w:after="0"/>
              <w:rPr>
                <w:sz w:val="20"/>
                <w:szCs w:val="20"/>
                <w:color w:val="auto"/>
              </w:rPr>
            </w:pPr>
            <w:r>
              <w:rPr>
                <w:rFonts w:ascii="Arial" w:cs="Arial" w:eastAsia="Arial" w:hAnsi="Arial"/>
                <w:sz w:val="18"/>
                <w:szCs w:val="18"/>
                <w:color w:val="auto"/>
                <w:w w:val="92"/>
              </w:rPr>
              <w:t>101.SCH*</w:t>
            </w:r>
          </w:p>
        </w:tc>
        <w:tc>
          <w:tcPr>
            <w:tcW w:w="9960" w:type="dxa"/>
            <w:vAlign w:val="bottom"/>
          </w:tcPr>
          <w:p>
            <w:pPr>
              <w:ind w:left="240"/>
              <w:spacing w:after="0"/>
              <w:rPr>
                <w:sz w:val="20"/>
                <w:szCs w:val="20"/>
                <w:color w:val="auto"/>
              </w:rPr>
            </w:pPr>
            <w:r>
              <w:rPr>
                <w:rFonts w:ascii="Arial" w:cs="Arial" w:eastAsia="Arial" w:hAnsi="Arial"/>
                <w:sz w:val="18"/>
                <w:szCs w:val="18"/>
                <w:color w:val="auto"/>
              </w:rPr>
              <w:t>XBRL Taxonomy Extension Schema Document</w:t>
            </w:r>
          </w:p>
        </w:tc>
      </w:tr>
      <w:tr>
        <w:trPr>
          <w:trHeight w:val="500"/>
        </w:trPr>
        <w:tc>
          <w:tcPr>
            <w:tcW w:w="1000" w:type="dxa"/>
            <w:vAlign w:val="bottom"/>
          </w:tcPr>
          <w:p>
            <w:pPr>
              <w:jc w:val="right"/>
              <w:ind w:right="151"/>
              <w:spacing w:after="0"/>
              <w:rPr>
                <w:sz w:val="20"/>
                <w:szCs w:val="20"/>
                <w:color w:val="auto"/>
              </w:rPr>
            </w:pPr>
            <w:r>
              <w:rPr>
                <w:rFonts w:ascii="Arial" w:cs="Arial" w:eastAsia="Arial" w:hAnsi="Arial"/>
                <w:sz w:val="18"/>
                <w:szCs w:val="18"/>
                <w:color w:val="auto"/>
                <w:w w:val="95"/>
              </w:rPr>
              <w:t>101.CAL*</w:t>
            </w:r>
          </w:p>
        </w:tc>
        <w:tc>
          <w:tcPr>
            <w:tcW w:w="9960" w:type="dxa"/>
            <w:vAlign w:val="bottom"/>
          </w:tcPr>
          <w:p>
            <w:pPr>
              <w:ind w:left="2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500"/>
        </w:trPr>
        <w:tc>
          <w:tcPr>
            <w:tcW w:w="1000" w:type="dxa"/>
            <w:vAlign w:val="bottom"/>
          </w:tcPr>
          <w:p>
            <w:pPr>
              <w:jc w:val="right"/>
              <w:ind w:right="151"/>
              <w:spacing w:after="0"/>
              <w:rPr>
                <w:sz w:val="20"/>
                <w:szCs w:val="20"/>
                <w:color w:val="auto"/>
              </w:rPr>
            </w:pPr>
            <w:r>
              <w:rPr>
                <w:rFonts w:ascii="Arial" w:cs="Arial" w:eastAsia="Arial" w:hAnsi="Arial"/>
                <w:sz w:val="18"/>
                <w:szCs w:val="18"/>
                <w:color w:val="auto"/>
                <w:w w:val="97"/>
              </w:rPr>
              <w:t>101.LAB*</w:t>
            </w:r>
          </w:p>
        </w:tc>
        <w:tc>
          <w:tcPr>
            <w:tcW w:w="9960" w:type="dxa"/>
            <w:vAlign w:val="bottom"/>
          </w:tcPr>
          <w:p>
            <w:pPr>
              <w:ind w:left="240"/>
              <w:spacing w:after="0"/>
              <w:rPr>
                <w:sz w:val="20"/>
                <w:szCs w:val="20"/>
                <w:color w:val="auto"/>
              </w:rPr>
            </w:pPr>
            <w:r>
              <w:rPr>
                <w:rFonts w:ascii="Arial" w:cs="Arial" w:eastAsia="Arial" w:hAnsi="Arial"/>
                <w:sz w:val="18"/>
                <w:szCs w:val="18"/>
                <w:color w:val="auto"/>
              </w:rPr>
              <w:t>XBRL Taxonomy Label Linkbase Document</w:t>
            </w:r>
          </w:p>
        </w:tc>
      </w:tr>
      <w:tr>
        <w:trPr>
          <w:trHeight w:val="500"/>
        </w:trPr>
        <w:tc>
          <w:tcPr>
            <w:tcW w:w="1000" w:type="dxa"/>
            <w:vAlign w:val="bottom"/>
          </w:tcPr>
          <w:p>
            <w:pPr>
              <w:jc w:val="right"/>
              <w:ind w:right="151"/>
              <w:spacing w:after="0"/>
              <w:rPr>
                <w:sz w:val="20"/>
                <w:szCs w:val="20"/>
                <w:color w:val="auto"/>
              </w:rPr>
            </w:pPr>
            <w:r>
              <w:rPr>
                <w:rFonts w:ascii="Arial" w:cs="Arial" w:eastAsia="Arial" w:hAnsi="Arial"/>
                <w:sz w:val="18"/>
                <w:szCs w:val="18"/>
                <w:color w:val="auto"/>
                <w:w w:val="94"/>
              </w:rPr>
              <w:t>101.DEF*</w:t>
            </w:r>
          </w:p>
        </w:tc>
        <w:tc>
          <w:tcPr>
            <w:tcW w:w="9960" w:type="dxa"/>
            <w:vAlign w:val="bottom"/>
          </w:tcPr>
          <w:p>
            <w:pPr>
              <w:ind w:left="240"/>
              <w:spacing w:after="0"/>
              <w:rPr>
                <w:sz w:val="20"/>
                <w:szCs w:val="20"/>
                <w:color w:val="auto"/>
              </w:rPr>
            </w:pPr>
            <w:r>
              <w:rPr>
                <w:rFonts w:ascii="Arial" w:cs="Arial" w:eastAsia="Arial" w:hAnsi="Arial"/>
                <w:sz w:val="18"/>
                <w:szCs w:val="18"/>
                <w:color w:val="auto"/>
              </w:rPr>
              <w:t>XBRL Taxonomy Extension Definition Linkbase Document</w:t>
            </w:r>
          </w:p>
        </w:tc>
      </w:tr>
      <w:tr>
        <w:trPr>
          <w:trHeight w:val="500"/>
        </w:trPr>
        <w:tc>
          <w:tcPr>
            <w:tcW w:w="1000" w:type="dxa"/>
            <w:vAlign w:val="bottom"/>
          </w:tcPr>
          <w:p>
            <w:pPr>
              <w:jc w:val="right"/>
              <w:ind w:right="151"/>
              <w:spacing w:after="0"/>
              <w:rPr>
                <w:sz w:val="20"/>
                <w:szCs w:val="20"/>
                <w:color w:val="auto"/>
              </w:rPr>
            </w:pPr>
            <w:r>
              <w:rPr>
                <w:rFonts w:ascii="Arial" w:cs="Arial" w:eastAsia="Arial" w:hAnsi="Arial"/>
                <w:sz w:val="18"/>
                <w:szCs w:val="18"/>
                <w:color w:val="auto"/>
                <w:w w:val="93"/>
              </w:rPr>
              <w:t>101.PRE*</w:t>
            </w:r>
          </w:p>
        </w:tc>
        <w:tc>
          <w:tcPr>
            <w:tcW w:w="9960" w:type="dxa"/>
            <w:vAlign w:val="bottom"/>
          </w:tcPr>
          <w:p>
            <w:pPr>
              <w:ind w:left="24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175" w:lineRule="exact"/>
        <w:rPr>
          <w:sz w:val="20"/>
          <w:szCs w:val="20"/>
          <w:color w:val="auto"/>
        </w:rPr>
      </w:pPr>
    </w:p>
    <w:p>
      <w:pPr>
        <w:ind w:left="500" w:right="80" w:hanging="465"/>
        <w:spacing w:after="0" w:line="257" w:lineRule="auto"/>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Attached as Exhibit 101 to this report are the following formatted in XBRL (Extensible Business Reporting Language): (i) Consolidated Balance Sheets at December 31, 2012, December 31, 2011 and September 30, 2012; (ii) Consolidated Statements of Income for the three months ended December 31, 2012 and December 31, 2011; (iii) Consolidated Statements of Comprehensive Income for three months ended December 31, 2012 and December 31, 2011 (iv) Consolidated Statements of Cash Flows for the three months ended December 31, 2012 and December 31; and (v) Notes to Consolidated Financial Statements.</w:t>
      </w:r>
    </w:p>
    <w:p>
      <w:pPr>
        <w:sectPr>
          <w:pgSz w:w="11900" w:h="16838" w:orient="portrait"/>
          <w:cols w:equalWidth="0" w:num="1">
            <w:col w:w="11360"/>
          </w:cols>
          <w:pgMar w:left="240" w:top="122" w:right="299" w:bottom="1440" w:gutter="0" w:footer="0" w:header="0"/>
        </w:sectPr>
      </w:pPr>
    </w:p>
    <w:p>
      <w:pPr>
        <w:spacing w:after="0" w:line="24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360"/>
          </w:cols>
          <w:pgMar w:left="240" w:top="122" w:right="299" w:bottom="1440" w:gutter="0" w:footer="0" w:header="0"/>
          <w:type w:val="continuous"/>
        </w:sectPr>
      </w:pPr>
    </w:p>
    <w:bookmarkStart w:id="54" w:name="page55"/>
    <w:bookmarkEnd w:id="5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6" w:lineRule="exact"/>
        <w:rPr>
          <w:sz w:val="20"/>
          <w:szCs w:val="20"/>
          <w:color w:val="auto"/>
        </w:rPr>
      </w:pPr>
    </w:p>
    <w:p>
      <w:pPr>
        <w:ind w:left="8240"/>
        <w:spacing w:after="0"/>
        <w:rPr>
          <w:sz w:val="20"/>
          <w:szCs w:val="20"/>
          <w:color w:val="auto"/>
        </w:rPr>
      </w:pPr>
      <w:r>
        <w:rPr>
          <w:rFonts w:ascii="Arial" w:cs="Arial" w:eastAsia="Arial" w:hAnsi="Arial"/>
          <w:sz w:val="18"/>
          <w:szCs w:val="18"/>
          <w:color w:val="auto"/>
        </w:rPr>
        <w:t>EZCORP, INC.</w:t>
      </w:r>
    </w:p>
    <w:p>
      <w:pPr>
        <w:spacing w:after="0" w:line="387" w:lineRule="exact"/>
        <w:rPr>
          <w:sz w:val="20"/>
          <w:szCs w:val="20"/>
          <w:color w:val="auto"/>
        </w:rPr>
      </w:pPr>
    </w:p>
    <w:p>
      <w:pPr>
        <w:ind w:left="260"/>
        <w:spacing w:after="0"/>
        <w:tabs>
          <w:tab w:leader="none" w:pos="8220" w:val="left"/>
        </w:tabs>
        <w:rPr>
          <w:sz w:val="20"/>
          <w:szCs w:val="20"/>
          <w:color w:val="auto"/>
        </w:rPr>
      </w:pPr>
      <w:r>
        <w:rPr>
          <w:rFonts w:ascii="Arial" w:cs="Arial" w:eastAsia="Arial" w:hAnsi="Arial"/>
          <w:sz w:val="18"/>
          <w:szCs w:val="18"/>
          <w:color w:val="auto"/>
        </w:rPr>
        <w:t>Date: February 7, 2013</w:t>
      </w:r>
      <w:r>
        <w:rPr>
          <w:sz w:val="20"/>
          <w:szCs w:val="20"/>
          <w:color w:val="auto"/>
        </w:rPr>
        <w:tab/>
      </w:r>
      <w:r>
        <w:rPr>
          <w:rFonts w:ascii="Arial" w:cs="Arial" w:eastAsia="Arial" w:hAnsi="Arial"/>
          <w:sz w:val="16"/>
          <w:szCs w:val="16"/>
          <w:color w:val="auto"/>
        </w:rPr>
        <w:t>/s/ Jeffrey S. Byal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5210810</wp:posOffset>
            </wp:positionH>
            <wp:positionV relativeFrom="paragraph">
              <wp:posOffset>31750</wp:posOffset>
            </wp:positionV>
            <wp:extent cx="192087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920875" cy="8890"/>
                    </a:xfrm>
                    <a:prstGeom prst="rect">
                      <a:avLst/>
                    </a:prstGeom>
                    <a:noFill/>
                  </pic:spPr>
                </pic:pic>
              </a:graphicData>
            </a:graphic>
          </wp:anchor>
        </w:drawing>
      </w:r>
    </w:p>
    <w:p>
      <w:pPr>
        <w:spacing w:after="0" w:line="57" w:lineRule="exact"/>
        <w:rPr>
          <w:sz w:val="20"/>
          <w:szCs w:val="20"/>
          <w:color w:val="auto"/>
        </w:rPr>
      </w:pPr>
    </w:p>
    <w:p>
      <w:pPr>
        <w:ind w:left="8240"/>
        <w:spacing w:after="0"/>
        <w:rPr>
          <w:sz w:val="20"/>
          <w:szCs w:val="20"/>
          <w:color w:val="auto"/>
        </w:rPr>
      </w:pPr>
      <w:r>
        <w:rPr>
          <w:rFonts w:ascii="Arial" w:cs="Arial" w:eastAsia="Arial" w:hAnsi="Arial"/>
          <w:sz w:val="18"/>
          <w:szCs w:val="18"/>
          <w:color w:val="auto"/>
        </w:rPr>
        <w:t>Jeffrey S. Byal Senior Vice President</w:t>
      </w:r>
    </w:p>
    <w:p>
      <w:pPr>
        <w:spacing w:after="0" w:line="23" w:lineRule="exact"/>
        <w:rPr>
          <w:sz w:val="20"/>
          <w:szCs w:val="20"/>
          <w:color w:val="auto"/>
        </w:rPr>
      </w:pPr>
    </w:p>
    <w:p>
      <w:pPr>
        <w:ind w:left="8240"/>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ind w:left="8240"/>
        <w:spacing w:after="0"/>
        <w:rPr>
          <w:sz w:val="20"/>
          <w:szCs w:val="20"/>
          <w:color w:val="auto"/>
        </w:rPr>
      </w:pPr>
      <w:r>
        <w:rPr>
          <w:rFonts w:ascii="Arial" w:cs="Arial" w:eastAsia="Arial" w:hAnsi="Arial"/>
          <w:sz w:val="18"/>
          <w:szCs w:val="18"/>
          <w:color w:val="auto"/>
        </w:rPr>
        <w:t>Chief Accounting Officer</w:t>
      </w:r>
    </w:p>
    <w:p>
      <w:pPr>
        <w:spacing w:after="0" w:line="26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20"/>
          </w:cols>
          <w:pgMar w:left="240" w:top="122" w:right="439" w:bottom="1440" w:gutter="0" w:footer="0" w:header="0"/>
        </w:sectPr>
      </w:pPr>
    </w:p>
    <w:bookmarkStart w:id="55" w:name="page56"/>
    <w:bookmarkEnd w:id="5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180" w:type="dxa"/>
            <w:vAlign w:val="bottom"/>
          </w:tcPr>
          <w:p>
            <w:pPr>
              <w:spacing w:after="0"/>
              <w:rPr>
                <w:sz w:val="20"/>
                <w:szCs w:val="20"/>
                <w:color w:val="auto"/>
              </w:rPr>
            </w:pPr>
          </w:p>
        </w:tc>
        <w:tc>
          <w:tcPr>
            <w:tcW w:w="9160" w:type="dxa"/>
            <w:vAlign w:val="bottom"/>
          </w:tcPr>
          <w:p>
            <w:pPr>
              <w:ind w:left="2800"/>
              <w:spacing w:after="0"/>
              <w:rPr>
                <w:sz w:val="20"/>
                <w:szCs w:val="20"/>
                <w:color w:val="auto"/>
              </w:rPr>
            </w:pPr>
            <w:r>
              <w:rPr>
                <w:rFonts w:ascii="Arial" w:cs="Arial" w:eastAsia="Arial" w:hAnsi="Arial"/>
                <w:sz w:val="18"/>
                <w:szCs w:val="18"/>
                <w:b w:val="1"/>
                <w:bCs w:val="1"/>
                <w:color w:val="auto"/>
              </w:rPr>
              <w:t>EXHIBIT INDEX</w:t>
            </w:r>
          </w:p>
        </w:tc>
      </w:tr>
      <w:tr>
        <w:trPr>
          <w:trHeight w:val="515"/>
        </w:trPr>
        <w:tc>
          <w:tcPr>
            <w:tcW w:w="2180" w:type="dxa"/>
            <w:vAlign w:val="bottom"/>
          </w:tcPr>
          <w:p>
            <w:pPr>
              <w:spacing w:after="0"/>
              <w:rPr>
                <w:sz w:val="20"/>
                <w:szCs w:val="20"/>
                <w:color w:val="auto"/>
              </w:rPr>
            </w:pPr>
            <w:r>
              <w:rPr>
                <w:rFonts w:ascii="Arial" w:cs="Arial" w:eastAsia="Arial" w:hAnsi="Arial"/>
                <w:sz w:val="14"/>
                <w:szCs w:val="14"/>
                <w:b w:val="1"/>
                <w:bCs w:val="1"/>
                <w:color w:val="auto"/>
              </w:rPr>
              <w:t>Exhibit No.</w:t>
            </w:r>
          </w:p>
        </w:tc>
        <w:tc>
          <w:tcPr>
            <w:tcW w:w="9160" w:type="dxa"/>
            <w:vAlign w:val="bottom"/>
          </w:tcPr>
          <w:p>
            <w:pPr>
              <w:ind w:left="680"/>
              <w:spacing w:after="0"/>
              <w:rPr>
                <w:sz w:val="20"/>
                <w:szCs w:val="20"/>
                <w:color w:val="auto"/>
              </w:rPr>
            </w:pPr>
            <w:r>
              <w:rPr>
                <w:rFonts w:ascii="Arial" w:cs="Arial" w:eastAsia="Arial" w:hAnsi="Arial"/>
                <w:sz w:val="14"/>
                <w:szCs w:val="14"/>
                <w:b w:val="1"/>
                <w:bCs w:val="1"/>
                <w:color w:val="auto"/>
              </w:rPr>
              <w:t>Description of Exhibit</w:t>
            </w:r>
          </w:p>
        </w:tc>
      </w:tr>
      <w:tr>
        <w:trPr>
          <w:trHeight w:val="416"/>
        </w:trPr>
        <w:tc>
          <w:tcPr>
            <w:tcW w:w="21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9160" w:type="dxa"/>
            <w:vAlign w:val="bottom"/>
          </w:tcPr>
          <w:p>
            <w:pPr>
              <w:ind w:left="680"/>
              <w:spacing w:after="0"/>
              <w:rPr>
                <w:sz w:val="20"/>
                <w:szCs w:val="20"/>
                <w:color w:val="auto"/>
              </w:rPr>
            </w:pPr>
            <w:r>
              <w:rPr>
                <w:rFonts w:ascii="Arial" w:cs="Arial" w:eastAsia="Arial" w:hAnsi="Arial"/>
                <w:sz w:val="18"/>
                <w:szCs w:val="18"/>
                <w:color w:val="auto"/>
                <w:w w:val="98"/>
              </w:rPr>
              <w:t>Advisory Services Agreement, dated as of October 1, 2012, between EZCORP, Inc. and Madison Park, LLC</w:t>
            </w:r>
          </w:p>
        </w:tc>
      </w:tr>
      <w:tr>
        <w:trPr>
          <w:trHeight w:val="216"/>
        </w:trPr>
        <w:tc>
          <w:tcPr>
            <w:tcW w:w="2180" w:type="dxa"/>
            <w:vAlign w:val="bottom"/>
          </w:tcPr>
          <w:p>
            <w:pPr>
              <w:spacing w:after="0"/>
              <w:rPr>
                <w:sz w:val="18"/>
                <w:szCs w:val="18"/>
                <w:color w:val="auto"/>
              </w:rPr>
            </w:pPr>
          </w:p>
        </w:tc>
        <w:tc>
          <w:tcPr>
            <w:tcW w:w="9160" w:type="dxa"/>
            <w:vAlign w:val="bottom"/>
          </w:tcPr>
          <w:p>
            <w:pPr>
              <w:ind w:left="680"/>
              <w:spacing w:after="0"/>
              <w:rPr>
                <w:sz w:val="20"/>
                <w:szCs w:val="20"/>
                <w:color w:val="auto"/>
              </w:rPr>
            </w:pPr>
            <w:r>
              <w:rPr>
                <w:rFonts w:ascii="Arial" w:cs="Arial" w:eastAsia="Arial" w:hAnsi="Arial"/>
                <w:sz w:val="18"/>
                <w:szCs w:val="18"/>
                <w:color w:val="auto"/>
                <w:w w:val="91"/>
              </w:rPr>
              <w:t>(incorporated by reference to Exhibit 10.1 to the Company’s Current Report on Form 8-K dated September 28, 2012</w:t>
            </w:r>
          </w:p>
        </w:tc>
      </w:tr>
      <w:tr>
        <w:trPr>
          <w:trHeight w:val="230"/>
        </w:trPr>
        <w:tc>
          <w:tcPr>
            <w:tcW w:w="2180" w:type="dxa"/>
            <w:vAlign w:val="bottom"/>
          </w:tcPr>
          <w:p>
            <w:pPr>
              <w:spacing w:after="0"/>
              <w:rPr>
                <w:sz w:val="20"/>
                <w:szCs w:val="20"/>
                <w:color w:val="auto"/>
              </w:rPr>
            </w:pPr>
          </w:p>
        </w:tc>
        <w:tc>
          <w:tcPr>
            <w:tcW w:w="9160" w:type="dxa"/>
            <w:vAlign w:val="bottom"/>
          </w:tcPr>
          <w:p>
            <w:pPr>
              <w:ind w:left="680"/>
              <w:spacing w:after="0"/>
              <w:rPr>
                <w:sz w:val="20"/>
                <w:szCs w:val="20"/>
                <w:color w:val="auto"/>
              </w:rPr>
            </w:pPr>
            <w:r>
              <w:rPr>
                <w:rFonts w:ascii="Arial" w:cs="Arial" w:eastAsia="Arial" w:hAnsi="Arial"/>
                <w:sz w:val="18"/>
                <w:szCs w:val="18"/>
                <w:color w:val="auto"/>
              </w:rPr>
              <w:t>and filed October 4, 2012, Commission File No. 0-19424)</w:t>
            </w:r>
          </w:p>
        </w:tc>
      </w:tr>
      <w:tr>
        <w:trPr>
          <w:trHeight w:val="431"/>
        </w:trPr>
        <w:tc>
          <w:tcPr>
            <w:tcW w:w="218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9160" w:type="dxa"/>
            <w:vAlign w:val="bottom"/>
          </w:tcPr>
          <w:p>
            <w:pPr>
              <w:ind w:left="680"/>
              <w:spacing w:after="0"/>
              <w:rPr>
                <w:sz w:val="20"/>
                <w:szCs w:val="20"/>
                <w:color w:val="auto"/>
              </w:rPr>
            </w:pPr>
            <w:r>
              <w:rPr>
                <w:rFonts w:ascii="Arial" w:cs="Arial" w:eastAsia="Arial" w:hAnsi="Arial"/>
                <w:sz w:val="18"/>
                <w:szCs w:val="18"/>
                <w:color w:val="auto"/>
                <w:w w:val="99"/>
              </w:rPr>
              <w:t>EZCORP, Inc. Incentive Compensation Plan (as amended) (incorporated by reference to Exhibit 10.2 to the</w:t>
            </w:r>
          </w:p>
        </w:tc>
      </w:tr>
      <w:tr>
        <w:trPr>
          <w:trHeight w:val="216"/>
        </w:trPr>
        <w:tc>
          <w:tcPr>
            <w:tcW w:w="2180" w:type="dxa"/>
            <w:vAlign w:val="bottom"/>
          </w:tcPr>
          <w:p>
            <w:pPr>
              <w:spacing w:after="0"/>
              <w:rPr>
                <w:sz w:val="18"/>
                <w:szCs w:val="18"/>
                <w:color w:val="auto"/>
              </w:rPr>
            </w:pPr>
          </w:p>
        </w:tc>
        <w:tc>
          <w:tcPr>
            <w:tcW w:w="9160" w:type="dxa"/>
            <w:vAlign w:val="bottom"/>
          </w:tcPr>
          <w:p>
            <w:pPr>
              <w:ind w:left="680"/>
              <w:spacing w:after="0"/>
              <w:rPr>
                <w:sz w:val="20"/>
                <w:szCs w:val="20"/>
                <w:color w:val="auto"/>
              </w:rPr>
            </w:pPr>
            <w:r>
              <w:rPr>
                <w:rFonts w:ascii="Arial" w:cs="Arial" w:eastAsia="Arial" w:hAnsi="Arial"/>
                <w:sz w:val="18"/>
                <w:szCs w:val="18"/>
                <w:color w:val="auto"/>
                <w:w w:val="91"/>
              </w:rPr>
              <w:t>Company's Current Report on Form 8-K dated September 28, 2012 and filed October 4, 2012, Commission File No.</w:t>
            </w:r>
          </w:p>
        </w:tc>
      </w:tr>
      <w:tr>
        <w:trPr>
          <w:trHeight w:val="230"/>
        </w:trPr>
        <w:tc>
          <w:tcPr>
            <w:tcW w:w="2180" w:type="dxa"/>
            <w:vAlign w:val="bottom"/>
          </w:tcPr>
          <w:p>
            <w:pPr>
              <w:spacing w:after="0"/>
              <w:rPr>
                <w:sz w:val="20"/>
                <w:szCs w:val="20"/>
                <w:color w:val="auto"/>
              </w:rPr>
            </w:pPr>
          </w:p>
        </w:tc>
        <w:tc>
          <w:tcPr>
            <w:tcW w:w="9160" w:type="dxa"/>
            <w:vAlign w:val="bottom"/>
          </w:tcPr>
          <w:p>
            <w:pPr>
              <w:ind w:left="680"/>
              <w:spacing w:after="0"/>
              <w:rPr>
                <w:sz w:val="20"/>
                <w:szCs w:val="20"/>
                <w:color w:val="auto"/>
              </w:rPr>
            </w:pPr>
            <w:r>
              <w:rPr>
                <w:rFonts w:ascii="Arial" w:cs="Arial" w:eastAsia="Arial" w:hAnsi="Arial"/>
                <w:sz w:val="18"/>
                <w:szCs w:val="18"/>
                <w:color w:val="auto"/>
              </w:rPr>
              <w:t>0-19424)</w:t>
            </w:r>
          </w:p>
        </w:tc>
      </w:tr>
      <w:tr>
        <w:trPr>
          <w:trHeight w:val="431"/>
        </w:trPr>
        <w:tc>
          <w:tcPr>
            <w:tcW w:w="218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9160" w:type="dxa"/>
            <w:vAlign w:val="bottom"/>
          </w:tcPr>
          <w:p>
            <w:pPr>
              <w:ind w:left="680"/>
              <w:spacing w:after="0"/>
              <w:rPr>
                <w:sz w:val="20"/>
                <w:szCs w:val="20"/>
                <w:color w:val="auto"/>
              </w:rPr>
            </w:pPr>
            <w:r>
              <w:rPr>
                <w:rFonts w:ascii="Arial" w:cs="Arial" w:eastAsia="Arial" w:hAnsi="Arial"/>
                <w:sz w:val="18"/>
                <w:szCs w:val="18"/>
                <w:color w:val="auto"/>
                <w:w w:val="98"/>
              </w:rPr>
              <w:t>Separation Agreement and Release, dated October 3, 2012, between EZCORP, Inc. and Stephen A. Stamp</w:t>
            </w:r>
          </w:p>
        </w:tc>
      </w:tr>
      <w:tr>
        <w:trPr>
          <w:trHeight w:val="216"/>
        </w:trPr>
        <w:tc>
          <w:tcPr>
            <w:tcW w:w="2180" w:type="dxa"/>
            <w:vAlign w:val="bottom"/>
          </w:tcPr>
          <w:p>
            <w:pPr>
              <w:spacing w:after="0"/>
              <w:rPr>
                <w:sz w:val="18"/>
                <w:szCs w:val="18"/>
                <w:color w:val="auto"/>
              </w:rPr>
            </w:pPr>
          </w:p>
        </w:tc>
        <w:tc>
          <w:tcPr>
            <w:tcW w:w="9160" w:type="dxa"/>
            <w:vAlign w:val="bottom"/>
          </w:tcPr>
          <w:p>
            <w:pPr>
              <w:ind w:left="680"/>
              <w:spacing w:after="0"/>
              <w:rPr>
                <w:sz w:val="20"/>
                <w:szCs w:val="20"/>
                <w:color w:val="auto"/>
              </w:rPr>
            </w:pPr>
            <w:r>
              <w:rPr>
                <w:rFonts w:ascii="Arial" w:cs="Arial" w:eastAsia="Arial" w:hAnsi="Arial"/>
                <w:sz w:val="18"/>
                <w:szCs w:val="18"/>
                <w:color w:val="auto"/>
                <w:w w:val="90"/>
              </w:rPr>
              <w:t>(incorporated by reference to Exhibit 99.1 to the Company's Current Report on Form 8-K dated October 24, 2012 and</w:t>
            </w:r>
          </w:p>
        </w:tc>
      </w:tr>
      <w:tr>
        <w:trPr>
          <w:trHeight w:val="230"/>
        </w:trPr>
        <w:tc>
          <w:tcPr>
            <w:tcW w:w="2180" w:type="dxa"/>
            <w:vAlign w:val="bottom"/>
          </w:tcPr>
          <w:p>
            <w:pPr>
              <w:spacing w:after="0"/>
              <w:rPr>
                <w:sz w:val="20"/>
                <w:szCs w:val="20"/>
                <w:color w:val="auto"/>
              </w:rPr>
            </w:pPr>
          </w:p>
        </w:tc>
        <w:tc>
          <w:tcPr>
            <w:tcW w:w="9160" w:type="dxa"/>
            <w:vAlign w:val="bottom"/>
          </w:tcPr>
          <w:p>
            <w:pPr>
              <w:ind w:left="680"/>
              <w:spacing w:after="0"/>
              <w:rPr>
                <w:sz w:val="20"/>
                <w:szCs w:val="20"/>
                <w:color w:val="auto"/>
              </w:rPr>
            </w:pPr>
            <w:r>
              <w:rPr>
                <w:rFonts w:ascii="Arial" w:cs="Arial" w:eastAsia="Arial" w:hAnsi="Arial"/>
                <w:sz w:val="18"/>
                <w:szCs w:val="18"/>
                <w:color w:val="auto"/>
              </w:rPr>
              <w:t>filed October 29, 2012, Commission File No. 0-19424)</w:t>
            </w:r>
          </w:p>
        </w:tc>
      </w:tr>
      <w:tr>
        <w:trPr>
          <w:trHeight w:val="431"/>
        </w:trPr>
        <w:tc>
          <w:tcPr>
            <w:tcW w:w="218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9160" w:type="dxa"/>
            <w:vAlign w:val="bottom"/>
          </w:tcPr>
          <w:p>
            <w:pPr>
              <w:ind w:left="680"/>
              <w:spacing w:after="0"/>
              <w:rPr>
                <w:sz w:val="20"/>
                <w:szCs w:val="20"/>
                <w:color w:val="auto"/>
              </w:rPr>
            </w:pPr>
            <w:r>
              <w:rPr>
                <w:rFonts w:ascii="Arial" w:cs="Arial" w:eastAsia="Arial" w:hAnsi="Arial"/>
                <w:sz w:val="18"/>
                <w:szCs w:val="18"/>
                <w:color w:val="auto"/>
                <w:w w:val="95"/>
              </w:rPr>
              <w:t>Separation Agreement and Release between EZCORP, Inc. and William E. Fosse (incorporated by reference to</w:t>
            </w:r>
          </w:p>
        </w:tc>
      </w:tr>
      <w:tr>
        <w:trPr>
          <w:trHeight w:val="216"/>
        </w:trPr>
        <w:tc>
          <w:tcPr>
            <w:tcW w:w="2180" w:type="dxa"/>
            <w:vAlign w:val="bottom"/>
          </w:tcPr>
          <w:p>
            <w:pPr>
              <w:spacing w:after="0"/>
              <w:rPr>
                <w:sz w:val="18"/>
                <w:szCs w:val="18"/>
                <w:color w:val="auto"/>
              </w:rPr>
            </w:pPr>
          </w:p>
        </w:tc>
        <w:tc>
          <w:tcPr>
            <w:tcW w:w="9160" w:type="dxa"/>
            <w:vAlign w:val="bottom"/>
          </w:tcPr>
          <w:p>
            <w:pPr>
              <w:ind w:left="680"/>
              <w:spacing w:after="0"/>
              <w:rPr>
                <w:sz w:val="20"/>
                <w:szCs w:val="20"/>
                <w:color w:val="auto"/>
              </w:rPr>
            </w:pPr>
            <w:r>
              <w:rPr>
                <w:rFonts w:ascii="Arial" w:cs="Arial" w:eastAsia="Arial" w:hAnsi="Arial"/>
                <w:sz w:val="18"/>
                <w:szCs w:val="18"/>
                <w:color w:val="auto"/>
                <w:w w:val="91"/>
              </w:rPr>
              <w:t>Exhibit 99.1 to the Company's Current Report on Form 8-K dated December 14, 2012 and filed December 20, 2012,</w:t>
            </w:r>
          </w:p>
        </w:tc>
      </w:tr>
      <w:tr>
        <w:trPr>
          <w:trHeight w:val="230"/>
        </w:trPr>
        <w:tc>
          <w:tcPr>
            <w:tcW w:w="2180" w:type="dxa"/>
            <w:vAlign w:val="bottom"/>
          </w:tcPr>
          <w:p>
            <w:pPr>
              <w:spacing w:after="0"/>
              <w:rPr>
                <w:sz w:val="20"/>
                <w:szCs w:val="20"/>
                <w:color w:val="auto"/>
              </w:rPr>
            </w:pPr>
          </w:p>
        </w:tc>
        <w:tc>
          <w:tcPr>
            <w:tcW w:w="9160" w:type="dxa"/>
            <w:vAlign w:val="bottom"/>
          </w:tcPr>
          <w:p>
            <w:pPr>
              <w:ind w:left="680"/>
              <w:spacing w:after="0"/>
              <w:rPr>
                <w:sz w:val="20"/>
                <w:szCs w:val="20"/>
                <w:color w:val="auto"/>
              </w:rPr>
            </w:pPr>
            <w:r>
              <w:rPr>
                <w:rFonts w:ascii="Arial" w:cs="Arial" w:eastAsia="Arial" w:hAnsi="Arial"/>
                <w:sz w:val="18"/>
                <w:szCs w:val="18"/>
                <w:color w:val="auto"/>
              </w:rPr>
              <w:t>Commission File No. 0-19424)</w:t>
            </w:r>
          </w:p>
        </w:tc>
      </w:tr>
      <w:tr>
        <w:trPr>
          <w:trHeight w:val="431"/>
        </w:trPr>
        <w:tc>
          <w:tcPr>
            <w:tcW w:w="218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9160" w:type="dxa"/>
            <w:vAlign w:val="bottom"/>
          </w:tcPr>
          <w:p>
            <w:pPr>
              <w:ind w:left="680"/>
              <w:spacing w:after="0"/>
              <w:rPr>
                <w:sz w:val="20"/>
                <w:szCs w:val="20"/>
                <w:color w:val="auto"/>
              </w:rPr>
            </w:pPr>
            <w:r>
              <w:rPr>
                <w:rFonts w:ascii="Arial" w:cs="Arial" w:eastAsia="Arial" w:hAnsi="Arial"/>
                <w:sz w:val="18"/>
                <w:szCs w:val="18"/>
                <w:color w:val="auto"/>
                <w:w w:val="91"/>
              </w:rPr>
              <w:t>Asset Purchase Agreement, dated November 20, 2012, by and among EZCORP, Inc. and EZCORP Online, Inc., as</w:t>
            </w:r>
          </w:p>
        </w:tc>
      </w:tr>
      <w:tr>
        <w:trPr>
          <w:trHeight w:val="216"/>
        </w:trPr>
        <w:tc>
          <w:tcPr>
            <w:tcW w:w="2180" w:type="dxa"/>
            <w:vAlign w:val="bottom"/>
          </w:tcPr>
          <w:p>
            <w:pPr>
              <w:spacing w:after="0"/>
              <w:rPr>
                <w:sz w:val="18"/>
                <w:szCs w:val="18"/>
                <w:color w:val="auto"/>
              </w:rPr>
            </w:pPr>
          </w:p>
        </w:tc>
        <w:tc>
          <w:tcPr>
            <w:tcW w:w="9160" w:type="dxa"/>
            <w:vAlign w:val="bottom"/>
          </w:tcPr>
          <w:p>
            <w:pPr>
              <w:ind w:left="680"/>
              <w:spacing w:after="0"/>
              <w:rPr>
                <w:sz w:val="20"/>
                <w:szCs w:val="20"/>
                <w:color w:val="auto"/>
              </w:rPr>
            </w:pPr>
            <w:r>
              <w:rPr>
                <w:rFonts w:ascii="Arial" w:cs="Arial" w:eastAsia="Arial" w:hAnsi="Arial"/>
                <w:sz w:val="18"/>
                <w:szCs w:val="18"/>
                <w:color w:val="auto"/>
                <w:w w:val="90"/>
              </w:rPr>
              <w:t>purchasers, and Go Cash, LLC and certain of its affiliates, as sellers (the “Asset Purchase Agreement”) (incorporated</w:t>
            </w:r>
          </w:p>
        </w:tc>
      </w:tr>
      <w:tr>
        <w:trPr>
          <w:trHeight w:val="216"/>
        </w:trPr>
        <w:tc>
          <w:tcPr>
            <w:tcW w:w="2180" w:type="dxa"/>
            <w:vAlign w:val="bottom"/>
          </w:tcPr>
          <w:p>
            <w:pPr>
              <w:spacing w:after="0"/>
              <w:rPr>
                <w:sz w:val="18"/>
                <w:szCs w:val="18"/>
                <w:color w:val="auto"/>
              </w:rPr>
            </w:pPr>
          </w:p>
        </w:tc>
        <w:tc>
          <w:tcPr>
            <w:tcW w:w="9160" w:type="dxa"/>
            <w:vAlign w:val="bottom"/>
          </w:tcPr>
          <w:p>
            <w:pPr>
              <w:ind w:left="680"/>
              <w:spacing w:after="0"/>
              <w:rPr>
                <w:sz w:val="20"/>
                <w:szCs w:val="20"/>
                <w:color w:val="auto"/>
              </w:rPr>
            </w:pPr>
            <w:r>
              <w:rPr>
                <w:rFonts w:ascii="Arial" w:cs="Arial" w:eastAsia="Arial" w:hAnsi="Arial"/>
                <w:sz w:val="18"/>
                <w:szCs w:val="18"/>
                <w:color w:val="auto"/>
                <w:w w:val="96"/>
              </w:rPr>
              <w:t>by reference to Exhibit 10.1 to the Company's Current Report on Form 8-K dated December 20, 2012 and filed</w:t>
            </w:r>
          </w:p>
        </w:tc>
      </w:tr>
      <w:tr>
        <w:trPr>
          <w:trHeight w:val="230"/>
        </w:trPr>
        <w:tc>
          <w:tcPr>
            <w:tcW w:w="2180" w:type="dxa"/>
            <w:vAlign w:val="bottom"/>
          </w:tcPr>
          <w:p>
            <w:pPr>
              <w:spacing w:after="0"/>
              <w:rPr>
                <w:sz w:val="20"/>
                <w:szCs w:val="20"/>
                <w:color w:val="auto"/>
              </w:rPr>
            </w:pPr>
          </w:p>
        </w:tc>
        <w:tc>
          <w:tcPr>
            <w:tcW w:w="9160" w:type="dxa"/>
            <w:vAlign w:val="bottom"/>
          </w:tcPr>
          <w:p>
            <w:pPr>
              <w:ind w:left="680"/>
              <w:spacing w:after="0"/>
              <w:rPr>
                <w:sz w:val="20"/>
                <w:szCs w:val="20"/>
                <w:color w:val="auto"/>
              </w:rPr>
            </w:pPr>
            <w:r>
              <w:rPr>
                <w:rFonts w:ascii="Arial" w:cs="Arial" w:eastAsia="Arial" w:hAnsi="Arial"/>
                <w:sz w:val="18"/>
                <w:szCs w:val="18"/>
                <w:color w:val="auto"/>
              </w:rPr>
              <w:t>December 20, 2012, Commission File No. 0-19424)</w:t>
            </w:r>
          </w:p>
        </w:tc>
      </w:tr>
      <w:tr>
        <w:trPr>
          <w:trHeight w:val="431"/>
        </w:trPr>
        <w:tc>
          <w:tcPr>
            <w:tcW w:w="218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9160" w:type="dxa"/>
            <w:vAlign w:val="bottom"/>
          </w:tcPr>
          <w:p>
            <w:pPr>
              <w:ind w:left="680"/>
              <w:spacing w:after="0"/>
              <w:rPr>
                <w:sz w:val="20"/>
                <w:szCs w:val="20"/>
                <w:color w:val="auto"/>
              </w:rPr>
            </w:pPr>
            <w:r>
              <w:rPr>
                <w:rFonts w:ascii="Arial" w:cs="Arial" w:eastAsia="Arial" w:hAnsi="Arial"/>
                <w:sz w:val="18"/>
                <w:szCs w:val="18"/>
                <w:color w:val="auto"/>
                <w:w w:val="92"/>
              </w:rPr>
              <w:t>Amendment to Asset Purchase Agreement, dated December 12, 2012 (incorporated by reference to Exhibit 10.2 to</w:t>
            </w:r>
          </w:p>
        </w:tc>
      </w:tr>
      <w:tr>
        <w:trPr>
          <w:trHeight w:val="216"/>
        </w:trPr>
        <w:tc>
          <w:tcPr>
            <w:tcW w:w="2180" w:type="dxa"/>
            <w:vAlign w:val="bottom"/>
          </w:tcPr>
          <w:p>
            <w:pPr>
              <w:spacing w:after="0"/>
              <w:rPr>
                <w:sz w:val="18"/>
                <w:szCs w:val="18"/>
                <w:color w:val="auto"/>
              </w:rPr>
            </w:pPr>
          </w:p>
        </w:tc>
        <w:tc>
          <w:tcPr>
            <w:tcW w:w="9160" w:type="dxa"/>
            <w:vAlign w:val="bottom"/>
          </w:tcPr>
          <w:p>
            <w:pPr>
              <w:ind w:left="680"/>
              <w:spacing w:after="0"/>
              <w:rPr>
                <w:sz w:val="20"/>
                <w:szCs w:val="20"/>
                <w:color w:val="auto"/>
              </w:rPr>
            </w:pPr>
            <w:r>
              <w:rPr>
                <w:rFonts w:ascii="Arial" w:cs="Arial" w:eastAsia="Arial" w:hAnsi="Arial"/>
                <w:sz w:val="18"/>
                <w:szCs w:val="18"/>
                <w:color w:val="auto"/>
                <w:w w:val="93"/>
              </w:rPr>
              <w:t>the Company's Current Report on Form 8-K dated December 20, 2012 and filed December 20, 2012, Commission</w:t>
            </w:r>
          </w:p>
        </w:tc>
      </w:tr>
      <w:tr>
        <w:trPr>
          <w:trHeight w:val="230"/>
        </w:trPr>
        <w:tc>
          <w:tcPr>
            <w:tcW w:w="2180" w:type="dxa"/>
            <w:vAlign w:val="bottom"/>
          </w:tcPr>
          <w:p>
            <w:pPr>
              <w:spacing w:after="0"/>
              <w:rPr>
                <w:sz w:val="20"/>
                <w:szCs w:val="20"/>
                <w:color w:val="auto"/>
              </w:rPr>
            </w:pPr>
          </w:p>
        </w:tc>
        <w:tc>
          <w:tcPr>
            <w:tcW w:w="9160" w:type="dxa"/>
            <w:vAlign w:val="bottom"/>
          </w:tcPr>
          <w:p>
            <w:pPr>
              <w:ind w:left="680"/>
              <w:spacing w:after="0"/>
              <w:rPr>
                <w:sz w:val="20"/>
                <w:szCs w:val="20"/>
                <w:color w:val="auto"/>
              </w:rPr>
            </w:pPr>
            <w:r>
              <w:rPr>
                <w:rFonts w:ascii="Arial" w:cs="Arial" w:eastAsia="Arial" w:hAnsi="Arial"/>
                <w:sz w:val="18"/>
                <w:szCs w:val="18"/>
                <w:color w:val="auto"/>
              </w:rPr>
              <w:t>file No. 0-19424)</w:t>
            </w:r>
          </w:p>
        </w:tc>
      </w:tr>
      <w:tr>
        <w:trPr>
          <w:trHeight w:val="431"/>
        </w:trPr>
        <w:tc>
          <w:tcPr>
            <w:tcW w:w="218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9160" w:type="dxa"/>
            <w:vAlign w:val="bottom"/>
          </w:tcPr>
          <w:p>
            <w:pPr>
              <w:ind w:left="680"/>
              <w:spacing w:after="0"/>
              <w:rPr>
                <w:sz w:val="20"/>
                <w:szCs w:val="20"/>
                <w:color w:val="auto"/>
              </w:rPr>
            </w:pPr>
            <w:r>
              <w:rPr>
                <w:rFonts w:ascii="Arial" w:cs="Arial" w:eastAsia="Arial" w:hAnsi="Arial"/>
                <w:sz w:val="18"/>
                <w:szCs w:val="18"/>
                <w:color w:val="auto"/>
                <w:w w:val="91"/>
              </w:rPr>
              <w:t>Certification of Paul E. Rothamel, Chief Executive Officer, pursuant to Rule 13a-14(a) under the Securities Exchange</w:t>
            </w:r>
          </w:p>
        </w:tc>
      </w:tr>
      <w:tr>
        <w:trPr>
          <w:trHeight w:val="230"/>
        </w:trPr>
        <w:tc>
          <w:tcPr>
            <w:tcW w:w="2180" w:type="dxa"/>
            <w:vAlign w:val="bottom"/>
          </w:tcPr>
          <w:p>
            <w:pPr>
              <w:spacing w:after="0"/>
              <w:rPr>
                <w:sz w:val="20"/>
                <w:szCs w:val="20"/>
                <w:color w:val="auto"/>
              </w:rPr>
            </w:pPr>
          </w:p>
        </w:tc>
        <w:tc>
          <w:tcPr>
            <w:tcW w:w="9160" w:type="dxa"/>
            <w:vAlign w:val="bottom"/>
          </w:tcPr>
          <w:p>
            <w:pPr>
              <w:ind w:left="680"/>
              <w:spacing w:after="0"/>
              <w:rPr>
                <w:sz w:val="20"/>
                <w:szCs w:val="20"/>
                <w:color w:val="auto"/>
              </w:rPr>
            </w:pPr>
            <w:r>
              <w:rPr>
                <w:rFonts w:ascii="Arial" w:cs="Arial" w:eastAsia="Arial" w:hAnsi="Arial"/>
                <w:sz w:val="18"/>
                <w:szCs w:val="18"/>
                <w:color w:val="auto"/>
              </w:rPr>
              <w:t>Act of 1934, as adopted pursuant to Section 302 of the Sarbanes-Oxley Act of 2002</w:t>
            </w:r>
          </w:p>
        </w:tc>
      </w:tr>
      <w:tr>
        <w:trPr>
          <w:trHeight w:val="431"/>
        </w:trPr>
        <w:tc>
          <w:tcPr>
            <w:tcW w:w="218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9160" w:type="dxa"/>
            <w:vAlign w:val="bottom"/>
          </w:tcPr>
          <w:p>
            <w:pPr>
              <w:ind w:left="680"/>
              <w:spacing w:after="0"/>
              <w:rPr>
                <w:sz w:val="20"/>
                <w:szCs w:val="20"/>
                <w:color w:val="auto"/>
              </w:rPr>
            </w:pPr>
            <w:r>
              <w:rPr>
                <w:rFonts w:ascii="Arial" w:cs="Arial" w:eastAsia="Arial" w:hAnsi="Arial"/>
                <w:sz w:val="18"/>
                <w:szCs w:val="18"/>
                <w:color w:val="auto"/>
              </w:rPr>
              <w:t>Certification of Mark Kuchenrither, Chief Financial Officer, pursuant to Rule 13a-14(a) under the Securities</w:t>
            </w:r>
          </w:p>
        </w:tc>
      </w:tr>
      <w:tr>
        <w:trPr>
          <w:trHeight w:val="230"/>
        </w:trPr>
        <w:tc>
          <w:tcPr>
            <w:tcW w:w="2180" w:type="dxa"/>
            <w:vAlign w:val="bottom"/>
          </w:tcPr>
          <w:p>
            <w:pPr>
              <w:spacing w:after="0"/>
              <w:rPr>
                <w:sz w:val="20"/>
                <w:szCs w:val="20"/>
                <w:color w:val="auto"/>
              </w:rPr>
            </w:pPr>
          </w:p>
        </w:tc>
        <w:tc>
          <w:tcPr>
            <w:tcW w:w="9160" w:type="dxa"/>
            <w:vAlign w:val="bottom"/>
          </w:tcPr>
          <w:p>
            <w:pPr>
              <w:ind w:left="680"/>
              <w:spacing w:after="0"/>
              <w:rPr>
                <w:sz w:val="20"/>
                <w:szCs w:val="20"/>
                <w:color w:val="auto"/>
              </w:rPr>
            </w:pPr>
            <w:r>
              <w:rPr>
                <w:rFonts w:ascii="Arial" w:cs="Arial" w:eastAsia="Arial" w:hAnsi="Arial"/>
                <w:sz w:val="18"/>
                <w:szCs w:val="18"/>
                <w:color w:val="auto"/>
              </w:rPr>
              <w:t>Exchange Act of 1934, as adopted pursuant to Section 302 of the Sarbanes-Oxley Act of 2002</w:t>
            </w:r>
          </w:p>
        </w:tc>
      </w:tr>
      <w:tr>
        <w:trPr>
          <w:trHeight w:val="431"/>
        </w:trPr>
        <w:tc>
          <w:tcPr>
            <w:tcW w:w="218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9160" w:type="dxa"/>
            <w:vAlign w:val="bottom"/>
          </w:tcPr>
          <w:p>
            <w:pPr>
              <w:ind w:left="680"/>
              <w:spacing w:after="0"/>
              <w:rPr>
                <w:sz w:val="20"/>
                <w:szCs w:val="20"/>
                <w:color w:val="auto"/>
              </w:rPr>
            </w:pPr>
            <w:r>
              <w:rPr>
                <w:rFonts w:ascii="Arial" w:cs="Arial" w:eastAsia="Arial" w:hAnsi="Arial"/>
                <w:sz w:val="18"/>
                <w:szCs w:val="18"/>
                <w:color w:val="auto"/>
                <w:w w:val="99"/>
              </w:rPr>
              <w:t>Certifications of Paul E. Rothamel, Chief Executive Officer, and Mark Kuchenrither, Chief Financial Officer ,</w:t>
            </w:r>
          </w:p>
        </w:tc>
      </w:tr>
      <w:tr>
        <w:trPr>
          <w:trHeight w:val="230"/>
        </w:trPr>
        <w:tc>
          <w:tcPr>
            <w:tcW w:w="2180" w:type="dxa"/>
            <w:vAlign w:val="bottom"/>
          </w:tcPr>
          <w:p>
            <w:pPr>
              <w:spacing w:after="0"/>
              <w:rPr>
                <w:sz w:val="20"/>
                <w:szCs w:val="20"/>
                <w:color w:val="auto"/>
              </w:rPr>
            </w:pPr>
          </w:p>
        </w:tc>
        <w:tc>
          <w:tcPr>
            <w:tcW w:w="9160" w:type="dxa"/>
            <w:vAlign w:val="bottom"/>
          </w:tcPr>
          <w:p>
            <w:pPr>
              <w:ind w:left="680"/>
              <w:spacing w:after="0"/>
              <w:rPr>
                <w:sz w:val="20"/>
                <w:szCs w:val="20"/>
                <w:color w:val="auto"/>
              </w:rPr>
            </w:pPr>
            <w:r>
              <w:rPr>
                <w:rFonts w:ascii="Arial" w:cs="Arial" w:eastAsia="Arial" w:hAnsi="Arial"/>
                <w:sz w:val="18"/>
                <w:szCs w:val="18"/>
                <w:color w:val="auto"/>
                <w:w w:val="98"/>
              </w:rPr>
              <w:t>pursuant to 18 U.S.C. Section 1350, as adopted pursuant to Section 906 of the Sarbanes-Oxley Act of 2002</w:t>
            </w:r>
          </w:p>
        </w:tc>
      </w:tr>
      <w:tr>
        <w:trPr>
          <w:trHeight w:val="446"/>
        </w:trPr>
        <w:tc>
          <w:tcPr>
            <w:tcW w:w="2180" w:type="dxa"/>
            <w:vAlign w:val="bottom"/>
          </w:tcPr>
          <w:p>
            <w:pPr>
              <w:jc w:val="center"/>
              <w:spacing w:after="0"/>
              <w:rPr>
                <w:sz w:val="20"/>
                <w:szCs w:val="20"/>
                <w:color w:val="auto"/>
              </w:rPr>
            </w:pPr>
            <w:r>
              <w:rPr>
                <w:rFonts w:ascii="Arial" w:cs="Arial" w:eastAsia="Arial" w:hAnsi="Arial"/>
                <w:sz w:val="18"/>
                <w:szCs w:val="18"/>
                <w:color w:val="auto"/>
                <w:w w:val="97"/>
              </w:rPr>
              <w:t>101.INS*</w:t>
            </w:r>
          </w:p>
        </w:tc>
        <w:tc>
          <w:tcPr>
            <w:tcW w:w="9160" w:type="dxa"/>
            <w:vAlign w:val="bottom"/>
          </w:tcPr>
          <w:p>
            <w:pPr>
              <w:ind w:left="680"/>
              <w:spacing w:after="0"/>
              <w:rPr>
                <w:sz w:val="20"/>
                <w:szCs w:val="20"/>
                <w:color w:val="auto"/>
              </w:rPr>
            </w:pPr>
            <w:r>
              <w:rPr>
                <w:rFonts w:ascii="Arial" w:cs="Arial" w:eastAsia="Arial" w:hAnsi="Arial"/>
                <w:sz w:val="18"/>
                <w:szCs w:val="18"/>
                <w:color w:val="auto"/>
              </w:rPr>
              <w:t>XBRL Instance Document</w:t>
            </w:r>
          </w:p>
        </w:tc>
      </w:tr>
      <w:tr>
        <w:trPr>
          <w:trHeight w:val="446"/>
        </w:trPr>
        <w:tc>
          <w:tcPr>
            <w:tcW w:w="2180" w:type="dxa"/>
            <w:vAlign w:val="bottom"/>
          </w:tcPr>
          <w:p>
            <w:pPr>
              <w:jc w:val="center"/>
              <w:spacing w:after="0"/>
              <w:rPr>
                <w:sz w:val="20"/>
                <w:szCs w:val="20"/>
                <w:color w:val="auto"/>
              </w:rPr>
            </w:pPr>
            <w:r>
              <w:rPr>
                <w:rFonts w:ascii="Arial" w:cs="Arial" w:eastAsia="Arial" w:hAnsi="Arial"/>
                <w:sz w:val="18"/>
                <w:szCs w:val="18"/>
                <w:color w:val="auto"/>
                <w:w w:val="94"/>
              </w:rPr>
              <w:t>101.SCH*</w:t>
            </w:r>
          </w:p>
        </w:tc>
        <w:tc>
          <w:tcPr>
            <w:tcW w:w="9160" w:type="dxa"/>
            <w:vAlign w:val="bottom"/>
          </w:tcPr>
          <w:p>
            <w:pPr>
              <w:ind w:left="680"/>
              <w:spacing w:after="0"/>
              <w:rPr>
                <w:sz w:val="20"/>
                <w:szCs w:val="20"/>
                <w:color w:val="auto"/>
              </w:rPr>
            </w:pPr>
            <w:r>
              <w:rPr>
                <w:rFonts w:ascii="Arial" w:cs="Arial" w:eastAsia="Arial" w:hAnsi="Arial"/>
                <w:sz w:val="18"/>
                <w:szCs w:val="18"/>
                <w:color w:val="auto"/>
              </w:rPr>
              <w:t>XBRL Taxonomy Extension Schema Document</w:t>
            </w:r>
          </w:p>
        </w:tc>
      </w:tr>
      <w:tr>
        <w:trPr>
          <w:trHeight w:val="446"/>
        </w:trPr>
        <w:tc>
          <w:tcPr>
            <w:tcW w:w="2180" w:type="dxa"/>
            <w:vAlign w:val="bottom"/>
          </w:tcPr>
          <w:p>
            <w:pPr>
              <w:jc w:val="center"/>
              <w:spacing w:after="0"/>
              <w:rPr>
                <w:sz w:val="20"/>
                <w:szCs w:val="20"/>
                <w:color w:val="auto"/>
              </w:rPr>
            </w:pPr>
            <w:r>
              <w:rPr>
                <w:rFonts w:ascii="Arial" w:cs="Arial" w:eastAsia="Arial" w:hAnsi="Arial"/>
                <w:sz w:val="18"/>
                <w:szCs w:val="18"/>
                <w:color w:val="auto"/>
                <w:w w:val="98"/>
              </w:rPr>
              <w:t>101.CAL*</w:t>
            </w:r>
          </w:p>
        </w:tc>
        <w:tc>
          <w:tcPr>
            <w:tcW w:w="9160" w:type="dxa"/>
            <w:vAlign w:val="bottom"/>
          </w:tcPr>
          <w:p>
            <w:pPr>
              <w:ind w:left="680"/>
              <w:spacing w:after="0"/>
              <w:rPr>
                <w:sz w:val="20"/>
                <w:szCs w:val="20"/>
                <w:color w:val="auto"/>
              </w:rPr>
            </w:pPr>
            <w:r>
              <w:rPr>
                <w:rFonts w:ascii="Arial" w:cs="Arial" w:eastAsia="Arial" w:hAnsi="Arial"/>
                <w:sz w:val="18"/>
                <w:szCs w:val="18"/>
                <w:color w:val="auto"/>
              </w:rPr>
              <w:t>XBRL Taxonomy Extension Calculation Linkbase Document</w:t>
            </w:r>
          </w:p>
        </w:tc>
      </w:tr>
      <w:tr>
        <w:trPr>
          <w:trHeight w:val="446"/>
        </w:trPr>
        <w:tc>
          <w:tcPr>
            <w:tcW w:w="2180" w:type="dxa"/>
            <w:vAlign w:val="bottom"/>
          </w:tcPr>
          <w:p>
            <w:pPr>
              <w:jc w:val="center"/>
              <w:spacing w:after="0"/>
              <w:rPr>
                <w:sz w:val="20"/>
                <w:szCs w:val="20"/>
                <w:color w:val="auto"/>
              </w:rPr>
            </w:pPr>
            <w:r>
              <w:rPr>
                <w:rFonts w:ascii="Arial" w:cs="Arial" w:eastAsia="Arial" w:hAnsi="Arial"/>
                <w:sz w:val="18"/>
                <w:szCs w:val="18"/>
                <w:color w:val="auto"/>
                <w:w w:val="99"/>
              </w:rPr>
              <w:t>101.LAB*</w:t>
            </w:r>
          </w:p>
        </w:tc>
        <w:tc>
          <w:tcPr>
            <w:tcW w:w="9160" w:type="dxa"/>
            <w:vAlign w:val="bottom"/>
          </w:tcPr>
          <w:p>
            <w:pPr>
              <w:ind w:left="680"/>
              <w:spacing w:after="0"/>
              <w:rPr>
                <w:sz w:val="20"/>
                <w:szCs w:val="20"/>
                <w:color w:val="auto"/>
              </w:rPr>
            </w:pPr>
            <w:r>
              <w:rPr>
                <w:rFonts w:ascii="Arial" w:cs="Arial" w:eastAsia="Arial" w:hAnsi="Arial"/>
                <w:sz w:val="18"/>
                <w:szCs w:val="18"/>
                <w:color w:val="auto"/>
              </w:rPr>
              <w:t>XBRL Taxonomy Label Linkbase Document</w:t>
            </w:r>
          </w:p>
        </w:tc>
      </w:tr>
      <w:tr>
        <w:trPr>
          <w:trHeight w:val="446"/>
        </w:trPr>
        <w:tc>
          <w:tcPr>
            <w:tcW w:w="2180" w:type="dxa"/>
            <w:vAlign w:val="bottom"/>
          </w:tcPr>
          <w:p>
            <w:pPr>
              <w:jc w:val="center"/>
              <w:spacing w:after="0"/>
              <w:rPr>
                <w:sz w:val="20"/>
                <w:szCs w:val="20"/>
                <w:color w:val="auto"/>
              </w:rPr>
            </w:pPr>
            <w:r>
              <w:rPr>
                <w:rFonts w:ascii="Arial" w:cs="Arial" w:eastAsia="Arial" w:hAnsi="Arial"/>
                <w:sz w:val="18"/>
                <w:szCs w:val="18"/>
                <w:color w:val="auto"/>
                <w:w w:val="94"/>
              </w:rPr>
              <w:t>101.DEF*</w:t>
            </w:r>
          </w:p>
        </w:tc>
        <w:tc>
          <w:tcPr>
            <w:tcW w:w="9160" w:type="dxa"/>
            <w:vAlign w:val="bottom"/>
          </w:tcPr>
          <w:p>
            <w:pPr>
              <w:ind w:left="680"/>
              <w:spacing w:after="0"/>
              <w:rPr>
                <w:sz w:val="20"/>
                <w:szCs w:val="20"/>
                <w:color w:val="auto"/>
              </w:rPr>
            </w:pPr>
            <w:r>
              <w:rPr>
                <w:rFonts w:ascii="Arial" w:cs="Arial" w:eastAsia="Arial" w:hAnsi="Arial"/>
                <w:sz w:val="18"/>
                <w:szCs w:val="18"/>
                <w:color w:val="auto"/>
              </w:rPr>
              <w:t>XBRL Taxonomy Extension Definition Linkbase Document</w:t>
            </w:r>
          </w:p>
        </w:tc>
      </w:tr>
      <w:tr>
        <w:trPr>
          <w:trHeight w:val="446"/>
        </w:trPr>
        <w:tc>
          <w:tcPr>
            <w:tcW w:w="2180" w:type="dxa"/>
            <w:vAlign w:val="bottom"/>
          </w:tcPr>
          <w:p>
            <w:pPr>
              <w:jc w:val="center"/>
              <w:spacing w:after="0"/>
              <w:rPr>
                <w:sz w:val="20"/>
                <w:szCs w:val="20"/>
                <w:color w:val="auto"/>
              </w:rPr>
            </w:pPr>
            <w:r>
              <w:rPr>
                <w:rFonts w:ascii="Arial" w:cs="Arial" w:eastAsia="Arial" w:hAnsi="Arial"/>
                <w:sz w:val="18"/>
                <w:szCs w:val="18"/>
                <w:color w:val="auto"/>
                <w:w w:val="93"/>
              </w:rPr>
              <w:t>101.PRE*</w:t>
            </w:r>
          </w:p>
        </w:tc>
        <w:tc>
          <w:tcPr>
            <w:tcW w:w="9160" w:type="dxa"/>
            <w:vAlign w:val="bottom"/>
          </w:tcPr>
          <w:p>
            <w:pPr>
              <w:ind w:left="68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364" w:lineRule="exact"/>
        <w:rPr>
          <w:sz w:val="20"/>
          <w:szCs w:val="20"/>
          <w:color w:val="auto"/>
        </w:rPr>
      </w:pPr>
    </w:p>
    <w:p>
      <w:pPr>
        <w:ind w:left="500" w:right="100" w:hanging="465"/>
        <w:spacing w:after="0" w:line="257"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Attached as Exhibit 101 to this report are the following formatted in XBRL (Extensible Business Reporting Language): (i) Consolidated Balance Sheets at December 31, 2012, December 31, 2011 and September 30, 2012; (ii) Consolidated Statements of Income for the three months ended December 31, 2012 and December 31, 2011; (iii) Consolidated Statements of Comprehensive Income for three months ended December 31, 2012 and December 31, 2011 (iv) Consolidated Statements of Cash Flows for the three months ended December 31, 2012 and December 31; and (v) Notes to Consolidated Financial Statements.</w:t>
      </w: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80"/>
          </w:cols>
          <w:pgMar w:left="240" w:top="122" w:right="27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Paul E. Rothamel, Chief Executive Officer,</w:t>
      </w:r>
    </w:p>
    <w:p>
      <w:pPr>
        <w:spacing w:after="0" w:line="27"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pursuant to Rule 13a-14(a) under the Securities Exchange Act of 1934,</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Paul E. Rothamel, certify that:</w:t>
      </w:r>
    </w:p>
    <w:p>
      <w:pPr>
        <w:spacing w:after="0" w:line="171" w:lineRule="exact"/>
        <w:rPr>
          <w:sz w:val="20"/>
          <w:szCs w:val="20"/>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EZCORP, Inc.;</w:t>
      </w:r>
    </w:p>
    <w:p>
      <w:pPr>
        <w:spacing w:after="0" w:line="171" w:lineRule="exact"/>
        <w:rPr>
          <w:rFonts w:ascii="Arial" w:cs="Arial" w:eastAsia="Arial" w:hAnsi="Arial"/>
          <w:sz w:val="18"/>
          <w:szCs w:val="18"/>
          <w:color w:val="auto"/>
        </w:rPr>
      </w:pPr>
    </w:p>
    <w:p>
      <w:pPr>
        <w:ind w:left="1300" w:right="120" w:hanging="644"/>
        <w:spacing w:after="0" w:line="264"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1300" w:right="400" w:hanging="644"/>
        <w:spacing w:after="0" w:line="342" w:lineRule="auto"/>
        <w:tabs>
          <w:tab w:leader="none" w:pos="13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6"/>
          <w:szCs w:val="16"/>
          <w:color w:val="auto"/>
        </w:rPr>
      </w:pPr>
    </w:p>
    <w:p>
      <w:pPr>
        <w:ind w:left="1300" w:right="40" w:hanging="644"/>
        <w:spacing w:after="0" w:line="264"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960" w:right="80" w:hanging="655"/>
        <w:spacing w:after="0" w:line="286" w:lineRule="auto"/>
        <w:tabs>
          <w:tab w:leader="none" w:pos="1960" w:val="left"/>
        </w:tabs>
        <w:numPr>
          <w:ilvl w:val="1"/>
          <w:numId w:val="1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960" w:right="400" w:hanging="655"/>
        <w:spacing w:after="0" w:line="286" w:lineRule="auto"/>
        <w:tabs>
          <w:tab w:leader="none" w:pos="1960" w:val="left"/>
        </w:tabs>
        <w:numPr>
          <w:ilvl w:val="1"/>
          <w:numId w:val="1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1" w:lineRule="exact"/>
        <w:rPr>
          <w:rFonts w:ascii="Arial" w:cs="Arial" w:eastAsia="Arial" w:hAnsi="Arial"/>
          <w:sz w:val="17"/>
          <w:szCs w:val="17"/>
          <w:color w:val="auto"/>
        </w:rPr>
      </w:pPr>
    </w:p>
    <w:p>
      <w:pPr>
        <w:ind w:left="1960" w:right="40" w:hanging="655"/>
        <w:spacing w:after="0" w:line="264" w:lineRule="auto"/>
        <w:tabs>
          <w:tab w:leader="none" w:pos="19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7" w:lineRule="exact"/>
        <w:rPr>
          <w:rFonts w:ascii="Arial" w:cs="Arial" w:eastAsia="Arial" w:hAnsi="Arial"/>
          <w:sz w:val="18"/>
          <w:szCs w:val="18"/>
          <w:color w:val="auto"/>
        </w:rPr>
      </w:pPr>
    </w:p>
    <w:p>
      <w:pPr>
        <w:ind w:left="1960" w:right="160" w:hanging="655"/>
        <w:spacing w:after="0" w:line="286" w:lineRule="auto"/>
        <w:tabs>
          <w:tab w:leader="none" w:pos="1960" w:val="left"/>
        </w:tabs>
        <w:numPr>
          <w:ilvl w:val="1"/>
          <w:numId w:val="1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7"/>
          <w:szCs w:val="17"/>
          <w:color w:val="auto"/>
        </w:rPr>
      </w:pPr>
    </w:p>
    <w:p>
      <w:pPr>
        <w:ind w:left="1300" w:hanging="644"/>
        <w:spacing w:after="0" w:line="342" w:lineRule="auto"/>
        <w:tabs>
          <w:tab w:leader="none" w:pos="13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960" w:right="100" w:hanging="655"/>
        <w:spacing w:after="0" w:line="342" w:lineRule="auto"/>
        <w:tabs>
          <w:tab w:leader="none" w:pos="1960" w:val="left"/>
        </w:tabs>
        <w:numPr>
          <w:ilvl w:val="1"/>
          <w:numId w:val="1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960" w:right="280" w:hanging="655"/>
        <w:spacing w:after="0" w:line="277" w:lineRule="auto"/>
        <w:tabs>
          <w:tab w:leader="none" w:pos="19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7, 2013</w:t>
      </w:r>
    </w:p>
    <w:p>
      <w:pPr>
        <w:spacing w:after="0" w:line="200" w:lineRule="exact"/>
        <w:rPr>
          <w:sz w:val="20"/>
          <w:szCs w:val="20"/>
          <w:color w:val="auto"/>
        </w:rPr>
      </w:pPr>
    </w:p>
    <w:p>
      <w:pPr>
        <w:spacing w:after="0" w:line="295"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 Paul E. Rothamel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31750</wp:posOffset>
            </wp:positionV>
            <wp:extent cx="288988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57"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Paul E. Rothamel</w:t>
      </w:r>
    </w:p>
    <w:p>
      <w:pPr>
        <w:spacing w:after="0" w:line="6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80"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Mark Kuchenrither, Chief Financial Officer,</w:t>
      </w:r>
    </w:p>
    <w:p>
      <w:pPr>
        <w:spacing w:after="0" w:line="27"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pursuant to Rule 13a-14(a) under the Securities Exchange Act of 1934,</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I, Mark Kuchenrither, certify that:</w:t>
      </w:r>
    </w:p>
    <w:p>
      <w:pPr>
        <w:spacing w:after="0" w:line="171" w:lineRule="exact"/>
        <w:rPr>
          <w:sz w:val="20"/>
          <w:szCs w:val="20"/>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EZCORP, Inc.;</w:t>
      </w:r>
    </w:p>
    <w:p>
      <w:pPr>
        <w:spacing w:after="0" w:line="171" w:lineRule="exact"/>
        <w:rPr>
          <w:rFonts w:ascii="Arial" w:cs="Arial" w:eastAsia="Arial" w:hAnsi="Arial"/>
          <w:sz w:val="18"/>
          <w:szCs w:val="18"/>
          <w:color w:val="auto"/>
        </w:rPr>
      </w:pPr>
    </w:p>
    <w:p>
      <w:pPr>
        <w:ind w:left="1300" w:right="120" w:hanging="644"/>
        <w:spacing w:after="0" w:line="264"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1300" w:right="400" w:hanging="644"/>
        <w:spacing w:after="0" w:line="342" w:lineRule="auto"/>
        <w:tabs>
          <w:tab w:leader="none" w:pos="13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6"/>
          <w:szCs w:val="16"/>
          <w:color w:val="auto"/>
        </w:rPr>
      </w:pPr>
    </w:p>
    <w:p>
      <w:pPr>
        <w:ind w:left="1300" w:right="40" w:hanging="644"/>
        <w:spacing w:after="0" w:line="264"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960" w:right="80" w:hanging="655"/>
        <w:spacing w:after="0" w:line="286" w:lineRule="auto"/>
        <w:tabs>
          <w:tab w:leader="none" w:pos="1960" w:val="left"/>
        </w:tabs>
        <w:numPr>
          <w:ilvl w:val="1"/>
          <w:numId w:val="1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960" w:right="400" w:hanging="655"/>
        <w:spacing w:after="0" w:line="286" w:lineRule="auto"/>
        <w:tabs>
          <w:tab w:leader="none" w:pos="1960" w:val="left"/>
        </w:tabs>
        <w:numPr>
          <w:ilvl w:val="1"/>
          <w:numId w:val="1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1" w:lineRule="exact"/>
        <w:rPr>
          <w:rFonts w:ascii="Arial" w:cs="Arial" w:eastAsia="Arial" w:hAnsi="Arial"/>
          <w:sz w:val="17"/>
          <w:szCs w:val="17"/>
          <w:color w:val="auto"/>
        </w:rPr>
      </w:pPr>
    </w:p>
    <w:p>
      <w:pPr>
        <w:ind w:left="1960" w:right="40" w:hanging="655"/>
        <w:spacing w:after="0" w:line="264" w:lineRule="auto"/>
        <w:tabs>
          <w:tab w:leader="none" w:pos="19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7" w:lineRule="exact"/>
        <w:rPr>
          <w:rFonts w:ascii="Arial" w:cs="Arial" w:eastAsia="Arial" w:hAnsi="Arial"/>
          <w:sz w:val="18"/>
          <w:szCs w:val="18"/>
          <w:color w:val="auto"/>
        </w:rPr>
      </w:pPr>
    </w:p>
    <w:p>
      <w:pPr>
        <w:ind w:left="1960" w:right="160" w:hanging="655"/>
        <w:spacing w:after="0" w:line="286" w:lineRule="auto"/>
        <w:tabs>
          <w:tab w:leader="none" w:pos="1960" w:val="left"/>
        </w:tabs>
        <w:numPr>
          <w:ilvl w:val="1"/>
          <w:numId w:val="1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7"/>
          <w:szCs w:val="17"/>
          <w:color w:val="auto"/>
        </w:rPr>
      </w:pPr>
    </w:p>
    <w:p>
      <w:pPr>
        <w:ind w:left="1300" w:hanging="644"/>
        <w:spacing w:after="0" w:line="342" w:lineRule="auto"/>
        <w:tabs>
          <w:tab w:leader="none" w:pos="13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960" w:right="100" w:hanging="655"/>
        <w:spacing w:after="0" w:line="342" w:lineRule="auto"/>
        <w:tabs>
          <w:tab w:leader="none" w:pos="1960" w:val="left"/>
        </w:tabs>
        <w:numPr>
          <w:ilvl w:val="1"/>
          <w:numId w:val="1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960" w:right="280" w:hanging="655"/>
        <w:spacing w:after="0" w:line="277" w:lineRule="auto"/>
        <w:tabs>
          <w:tab w:leader="none" w:pos="19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3"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February 7, 2013</w:t>
      </w:r>
    </w:p>
    <w:p>
      <w:pPr>
        <w:spacing w:after="0" w:line="200" w:lineRule="exact"/>
        <w:rPr>
          <w:sz w:val="20"/>
          <w:szCs w:val="20"/>
          <w:color w:val="auto"/>
        </w:rPr>
      </w:pPr>
    </w:p>
    <w:p>
      <w:pPr>
        <w:spacing w:after="0" w:line="214"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 Mark Kuchenrither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31750</wp:posOffset>
            </wp:positionV>
            <wp:extent cx="288988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57"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Mark Kuchenrither</w:t>
      </w:r>
    </w:p>
    <w:p>
      <w:pPr>
        <w:spacing w:after="0" w:line="6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Executive Vice President and</w:t>
      </w:r>
    </w:p>
    <w:p>
      <w:pPr>
        <w:spacing w:after="0" w:line="2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Paul E. Rothamel, Chief Executive Officer, and Mark Kuchenrither,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 as adopted pursuant to Section 906 of the Sarbanes-Oxley Act of 2002</w:t>
      </w:r>
    </w:p>
    <w:p>
      <w:pPr>
        <w:spacing w:after="0" w:line="157"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The undersigned officers of EZCORP, Inc. hereby certify that (a) EZCORP's Quarterly Report on Form 10-Q for the quarter ended December 31, 2012, as filed with the Securities and Exchange Commission, fully complies with the requirements of section 13(a) of the Securities Exchange Act of 1934, as amended, and (b) the information contained in the report fairly presents, in all material respects, the financial condition and results of operations of EZCORP.</w:t>
      </w:r>
    </w:p>
    <w:p>
      <w:pPr>
        <w:spacing w:after="0" w:line="200" w:lineRule="exact"/>
        <w:rPr>
          <w:sz w:val="20"/>
          <w:szCs w:val="20"/>
          <w:color w:val="auto"/>
        </w:rPr>
      </w:pPr>
    </w:p>
    <w:p>
      <w:pPr>
        <w:spacing w:after="0" w:line="379" w:lineRule="exact"/>
        <w:rPr>
          <w:sz w:val="20"/>
          <w:szCs w:val="20"/>
          <w:color w:val="auto"/>
        </w:rPr>
      </w:pPr>
    </w:p>
    <w:p>
      <w:pPr>
        <w:ind w:left="280"/>
        <w:spacing w:after="0"/>
        <w:tabs>
          <w:tab w:leader="none" w:pos="7780" w:val="left"/>
        </w:tabs>
        <w:rPr>
          <w:sz w:val="20"/>
          <w:szCs w:val="20"/>
          <w:color w:val="auto"/>
        </w:rPr>
      </w:pPr>
      <w:r>
        <w:rPr>
          <w:rFonts w:ascii="Arial" w:cs="Arial" w:eastAsia="Arial" w:hAnsi="Arial"/>
          <w:sz w:val="18"/>
          <w:szCs w:val="18"/>
          <w:color w:val="auto"/>
        </w:rPr>
        <w:t>Date: February 7, 2013</w:t>
      </w:r>
      <w:r>
        <w:rPr>
          <w:sz w:val="20"/>
          <w:szCs w:val="20"/>
          <w:color w:val="auto"/>
        </w:rPr>
        <w:tab/>
      </w:r>
      <w:r>
        <w:rPr>
          <w:rFonts w:ascii="Arial" w:cs="Arial" w:eastAsia="Arial" w:hAnsi="Arial"/>
          <w:sz w:val="16"/>
          <w:szCs w:val="16"/>
          <w:color w:val="auto"/>
        </w:rPr>
        <w:t>/s/ Paul E. Rothamel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31750</wp:posOffset>
            </wp:positionV>
            <wp:extent cx="231521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57"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Paul E. Rothamel</w:t>
      </w:r>
    </w:p>
    <w:p>
      <w:pPr>
        <w:spacing w:after="0" w:line="63"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President and Chief Executive Officer</w:t>
      </w:r>
    </w:p>
    <w:p>
      <w:pPr>
        <w:spacing w:after="0" w:line="333" w:lineRule="exact"/>
        <w:rPr>
          <w:sz w:val="20"/>
          <w:szCs w:val="20"/>
          <w:color w:val="auto"/>
        </w:rPr>
      </w:pPr>
    </w:p>
    <w:p>
      <w:pPr>
        <w:ind w:left="280"/>
        <w:spacing w:after="0"/>
        <w:tabs>
          <w:tab w:leader="none" w:pos="7780" w:val="left"/>
        </w:tabs>
        <w:rPr>
          <w:sz w:val="20"/>
          <w:szCs w:val="20"/>
          <w:color w:val="auto"/>
        </w:rPr>
      </w:pPr>
      <w:r>
        <w:rPr>
          <w:rFonts w:ascii="Arial" w:cs="Arial" w:eastAsia="Arial" w:hAnsi="Arial"/>
          <w:sz w:val="18"/>
          <w:szCs w:val="18"/>
          <w:color w:val="auto"/>
        </w:rPr>
        <w:t>Date: February 7, 2013</w:t>
      </w:r>
      <w:r>
        <w:rPr>
          <w:sz w:val="20"/>
          <w:szCs w:val="20"/>
          <w:color w:val="auto"/>
        </w:rPr>
        <w:tab/>
      </w:r>
      <w:r>
        <w:rPr>
          <w:rFonts w:ascii="Arial" w:cs="Arial" w:eastAsia="Arial" w:hAnsi="Arial"/>
          <w:sz w:val="16"/>
          <w:szCs w:val="16"/>
          <w:color w:val="auto"/>
        </w:rPr>
        <w:t>/s/ Mark Kuchenrither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31750</wp:posOffset>
            </wp:positionV>
            <wp:extent cx="231521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57"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Mark Kuchenrither</w:t>
      </w:r>
    </w:p>
    <w:p>
      <w:pPr>
        <w:spacing w:after="0" w:line="63"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Executive Vice President and</w:t>
      </w:r>
    </w:p>
    <w:p>
      <w:pPr>
        <w:spacing w:after="0" w:line="23"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x"/>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1)"/>
      <w:numFmt w:val="lowerLetter"/>
      <w:start w:val="1"/>
    </w:lvl>
  </w:abstractNum>
  <w:abstractNum w:abstractNumId="7">
    <w:nsid w:val="216231B"/>
    <w:multiLevelType w:val="hybridMultilevel"/>
    <w:lvl w:ilvl="0">
      <w:lvlJc w:val="left"/>
      <w:lvlText w:val="(%1)"/>
      <w:numFmt w:val="lowerLetter"/>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1."/>
      <w:numFmt w:val="decimal"/>
      <w:start w:val="1"/>
    </w:lvl>
    <w:lvl w:ilvl="1">
      <w:lvlJc w:val="left"/>
      <w:lvlText w:val="(%2)"/>
      <w:numFmt w:val="lowerLetter"/>
      <w:start w:val="1"/>
    </w:lvl>
  </w:abstractNum>
  <w:abstractNum w:abstractNumId="12">
    <w:nsid w:val="3352255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2020-01-30T20:28:15Z</dcterms:created>
  <dcterms:modified xsi:type="dcterms:W3CDTF">2020-01-30T20:28:15Z</dcterms:modified>
</cp:coreProperties>
</file>